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AE" w:rsidP="00F5426C" w:rsidRDefault="008057AE">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12"/>
        <w:gridCol w:w="2469"/>
        <w:gridCol w:w="37"/>
        <w:gridCol w:w="5571"/>
        <w:gridCol w:w="31"/>
      </w:tblGrid>
      <w:tr w:rsidR="008057AE" w:rsidTr="006C32AD">
        <w:trPr>
          <w:gridAfter w:val="1"/>
          <w:wAfter w:w="31" w:type="dxa"/>
          <w:jc w:val="center"/>
        </w:trPr>
        <w:tc>
          <w:tcPr>
            <w:tcW w:w="712" w:type="dxa"/>
          </w:tcPr>
          <w:p w:rsidR="008057AE" w:rsidP="00F5426C" w:rsidRDefault="008057AE">
            <w:pPr>
              <w:jc w:val="both"/>
              <w:rPr>
                <w:rFonts w:ascii="Arial" w:hAnsi="Arial"/>
                <w:b/>
                <w:bCs/>
              </w:rPr>
            </w:pPr>
            <w:r>
              <w:rPr>
                <w:rFonts w:hint="cs" w:ascii="Arial" w:hAnsi="Arial"/>
                <w:b/>
                <w:bCs/>
                <w:rtl/>
              </w:rPr>
              <w:t>ל</w:t>
            </w:r>
            <w:r>
              <w:rPr>
                <w:rFonts w:ascii="Arial" w:hAnsi="Arial"/>
                <w:b/>
                <w:bCs/>
                <w:rtl/>
              </w:rPr>
              <w:t xml:space="preserve">פני </w:t>
            </w:r>
          </w:p>
        </w:tc>
        <w:tc>
          <w:tcPr>
            <w:tcW w:w="8077" w:type="dxa"/>
            <w:gridSpan w:val="3"/>
          </w:tcPr>
          <w:p w:rsidR="008057AE" w:rsidP="00F5426C" w:rsidRDefault="008057AE">
            <w:pPr>
              <w:spacing w:line="360" w:lineRule="auto"/>
              <w:rPr>
                <w:rFonts w:ascii="Arial" w:hAnsi="Arial"/>
                <w:b/>
                <w:bCs/>
                <w:sz w:val="26"/>
                <w:szCs w:val="26"/>
              </w:rPr>
            </w:pPr>
            <w:r>
              <w:rPr>
                <w:rFonts w:hint="cs" w:ascii="Arial" w:hAnsi="Arial"/>
                <w:b/>
                <w:bCs/>
                <w:sz w:val="26"/>
                <w:szCs w:val="26"/>
                <w:rtl/>
              </w:rPr>
              <w:t>כב' סגנית הנשיאה השופטת, רחל קרלינסקי</w:t>
            </w:r>
          </w:p>
          <w:p w:rsidRPr="008A66AE" w:rsidR="008057AE" w:rsidP="00F5426C" w:rsidRDefault="008057AE">
            <w:pPr>
              <w:rPr>
                <w:rFonts w:ascii="Arial" w:hAnsi="Arial" w:cs="FrankRuehl"/>
                <w:sz w:val="28"/>
                <w:szCs w:val="28"/>
                <w:highlight w:val="yellow"/>
              </w:rPr>
            </w:pPr>
          </w:p>
        </w:tc>
      </w:tr>
      <w:tr w:rsidR="008057AE" w:rsidTr="006C32AD">
        <w:trPr>
          <w:gridAfter w:val="1"/>
          <w:wAfter w:w="31" w:type="dxa"/>
          <w:jc w:val="center"/>
        </w:trPr>
        <w:tc>
          <w:tcPr>
            <w:tcW w:w="3218" w:type="dxa"/>
            <w:gridSpan w:val="3"/>
          </w:tcPr>
          <w:p w:rsidR="008057AE" w:rsidP="00F5426C" w:rsidRDefault="008057AE">
            <w:pPr>
              <w:jc w:val="right"/>
              <w:rPr>
                <w:rFonts w:ascii="Arial" w:hAnsi="Arial"/>
                <w:b/>
                <w:bCs/>
                <w:noProof w:val="0"/>
                <w:sz w:val="26"/>
                <w:szCs w:val="26"/>
              </w:rPr>
            </w:pPr>
          </w:p>
          <w:p w:rsidR="00D26167" w:rsidP="00F5426C" w:rsidRDefault="00F5426C">
            <w:pPr>
              <w:rPr>
                <w:rFonts w:ascii="Arial" w:hAnsi="Arial"/>
                <w:b/>
                <w:bCs/>
                <w:noProof w:val="0"/>
                <w:sz w:val="26"/>
                <w:szCs w:val="26"/>
                <w:rtl/>
              </w:rPr>
            </w:pPr>
            <w:r>
              <w:rPr>
                <w:rFonts w:hint="cs" w:ascii="Arial" w:hAnsi="Arial"/>
                <w:b/>
                <w:bCs/>
                <w:noProof w:val="0"/>
                <w:sz w:val="26"/>
                <w:szCs w:val="26"/>
                <w:rtl/>
              </w:rPr>
              <w:t>ה</w:t>
            </w:r>
            <w:r>
              <w:rPr>
                <w:rFonts w:ascii="Arial" w:hAnsi="Arial"/>
                <w:b/>
                <w:bCs/>
                <w:noProof w:val="0"/>
                <w:sz w:val="26"/>
                <w:szCs w:val="26"/>
                <w:rtl/>
              </w:rPr>
              <w:t>מבקש</w:t>
            </w:r>
            <w:r>
              <w:rPr>
                <w:rFonts w:hint="cs" w:ascii="Arial" w:hAnsi="Arial"/>
                <w:b/>
                <w:bCs/>
                <w:noProof w:val="0"/>
                <w:sz w:val="26"/>
                <w:szCs w:val="26"/>
                <w:rtl/>
              </w:rPr>
              <w:t>ת</w:t>
            </w:r>
          </w:p>
        </w:tc>
        <w:tc>
          <w:tcPr>
            <w:tcW w:w="5571" w:type="dxa"/>
          </w:tcPr>
          <w:p w:rsidR="008057AE" w:rsidP="00F5426C" w:rsidRDefault="008057AE">
            <w:pPr>
              <w:rPr>
                <w:rFonts w:ascii="Arial" w:hAnsi="Arial"/>
                <w:b/>
                <w:bCs/>
                <w:noProof w:val="0"/>
                <w:sz w:val="26"/>
                <w:szCs w:val="26"/>
              </w:rPr>
            </w:pPr>
          </w:p>
          <w:p w:rsidR="008057AE" w:rsidP="00F5426C" w:rsidRDefault="008057AE">
            <w:pPr>
              <w:rPr>
                <w:b/>
                <w:bCs/>
                <w:noProof w:val="0"/>
                <w:sz w:val="26"/>
                <w:szCs w:val="26"/>
              </w:rPr>
            </w:pPr>
            <w:r>
              <w:rPr>
                <w:rFonts w:ascii="Arial" w:hAnsi="Arial"/>
                <w:b/>
                <w:bCs/>
                <w:noProof w:val="0"/>
                <w:sz w:val="26"/>
                <w:szCs w:val="26"/>
                <w:rtl/>
              </w:rPr>
              <w:t>ואלורו בע"מ</w:t>
            </w:r>
          </w:p>
        </w:tc>
      </w:tr>
      <w:tr w:rsidR="008057AE" w:rsidTr="006C32AD">
        <w:trPr>
          <w:gridAfter w:val="1"/>
          <w:wAfter w:w="31" w:type="dxa"/>
          <w:jc w:val="center"/>
        </w:trPr>
        <w:tc>
          <w:tcPr>
            <w:tcW w:w="8789" w:type="dxa"/>
            <w:gridSpan w:val="4"/>
          </w:tcPr>
          <w:p w:rsidR="008057AE" w:rsidP="00F5426C" w:rsidRDefault="008057AE">
            <w:pPr>
              <w:rPr>
                <w:rFonts w:ascii="Arial" w:hAnsi="Arial"/>
                <w:b/>
                <w:bCs/>
                <w:noProof w:val="0"/>
                <w:sz w:val="26"/>
                <w:szCs w:val="26"/>
                <w:rtl/>
              </w:rPr>
            </w:pPr>
          </w:p>
          <w:p w:rsidR="008057AE" w:rsidP="00F5426C" w:rsidRDefault="008057AE">
            <w:pPr>
              <w:jc w:val="center"/>
              <w:rPr>
                <w:rFonts w:ascii="Arial" w:hAnsi="Arial"/>
                <w:b/>
                <w:bCs/>
                <w:noProof w:val="0"/>
                <w:sz w:val="26"/>
                <w:szCs w:val="26"/>
                <w:rtl/>
              </w:rPr>
            </w:pPr>
            <w:r>
              <w:rPr>
                <w:rFonts w:ascii="Arial" w:hAnsi="Arial"/>
                <w:b/>
                <w:bCs/>
                <w:noProof w:val="0"/>
                <w:sz w:val="26"/>
                <w:szCs w:val="26"/>
                <w:rtl/>
              </w:rPr>
              <w:t>נגד</w:t>
            </w:r>
          </w:p>
          <w:p w:rsidR="008057AE" w:rsidP="00F5426C" w:rsidRDefault="008057AE">
            <w:pPr>
              <w:rPr>
                <w:rFonts w:ascii="Arial" w:hAnsi="Arial"/>
                <w:b/>
                <w:bCs/>
                <w:noProof w:val="0"/>
                <w:sz w:val="26"/>
                <w:szCs w:val="26"/>
              </w:rPr>
            </w:pPr>
          </w:p>
        </w:tc>
      </w:tr>
      <w:tr w:rsidR="008057AE" w:rsidTr="006C32AD">
        <w:trPr>
          <w:gridAfter w:val="1"/>
          <w:wAfter w:w="31" w:type="dxa"/>
          <w:jc w:val="center"/>
        </w:trPr>
        <w:tc>
          <w:tcPr>
            <w:tcW w:w="3218" w:type="dxa"/>
            <w:gridSpan w:val="3"/>
          </w:tcPr>
          <w:p w:rsidR="008057AE" w:rsidP="00F5426C" w:rsidRDefault="008057AE">
            <w:pPr>
              <w:rPr>
                <w:rFonts w:ascii="Arial" w:hAnsi="Arial"/>
                <w:b/>
                <w:bCs/>
                <w:noProof w:val="0"/>
                <w:sz w:val="26"/>
                <w:szCs w:val="26"/>
                <w:rtl/>
              </w:rPr>
            </w:pPr>
          </w:p>
          <w:p w:rsidR="008057AE" w:rsidP="00F5426C" w:rsidRDefault="00F5426C">
            <w:pPr>
              <w:rPr>
                <w:rFonts w:ascii="Arial" w:hAnsi="Arial"/>
                <w:b/>
                <w:bCs/>
                <w:noProof w:val="0"/>
                <w:sz w:val="26"/>
                <w:szCs w:val="26"/>
              </w:rPr>
            </w:pPr>
            <w:r>
              <w:rPr>
                <w:rFonts w:hint="cs" w:ascii="Arial" w:hAnsi="Arial"/>
                <w:b/>
                <w:bCs/>
                <w:noProof w:val="0"/>
                <w:sz w:val="26"/>
                <w:szCs w:val="26"/>
                <w:rtl/>
              </w:rPr>
              <w:t>ה</w:t>
            </w:r>
            <w:r>
              <w:rPr>
                <w:rFonts w:ascii="Arial" w:hAnsi="Arial"/>
                <w:b/>
                <w:bCs/>
                <w:noProof w:val="0"/>
                <w:sz w:val="26"/>
                <w:szCs w:val="26"/>
                <w:rtl/>
              </w:rPr>
              <w:t>משיב</w:t>
            </w:r>
          </w:p>
        </w:tc>
        <w:tc>
          <w:tcPr>
            <w:tcW w:w="5571" w:type="dxa"/>
          </w:tcPr>
          <w:p w:rsidR="008057AE" w:rsidP="00F5426C" w:rsidRDefault="008057AE">
            <w:pPr>
              <w:rPr>
                <w:rFonts w:ascii="Arial" w:hAnsi="Arial"/>
                <w:b/>
                <w:bCs/>
                <w:noProof w:val="0"/>
                <w:sz w:val="26"/>
                <w:szCs w:val="26"/>
                <w:rtl/>
              </w:rPr>
            </w:pPr>
          </w:p>
          <w:p w:rsidR="008057AE" w:rsidP="00F5426C" w:rsidRDefault="008057AE">
            <w:pPr>
              <w:rPr>
                <w:b/>
                <w:bCs/>
                <w:noProof w:val="0"/>
                <w:sz w:val="26"/>
                <w:szCs w:val="26"/>
                <w:rtl/>
              </w:rPr>
            </w:pPr>
            <w:r>
              <w:rPr>
                <w:rFonts w:ascii="Arial" w:hAnsi="Arial"/>
                <w:b/>
                <w:bCs/>
                <w:noProof w:val="0"/>
                <w:sz w:val="26"/>
                <w:szCs w:val="26"/>
                <w:rtl/>
              </w:rPr>
              <w:t>אהרון רני טולדנו</w:t>
            </w:r>
          </w:p>
        </w:tc>
      </w:tr>
      <w:tr w:rsidR="008057AE" w:rsidTr="006C32AD">
        <w:tblPrEx>
          <w:jc w:val="left"/>
        </w:tblPrEx>
        <w:trPr>
          <w:gridAfter w:val="1"/>
          <w:wAfter w:w="31" w:type="dxa"/>
          <w:trHeight w:val="692"/>
        </w:trPr>
        <w:tc>
          <w:tcPr>
            <w:tcW w:w="8789" w:type="dxa"/>
            <w:gridSpan w:val="4"/>
          </w:tcPr>
          <w:p w:rsidR="008057AE" w:rsidP="00F5426C" w:rsidRDefault="008057AE">
            <w:pPr>
              <w:jc w:val="center"/>
              <w:rPr>
                <w:rFonts w:ascii="Arial" w:hAnsi="Arial" w:eastAsia="David"/>
                <w:b/>
                <w:bCs/>
                <w:noProof w:val="0"/>
                <w:sz w:val="26"/>
                <w:szCs w:val="26"/>
              </w:rPr>
            </w:pPr>
          </w:p>
        </w:tc>
      </w:tr>
      <w:tr w:rsidR="008057AE" w:rsidTr="006C32AD">
        <w:tblPrEx>
          <w:jc w:val="left"/>
        </w:tblPrEx>
        <w:trPr>
          <w:gridAfter w:val="1"/>
          <w:wAfter w:w="31" w:type="dxa"/>
        </w:trPr>
        <w:tc>
          <w:tcPr>
            <w:tcW w:w="3181" w:type="dxa"/>
            <w:gridSpan w:val="2"/>
            <w:hideMark/>
          </w:tcPr>
          <w:p w:rsidRPr="0008523D" w:rsidR="008057AE" w:rsidP="00F5426C" w:rsidRDefault="008057AE">
            <w:pPr>
              <w:rPr>
                <w:b/>
                <w:bCs/>
                <w:sz w:val="26"/>
                <w:szCs w:val="26"/>
                <w:rtl/>
              </w:rPr>
            </w:pPr>
          </w:p>
        </w:tc>
        <w:tc>
          <w:tcPr>
            <w:tcW w:w="5608" w:type="dxa"/>
            <w:gridSpan w:val="2"/>
            <w:hideMark/>
          </w:tcPr>
          <w:p w:rsidRPr="0008523D" w:rsidR="008057AE" w:rsidP="00F5426C" w:rsidRDefault="008057AE">
            <w:pPr>
              <w:rPr>
                <w:b/>
                <w:bCs/>
                <w:sz w:val="26"/>
                <w:szCs w:val="26"/>
                <w:rtl/>
              </w:rPr>
            </w:pPr>
            <w:r>
              <w:rPr>
                <w:rFonts w:hint="cs"/>
                <w:b/>
                <w:bCs/>
                <w:sz w:val="26"/>
                <w:szCs w:val="26"/>
                <w:rtl/>
              </w:rPr>
              <w:t xml:space="preserve"> </w:t>
            </w:r>
            <w:r>
              <w:rPr>
                <w:b/>
                <w:bCs/>
                <w:sz w:val="26"/>
                <w:szCs w:val="26"/>
                <w:rtl/>
              </w:rPr>
              <w:t xml:space="preserve"> </w:t>
            </w:r>
          </w:p>
        </w:tc>
      </w:tr>
      <w:tr w:rsidR="00694556" w:rsidTr="006C32AD">
        <w:trPr>
          <w:jc w:val="center"/>
        </w:trPr>
        <w:tc>
          <w:tcPr>
            <w:tcW w:w="8820" w:type="dxa"/>
            <w:gridSpan w:val="5"/>
          </w:tcPr>
          <w:p w:rsidR="00694556" w:rsidP="00F5426C" w:rsidRDefault="008057AE">
            <w:pPr>
              <w:jc w:val="center"/>
              <w:rPr>
                <w:rFonts w:ascii="Arial" w:hAnsi="Arial"/>
                <w:b/>
                <w:bCs/>
                <w:noProof w:val="0"/>
                <w:sz w:val="28"/>
                <w:szCs w:val="28"/>
                <w:u w:val="single"/>
              </w:rPr>
            </w:pPr>
            <w:r>
              <w:rPr>
                <w:rtl/>
              </w:rPr>
              <w:t xml:space="preserve"> </w:t>
            </w:r>
            <w:r w:rsidR="00005C8B">
              <w:rPr>
                <w:rFonts w:ascii="Arial" w:hAnsi="Arial"/>
                <w:b/>
                <w:bCs/>
                <w:noProof w:val="0"/>
                <w:sz w:val="28"/>
                <w:szCs w:val="28"/>
                <w:u w:val="single"/>
                <w:rtl/>
              </w:rPr>
              <w:t>פסק דין</w:t>
            </w:r>
          </w:p>
        </w:tc>
      </w:tr>
    </w:tbl>
    <w:p w:rsidR="00054BF2" w:rsidP="00054BF2" w:rsidRDefault="00054BF2">
      <w:pPr>
        <w:spacing w:line="360" w:lineRule="auto"/>
        <w:jc w:val="both"/>
        <w:rPr>
          <w:rFonts w:ascii="Arial" w:hAnsi="Arial"/>
          <w:noProof w:val="0"/>
        </w:rPr>
      </w:pPr>
    </w:p>
    <w:p w:rsidR="00054BF2" w:rsidP="00054BF2" w:rsidRDefault="00054BF2">
      <w:pPr>
        <w:spacing w:line="360" w:lineRule="auto"/>
        <w:ind w:left="720" w:hanging="720"/>
        <w:jc w:val="both"/>
        <w:rPr>
          <w:rFonts w:ascii="Arial" w:hAnsi="Arial"/>
          <w:rtl/>
        </w:rPr>
      </w:pPr>
      <w:r>
        <w:rPr>
          <w:rFonts w:hint="cs" w:ascii="Arial" w:hAnsi="Arial"/>
          <w:rtl/>
        </w:rPr>
        <w:t>1.</w:t>
      </w:r>
      <w:r>
        <w:rPr>
          <w:rFonts w:hint="cs" w:ascii="Arial" w:hAnsi="Arial"/>
          <w:rtl/>
        </w:rPr>
        <w:tab/>
        <w:t>לפני בקשת רשות ערעור על החלטת רשם ההוצאה לפועל (כב' הרשם חילמי חג'וג') מיום 4.12.17 שהכריז על המשיב כחייב מוגבל באמצעים ואיחד את התיקים התלויים כנגדו בד בבד עם מתן צו חיוב בתשלומים.</w:t>
      </w:r>
    </w:p>
    <w:p w:rsidR="00054BF2" w:rsidP="00054BF2" w:rsidRDefault="00054BF2">
      <w:pPr>
        <w:spacing w:line="360" w:lineRule="auto"/>
        <w:jc w:val="both"/>
        <w:rPr>
          <w:rFonts w:ascii="Arial" w:hAnsi="Arial"/>
          <w:rtl/>
        </w:rPr>
      </w:pPr>
    </w:p>
    <w:p w:rsidR="00054BF2" w:rsidP="00054BF2" w:rsidRDefault="00054BF2">
      <w:pPr>
        <w:spacing w:line="360" w:lineRule="auto"/>
        <w:jc w:val="both"/>
        <w:rPr>
          <w:rFonts w:ascii="Arial" w:hAnsi="Arial"/>
          <w:b/>
          <w:bCs/>
          <w:sz w:val="28"/>
          <w:szCs w:val="28"/>
          <w:u w:val="single"/>
          <w:rtl/>
        </w:rPr>
      </w:pPr>
      <w:r>
        <w:rPr>
          <w:rFonts w:hint="cs" w:ascii="Arial" w:hAnsi="Arial"/>
          <w:b/>
          <w:bCs/>
          <w:sz w:val="28"/>
          <w:szCs w:val="28"/>
          <w:u w:val="single"/>
          <w:rtl/>
        </w:rPr>
        <w:t>רקע</w:t>
      </w:r>
    </w:p>
    <w:p w:rsidR="00054BF2" w:rsidP="00054BF2" w:rsidRDefault="00054BF2">
      <w:pPr>
        <w:spacing w:line="360" w:lineRule="auto"/>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2.</w:t>
      </w:r>
      <w:r>
        <w:rPr>
          <w:rFonts w:hint="cs" w:ascii="Arial" w:hAnsi="Arial"/>
          <w:rtl/>
        </w:rPr>
        <w:tab/>
        <w:t>המבקשת נקטה בהליכי הוצאה לפועל כנגד המשיב במסגרת תיק הוצאה לפועל לביצוע שיקים שונים. לטענתה, רק לאחר שנקטה בעיקול משכורת ולאחר כ-8 שנים מאז פתיחת תיק ההוצאה לפועל, פנה אליה המשיב בניסיון להסדיר חובו בתשלומים. הואיל והצעתו לשלם 500 ₪ לחודש היתה בלתי סבירה לנוכח גובה החוב, סירבה להצעתו אלא שאז פנה המשיב ללשכת ההוצאה לפועל בבקשה להכריז עליו כחייב מוגבל באמצעים.</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3.</w:t>
      </w:r>
      <w:r>
        <w:rPr>
          <w:rFonts w:hint="cs" w:ascii="Arial" w:hAnsi="Arial"/>
          <w:rtl/>
        </w:rPr>
        <w:tab/>
        <w:t>הרשם בהחלטתו הבהיר, כי המשיב עובד כירקן ומשתכר סך של 5,300 ₪ ועומדים כנגדו 10 תיקי הוצל"פ כשסך החובות מגיע לסך של 441,671 ₪. המשיב דיווח על הוצאות העולות על הכנסתו והציע לשלם 200-250 ₪, לאור כך הכריז כב' הרשם על המשיב כחייב מוגבל באמצעים וחייבו בתשלום של 350 ₪ לחודש.</w:t>
      </w:r>
    </w:p>
    <w:p w:rsidR="006C32AD" w:rsidP="00054BF2" w:rsidRDefault="006C32AD">
      <w:pPr>
        <w:spacing w:line="360" w:lineRule="auto"/>
        <w:ind w:left="720" w:hanging="720"/>
        <w:jc w:val="both"/>
        <w:rPr>
          <w:rFonts w:ascii="Arial" w:hAnsi="Arial"/>
          <w:rtl/>
        </w:rPr>
      </w:pPr>
    </w:p>
    <w:p w:rsidRPr="006C32AD" w:rsidR="00054BF2" w:rsidP="006C32AD" w:rsidRDefault="00054BF2">
      <w:pPr>
        <w:rPr>
          <w:rFonts w:ascii="Arial" w:hAnsi="Arial"/>
          <w:b/>
          <w:bCs/>
          <w:sz w:val="28"/>
          <w:szCs w:val="28"/>
        </w:rPr>
      </w:pPr>
      <w:r>
        <w:rPr>
          <w:rFonts w:hint="cs" w:ascii="Arial" w:hAnsi="Arial"/>
          <w:b/>
          <w:bCs/>
          <w:sz w:val="28"/>
          <w:szCs w:val="28"/>
          <w:u w:val="single"/>
          <w:rtl/>
        </w:rPr>
        <w:t>טעמי הבקשה</w:t>
      </w:r>
    </w:p>
    <w:p w:rsidR="00054BF2" w:rsidP="00054BF2" w:rsidRDefault="00054BF2">
      <w:pPr>
        <w:spacing w:line="360" w:lineRule="auto"/>
        <w:ind w:left="720" w:hanging="720"/>
        <w:jc w:val="both"/>
        <w:rPr>
          <w:rFonts w:ascii="Arial" w:hAnsi="Arial"/>
          <w:rtl/>
        </w:rPr>
      </w:pPr>
    </w:p>
    <w:p w:rsidR="006C32AD" w:rsidP="00054BF2" w:rsidRDefault="00054BF2">
      <w:pPr>
        <w:spacing w:line="360" w:lineRule="auto"/>
        <w:ind w:left="720" w:hanging="720"/>
        <w:jc w:val="both"/>
        <w:rPr>
          <w:rFonts w:ascii="Arial" w:hAnsi="Arial"/>
          <w:rtl/>
        </w:rPr>
      </w:pPr>
      <w:r>
        <w:rPr>
          <w:rFonts w:hint="cs" w:ascii="Arial" w:hAnsi="Arial"/>
          <w:rtl/>
        </w:rPr>
        <w:t>4.</w:t>
      </w:r>
      <w:r>
        <w:rPr>
          <w:rFonts w:hint="cs" w:ascii="Arial" w:hAnsi="Arial"/>
          <w:rtl/>
        </w:rPr>
        <w:tab/>
        <w:t>לטענת המבקשת, לוקה החלטת הרשם בחוסר סבירות קיצוני, וכי שגה עת לא פעל עפ"י סעיף</w:t>
      </w:r>
    </w:p>
    <w:p w:rsidR="00054BF2" w:rsidP="006C32AD" w:rsidRDefault="00054BF2">
      <w:pPr>
        <w:spacing w:line="360" w:lineRule="auto"/>
        <w:ind w:left="720"/>
        <w:jc w:val="both"/>
        <w:rPr>
          <w:rFonts w:ascii="Arial" w:hAnsi="Arial"/>
          <w:rtl/>
        </w:rPr>
      </w:pPr>
      <w:r>
        <w:rPr>
          <w:rFonts w:hint="cs" w:ascii="Arial" w:hAnsi="Arial"/>
          <w:rtl/>
        </w:rPr>
        <w:t xml:space="preserve"> 74ח(א) לחוק ההוצאה לפועל המחייב קיומם של תנאים מקדמיים לאיחוד התיקים, שהמשיב לא עמד בהם. לשיטתה היה על הרשם לחקור ביכולת המשיב ,לאפשר חקירתו ע"י המבקשת בטרם מתן ההחלטה תוך מתן הזדמנות להעלות טענות כנגד איחוד התיקים.</w:t>
      </w:r>
    </w:p>
    <w:p w:rsidR="00054BF2" w:rsidP="00054BF2" w:rsidRDefault="00054BF2">
      <w:pPr>
        <w:spacing w:line="360" w:lineRule="auto"/>
        <w:ind w:left="720" w:hanging="720"/>
        <w:jc w:val="both"/>
        <w:rPr>
          <w:rFonts w:ascii="Arial" w:hAnsi="Arial"/>
          <w:rtl/>
        </w:rPr>
      </w:pPr>
      <w:r>
        <w:rPr>
          <w:rFonts w:hint="cs" w:ascii="Arial" w:hAnsi="Arial"/>
          <w:rtl/>
        </w:rPr>
        <w:lastRenderedPageBreak/>
        <w:tab/>
        <w:t xml:space="preserve">זאת ועוד, כב' הרשם התחשב בסכום שפורע המשיב לבנק מבלי שהאחרון נקט כנגדו בהליכים כלל ובכך יש העדפת נושים פסולה ואסורה. כמו כן, לא הוצגו בפני הרשם כלל הנתונים הנדרשים למתן החלטתו </w:t>
      </w:r>
      <w:r w:rsidR="00F67297">
        <w:rPr>
          <w:rFonts w:hint="cs" w:ascii="Arial" w:hAnsi="Arial"/>
          <w:rtl/>
        </w:rPr>
        <w:t>,</w:t>
      </w:r>
      <w:r>
        <w:rPr>
          <w:rFonts w:hint="cs" w:ascii="Arial" w:hAnsi="Arial"/>
          <w:rtl/>
        </w:rPr>
        <w:t>כמו תלושי השכר של בת זוגו של המשיב, שעה שההלוואה שאותה הוא פורע נלקחה על שמה.</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5.</w:t>
      </w:r>
      <w:r>
        <w:rPr>
          <w:rFonts w:hint="cs" w:ascii="Arial" w:hAnsi="Arial"/>
          <w:rtl/>
        </w:rPr>
        <w:tab/>
        <w:t>הבקשה הועברה לתגובת המשיב, שלא הגיב ולא התייצב לדיון במעמד הצדדים שנקבע למרות שעפ"י אישור מסירה שהוצג לי, זומן כדין.</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b/>
          <w:bCs/>
          <w:sz w:val="28"/>
          <w:szCs w:val="28"/>
          <w:u w:val="single"/>
          <w:rtl/>
        </w:rPr>
      </w:pPr>
      <w:r>
        <w:rPr>
          <w:rFonts w:hint="cs" w:ascii="Arial" w:hAnsi="Arial"/>
          <w:b/>
          <w:bCs/>
          <w:sz w:val="28"/>
          <w:szCs w:val="28"/>
          <w:u w:val="single"/>
          <w:rtl/>
        </w:rPr>
        <w:t>דיון</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6.</w:t>
      </w:r>
      <w:r>
        <w:rPr>
          <w:rFonts w:hint="cs" w:ascii="Arial" w:hAnsi="Arial"/>
          <w:rtl/>
        </w:rPr>
        <w:tab/>
        <w:t xml:space="preserve">לאחר עיון בבקשה, במסמכים שצורפו ובנימוקיה ומשהמשיב לא טרח כלל להגיב או להתייצב לדיון, החלטתי לקבל את הבקשה ולדון בה כערעור עפ"י הרשות שניתנה. </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7.</w:t>
      </w:r>
      <w:r>
        <w:rPr>
          <w:rFonts w:hint="cs" w:ascii="Arial" w:hAnsi="Arial"/>
          <w:rtl/>
        </w:rPr>
        <w:tab/>
        <w:t xml:space="preserve">חוק ההוצאה לפועל מסמיך את רשם ההוצאה לפועל להכריז על חייב כמוגבל באמצעים עפ"י סעיף 69ג(א) לחוק על פי שיקול דעתו שברשות. במסגרת זו יוציא צו ביניים שיעמוד בתוקפו עד לסיום בדיקת יכולתו הכלכלית של החייב לצורך הכרזה עליו כחייב מוגבל באמצעים. לאחר שייאסף מידע מלא הדרוש למתן החלטה בעניין, רשאי הרשם להכריז על החייב כחייב מוגבל באמצעים. </w:t>
      </w:r>
    </w:p>
    <w:p w:rsidR="00054BF2" w:rsidP="00054BF2" w:rsidRDefault="00054BF2">
      <w:pPr>
        <w:spacing w:line="360" w:lineRule="auto"/>
        <w:ind w:left="720" w:hanging="720"/>
        <w:jc w:val="both"/>
        <w:rPr>
          <w:rFonts w:ascii="Arial" w:hAnsi="Arial"/>
          <w:rtl/>
        </w:rPr>
      </w:pPr>
      <w:r>
        <w:rPr>
          <w:rFonts w:hint="cs" w:ascii="Arial" w:hAnsi="Arial"/>
          <w:rtl/>
        </w:rPr>
        <w:tab/>
        <w:t xml:space="preserve">[ראה ג. הלוי </w:t>
      </w:r>
      <w:r>
        <w:rPr>
          <w:rFonts w:hint="cs" w:ascii="Arial" w:hAnsi="Arial"/>
          <w:b/>
          <w:bCs/>
          <w:rtl/>
        </w:rPr>
        <w:t>דיני אכיפת חיובים</w:t>
      </w:r>
      <w:r>
        <w:rPr>
          <w:rFonts w:hint="cs" w:ascii="Arial" w:hAnsi="Arial"/>
          <w:rtl/>
        </w:rPr>
        <w:t>, הוצאה לפועל וגביית קנסות, אגרות והוצאות ,כרך ב (תשע"ז) עמ' 452]</w:t>
      </w:r>
    </w:p>
    <w:p w:rsidR="00054BF2" w:rsidP="00054BF2" w:rsidRDefault="00054BF2">
      <w:pPr>
        <w:spacing w:line="360" w:lineRule="auto"/>
        <w:ind w:left="720"/>
        <w:jc w:val="both"/>
        <w:rPr>
          <w:rFonts w:ascii="Arial" w:hAnsi="Arial"/>
          <w:rtl/>
        </w:rPr>
      </w:pPr>
      <w:r>
        <w:rPr>
          <w:rFonts w:hint="cs" w:ascii="Arial" w:hAnsi="Arial"/>
          <w:rtl/>
        </w:rPr>
        <w:t xml:space="preserve">וכך נאמר ברע"א 824/06 </w:t>
      </w:r>
      <w:r>
        <w:rPr>
          <w:rFonts w:hint="cs" w:ascii="Arial" w:hAnsi="Arial"/>
          <w:b/>
          <w:bCs/>
          <w:rtl/>
        </w:rPr>
        <w:t>בנק הפועלים נ' גרתי</w:t>
      </w:r>
      <w:r>
        <w:rPr>
          <w:rFonts w:hint="cs" w:ascii="Arial" w:hAnsi="Arial"/>
          <w:rtl/>
        </w:rPr>
        <w:t xml:space="preserve"> (27.9.06) (פסקה 4):</w:t>
      </w:r>
    </w:p>
    <w:p w:rsidR="00054BF2" w:rsidP="00F67297" w:rsidRDefault="00054BF2">
      <w:pPr>
        <w:spacing w:line="360" w:lineRule="auto"/>
        <w:ind w:left="1440"/>
        <w:jc w:val="both"/>
        <w:rPr>
          <w:rFonts w:ascii="Arial" w:hAnsi="Arial"/>
          <w:b/>
          <w:bCs/>
          <w:rtl/>
        </w:rPr>
      </w:pPr>
      <w:r>
        <w:rPr>
          <w:rFonts w:hint="cs" w:ascii="Arial" w:hAnsi="Arial"/>
          <w:b/>
          <w:bCs/>
          <w:rtl/>
        </w:rPr>
        <w:t>"מנגנון ה'הכרזה' נועד ליתן פתרון למצב, בו נקבע הסדר תשלומים על פי המועדים הקבועים בסעיף 69ג לחוק, וידוע מראש כי החייב אינו יכול לעמוד בהסדר זה, ולכן יהיה צפוי למאסר.</w:t>
      </w:r>
      <w:r w:rsidR="00F67297">
        <w:rPr>
          <w:rFonts w:hint="cs" w:ascii="Arial" w:hAnsi="Arial"/>
          <w:b/>
          <w:bCs/>
          <w:rtl/>
        </w:rPr>
        <w:t>...</w:t>
      </w:r>
      <w:r>
        <w:rPr>
          <w:rFonts w:hint="cs" w:ascii="Arial" w:hAnsi="Arial"/>
          <w:b/>
          <w:bCs/>
          <w:rtl/>
        </w:rPr>
        <w:t xml:space="preserve"> ההסדר הקבוע במנגנון מאפשר לחייבים, אשר אין באפשרותם לפרוע את חובותיהם בתוך הזמן שנקבע לכך בחוק, לפרוע את חובותיהם  תוך שמירה על זכויותיהם. מנגד, מאפשר ההסדר להטיל מגבלות שונות על אותם חייבים על מנת לעודדם לפרוע את חובותיהם בפרקי זמן סבירים, ועל מנת למנוע שימוש לרעה במנגנון</w:t>
      </w:r>
      <w:r w:rsidR="00F67297">
        <w:rPr>
          <w:rFonts w:hint="cs" w:ascii="Arial" w:hAnsi="Arial"/>
          <w:b/>
          <w:bCs/>
          <w:rtl/>
        </w:rPr>
        <w:t>...</w:t>
      </w:r>
      <w:r>
        <w:rPr>
          <w:rFonts w:hint="cs" w:ascii="Arial" w:hAnsi="Arial"/>
          <w:b/>
          <w:bCs/>
          <w:rtl/>
        </w:rPr>
        <w:t xml:space="preserve">. הנה כי כן, עניין לנו באיזון מתמיד בין תכליות ואינטרסים מתנגשים. בגדרו של איזון זה יינתן – כאמור - משקל נכבד לאינטרס של הנושה: "איזון זה ייתן משקל נכבד לזכויות של הזוכה ולאינטרסים של הזוכה ושל הציבור, שהרי ההתדיינות המשפטית נסתיימה. זכותו של הזוכה מעוגנת בפסק דין סופי. על החייב לקיים את פסק הדין. זוהי נקודת המוצא" </w:t>
      </w:r>
      <w:r w:rsidR="00F67297">
        <w:rPr>
          <w:rFonts w:hint="cs" w:ascii="Arial" w:hAnsi="Arial"/>
          <w:b/>
          <w:bCs/>
          <w:rtl/>
        </w:rPr>
        <w:t>....</w:t>
      </w:r>
      <w:r>
        <w:rPr>
          <w:rFonts w:hint="cs" w:ascii="Arial" w:hAnsi="Arial"/>
          <w:b/>
          <w:bCs/>
          <w:rtl/>
        </w:rPr>
        <w:t xml:space="preserve">עם זאת יש לזכור, כי כדרכו וכטבעו של כל איזון, זכויותיו של הנושה אינן מוחלטות. ייתכנו מקרים ונסיבות, בהם תיטה הכף לזכותו של חייב פלוני. ברי, כי לא ניתן למנות </w:t>
      </w:r>
      <w:r>
        <w:rPr>
          <w:rFonts w:hint="cs" w:ascii="Arial" w:hAnsi="Arial"/>
          <w:b/>
          <w:bCs/>
          <w:rtl/>
        </w:rPr>
        <w:lastRenderedPageBreak/>
        <w:t>מקרים אלה ב'רשימה סגורה'. הבחינה צריך שתיעשה בכל מקרה לגופו ולנסיבותיו, והשכל הישר יהא כתמיד יועץ טוב."</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8.</w:t>
      </w:r>
      <w:r>
        <w:rPr>
          <w:rFonts w:hint="cs" w:ascii="Arial" w:hAnsi="Arial"/>
          <w:rtl/>
        </w:rPr>
        <w:tab/>
        <w:t>יצוין, כי המשיב אכן הגיש בקשה לאיחוד התיקים התלויים כנגדו, אולם שלא במסגרת איחוד התיקים עפ"י סעיף 74 לחוק, שאינו חל בענייננו, אלא עפ"י סעיף 96 וזאת ניתן ללמוד מהעתירה המפורשת (שסומנה ב-</w:t>
      </w:r>
      <w:r>
        <w:rPr>
          <w:rFonts w:ascii="Arial" w:hAnsi="Arial"/>
        </w:rPr>
        <w:t>X</w:t>
      </w:r>
      <w:r>
        <w:rPr>
          <w:rFonts w:hint="cs" w:ascii="Arial" w:hAnsi="Arial"/>
          <w:rtl/>
        </w:rPr>
        <w:t xml:space="preserve">) להכריז עליו כחייב מוגבל באמצעים וליתן צו חיוב חודשי בסך של 200 ₪. </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ab/>
        <w:t xml:space="preserve">לא למותר לציין, שבבוא רשם ההוצאה לפועל להכריז על החייב כחייב מוגבל באמצעים במעמד צד אחד וללא קיום חקירה פרונטלית, על הרשם לתת דעתו לכל הנתונים שהוצגו ולבדקם בפניו בקפדנות יתר. </w:t>
      </w:r>
    </w:p>
    <w:p w:rsidR="00054BF2" w:rsidP="00054BF2" w:rsidRDefault="00F67297">
      <w:pPr>
        <w:spacing w:line="360" w:lineRule="auto"/>
        <w:ind w:left="720"/>
        <w:jc w:val="both"/>
        <w:rPr>
          <w:rFonts w:ascii="Arial" w:hAnsi="Arial"/>
          <w:rtl/>
        </w:rPr>
      </w:pPr>
      <w:r>
        <w:rPr>
          <w:rFonts w:hint="cs" w:ascii="Arial" w:hAnsi="Arial"/>
          <w:rtl/>
        </w:rPr>
        <w:t>מעיון במאזן ההכנסות</w:t>
      </w:r>
      <w:r w:rsidR="00054BF2">
        <w:rPr>
          <w:rFonts w:hint="cs" w:ascii="Arial" w:hAnsi="Arial"/>
          <w:rtl/>
        </w:rPr>
        <w:t xml:space="preserve"> וההוצאות </w:t>
      </w:r>
      <w:r>
        <w:rPr>
          <w:rFonts w:hint="cs" w:ascii="Arial" w:hAnsi="Arial"/>
          <w:rtl/>
        </w:rPr>
        <w:t>של המשיב שהוצגו עולה, כי האחרון</w:t>
      </w:r>
      <w:r w:rsidR="00054BF2">
        <w:rPr>
          <w:rFonts w:hint="cs" w:ascii="Arial" w:hAnsi="Arial"/>
          <w:rtl/>
        </w:rPr>
        <w:t xml:space="preserve"> בחר לציין במסגרת הוצאותיו רכיב משמעותי בשיעורו של תשלום חובות והלוואות בסך 4,400 ₪ (בגין הלוואה של בת זוגתו והלוואה ממקום עבודתו)</w:t>
      </w:r>
      <w:r>
        <w:rPr>
          <w:rFonts w:hint="cs" w:ascii="Arial" w:hAnsi="Arial"/>
          <w:rtl/>
        </w:rPr>
        <w:t xml:space="preserve"> מבלי לפרט ,וכפי שכב' הרשם ציין</w:t>
      </w:r>
      <w:r w:rsidR="00054BF2">
        <w:rPr>
          <w:rFonts w:hint="cs" w:ascii="Arial" w:hAnsi="Arial"/>
          <w:rtl/>
        </w:rPr>
        <w:t>, מבלי שהובהרה מטרת ההלוואה שניטלה בסך של 100,00</w:t>
      </w:r>
      <w:r w:rsidR="006C32AD">
        <w:rPr>
          <w:rFonts w:hint="cs" w:ascii="Arial" w:hAnsi="Arial"/>
          <w:rtl/>
        </w:rPr>
        <w:t xml:space="preserve">0 ₪. כמו כן, אין להתעלם מהעדר הפרעון ע"י המשיב </w:t>
      </w:r>
      <w:r w:rsidR="00054BF2">
        <w:rPr>
          <w:rFonts w:hint="cs" w:ascii="Arial" w:hAnsi="Arial"/>
          <w:rtl/>
        </w:rPr>
        <w:t>במשך שנים – דבר המשליך על מידת האמון שיש ליתן בו שלא ינצל את תיק האיחוד לרעה.</w:t>
      </w:r>
    </w:p>
    <w:p w:rsidR="00054BF2" w:rsidP="00054BF2" w:rsidRDefault="00054BF2">
      <w:pPr>
        <w:spacing w:line="360" w:lineRule="auto"/>
        <w:ind w:left="720" w:hanging="720"/>
        <w:jc w:val="both"/>
        <w:rPr>
          <w:rFonts w:ascii="Arial" w:hAnsi="Arial"/>
          <w:rtl/>
        </w:rPr>
      </w:pPr>
      <w:r>
        <w:rPr>
          <w:rFonts w:hint="cs" w:ascii="Arial" w:hAnsi="Arial"/>
          <w:rtl/>
        </w:rPr>
        <w:tab/>
        <w:t xml:space="preserve">בנסיבות אלו, היה מקום לזמן את המשיב לחקירת יכולת במעמד המבקשת או הזוכים האחרים, גם אם ניתן צו תשלומים וגם אם עומדת להם זכות לעתור לקיומה של חקירת יכולת. </w:t>
      </w:r>
    </w:p>
    <w:p w:rsidR="00054BF2" w:rsidP="00054BF2" w:rsidRDefault="00054BF2">
      <w:pPr>
        <w:spacing w:line="360" w:lineRule="auto"/>
        <w:ind w:left="720" w:hanging="720"/>
        <w:jc w:val="both"/>
        <w:rPr>
          <w:rFonts w:ascii="Arial" w:hAnsi="Arial"/>
          <w:rtl/>
        </w:rPr>
      </w:pPr>
    </w:p>
    <w:p w:rsidR="00054BF2" w:rsidP="00054BF2" w:rsidRDefault="00054BF2">
      <w:pPr>
        <w:spacing w:line="360" w:lineRule="auto"/>
        <w:ind w:left="720" w:hanging="720"/>
        <w:jc w:val="both"/>
        <w:rPr>
          <w:rFonts w:ascii="Arial" w:hAnsi="Arial"/>
          <w:rtl/>
        </w:rPr>
      </w:pPr>
      <w:r>
        <w:rPr>
          <w:rFonts w:hint="cs" w:ascii="Arial" w:hAnsi="Arial"/>
          <w:rtl/>
        </w:rPr>
        <w:t>9.</w:t>
      </w:r>
      <w:r>
        <w:rPr>
          <w:rFonts w:hint="cs" w:ascii="Arial" w:hAnsi="Arial"/>
          <w:rtl/>
        </w:rPr>
        <w:tab/>
        <w:t>לאור האמור, אני מורה על החזרת הדיון בבקשת המשיב לרשם ההוצאה לפועל שיזמן את האחרון לחקירת יכולת בפניו במסגרת תיק ה</w:t>
      </w:r>
      <w:r w:rsidR="006C32AD">
        <w:rPr>
          <w:rFonts w:hint="cs" w:ascii="Arial" w:hAnsi="Arial"/>
          <w:rtl/>
        </w:rPr>
        <w:t xml:space="preserve">איחוד במעמד כלל הזוכים, ובמסגרת זו יבחן גם את שאלת </w:t>
      </w:r>
      <w:bookmarkStart w:name="_GoBack" w:id="0"/>
      <w:bookmarkEnd w:id="0"/>
      <w:r>
        <w:rPr>
          <w:rFonts w:hint="cs" w:ascii="Arial" w:hAnsi="Arial"/>
          <w:rtl/>
        </w:rPr>
        <w:t xml:space="preserve">הכרזתו כחייב מוגבל באמצעים. </w:t>
      </w:r>
    </w:p>
    <w:p w:rsidR="00054BF2" w:rsidP="00054BF2" w:rsidRDefault="00054BF2">
      <w:pPr>
        <w:spacing w:line="360" w:lineRule="auto"/>
        <w:ind w:left="720"/>
        <w:jc w:val="both"/>
        <w:rPr>
          <w:rFonts w:ascii="Arial" w:hAnsi="Arial"/>
          <w:rtl/>
        </w:rPr>
      </w:pPr>
      <w:r>
        <w:rPr>
          <w:rFonts w:hint="cs" w:ascii="Arial" w:hAnsi="Arial"/>
          <w:rtl/>
        </w:rPr>
        <w:t>ככל שהמשיב לא יתייצב לחקירה תבוטל החלטת כב' הרשם נשוא בקשת הרשות לערער  על כל רכיביה.</w:t>
      </w:r>
    </w:p>
    <w:p w:rsidR="00054BF2" w:rsidP="006C32AD" w:rsidRDefault="00054BF2">
      <w:pPr>
        <w:spacing w:line="360" w:lineRule="auto"/>
        <w:jc w:val="both"/>
        <w:rPr>
          <w:rFonts w:ascii="Arial" w:hAnsi="Arial"/>
          <w:rtl/>
        </w:rPr>
      </w:pPr>
    </w:p>
    <w:p w:rsidR="00694556" w:rsidP="006C32AD" w:rsidRDefault="00054BF2">
      <w:pPr>
        <w:spacing w:line="360" w:lineRule="auto"/>
        <w:ind w:left="720" w:hanging="720"/>
        <w:jc w:val="both"/>
        <w:rPr>
          <w:rFonts w:ascii="Arial" w:hAnsi="Arial"/>
          <w:rtl/>
        </w:rPr>
      </w:pPr>
      <w:r>
        <w:rPr>
          <w:rFonts w:hint="cs" w:ascii="Arial" w:hAnsi="Arial"/>
          <w:b/>
          <w:bCs/>
          <w:rtl/>
        </w:rPr>
        <w:t>המזכירות</w:t>
      </w:r>
      <w:r>
        <w:rPr>
          <w:rFonts w:hint="cs" w:ascii="Arial" w:hAnsi="Arial"/>
          <w:rtl/>
        </w:rPr>
        <w:t xml:space="preserve"> תשלח פסק הדין לצדדים </w:t>
      </w:r>
      <w:r w:rsidR="006C32AD">
        <w:rPr>
          <w:rFonts w:hint="cs" w:ascii="Arial" w:hAnsi="Arial"/>
          <w:rtl/>
        </w:rPr>
        <w:t>.</w:t>
      </w:r>
    </w:p>
    <w:p w:rsidR="00694556" w:rsidP="00F5426C"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53564834"/>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32707517"/>
          <w:text w:multiLine="1"/>
        </w:sdtPr>
        <w:sdtEndPr/>
        <w:sdtContent>
          <w:r>
            <w:rPr>
              <w:rFonts w:ascii="Arial" w:hAnsi="Arial"/>
              <w:noProof w:val="0"/>
              <w:rtl/>
            </w:rPr>
            <w:t>12 אפריל 2018</w:t>
          </w:r>
        </w:sdtContent>
      </w:sdt>
      <w:r>
        <w:rPr>
          <w:rFonts w:ascii="Arial" w:hAnsi="Arial"/>
          <w:noProof w:val="0"/>
          <w:rtl/>
        </w:rPr>
        <w:t>, בהעדר הצדדים.</w:t>
      </w:r>
    </w:p>
    <w:p w:rsidR="00694556" w:rsidP="00F5426C" w:rsidRDefault="00694556">
      <w:pPr>
        <w:spacing w:line="360" w:lineRule="auto"/>
        <w:jc w:val="both"/>
        <w:rPr>
          <w:rFonts w:ascii="Arial" w:hAnsi="Arial"/>
          <w:noProof w:val="0"/>
          <w:rtl/>
        </w:rPr>
      </w:pPr>
    </w:p>
    <w:p w:rsidR="00694556" w:rsidP="00F5426C" w:rsidRDefault="00762F05">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215265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ffd89349f434766" cstate="print">
                            <a:extLst>
                              <a:ext uri="{28A0092B-C50C-407E-A947-70E740481C1C}"/>
                            </a:extLst>
                          </a:blip>
                          <a:stretch>
                            <a:fillRect/>
                          </a:stretch>
                        </pic:blipFill>
                        <pic:spPr>
                          <a:xfrm>
                            <a:off x="0" y="0"/>
                            <a:ext cx="2152650" cy="838200"/>
                          </a:xfrm>
                          <a:prstGeom prst="rect">
                            <a:avLst/>
                          </a:prstGeom>
                        </pic:spPr>
                      </pic:pic>
                    </a:graphicData>
                  </a:graphic>
                </wp:inline>
              </w:drawing>
            </w:r>
          </w:p>
        </w:sdtContent>
      </w:sdt>
    </w:p>
    <w:p w:rsidR="00694556" w:rsidP="00F5426C" w:rsidRDefault="00694556">
      <w:pPr>
        <w:spacing w:line="360" w:lineRule="auto"/>
        <w:jc w:val="both"/>
        <w:rPr>
          <w:rFonts w:ascii="Arial" w:hAnsi="Arial"/>
          <w:noProof w:val="0"/>
          <w:rtl/>
        </w:rPr>
      </w:pPr>
    </w:p>
    <w:p w:rsidR="00694556" w:rsidP="00F5426C"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A92F6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62F05">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62F0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62F05">
    <w:pPr>
      <w:pStyle w:val="a3"/>
      <w:jc w:val="center"/>
      <w:rPr>
        <w:rFonts w:cs="FrankRuehl"/>
        <w:noProof w:val="0"/>
        <w:sz w:val="28"/>
        <w:szCs w:val="28"/>
        <w:rtl/>
      </w:rPr>
    </w:pPr>
    <w:r>
      <w:rPr>
        <w:rFonts w:cs="FrankRuehl"/>
        <w:sz w:val="28"/>
        <w:szCs w:val="28"/>
        <w:rtl/>
      </w:rPr>
    </w:r>
    <w:r w:rsidR="00F17C53">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703134763"/>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בכפר סבא</w:t>
              </w:r>
            </w:p>
          </w:tc>
        </w:sdtContent>
      </w:sdt>
    </w:tr>
    <w:tr w:rsidR="00694556">
      <w:trPr>
        <w:trHeight w:val="337"/>
        <w:jc w:val="center"/>
      </w:trPr>
      <w:tc>
        <w:tcPr>
          <w:tcW w:w="5047" w:type="dxa"/>
        </w:tcPr>
        <w:p w:rsidR="00694556" w:rsidRDefault="00694556">
          <w:pPr>
            <w:rPr>
              <w:b/>
              <w:bCs/>
              <w:noProof w:val="0"/>
              <w:sz w:val="26"/>
              <w:szCs w:val="26"/>
              <w:rtl/>
            </w:rPr>
          </w:pPr>
        </w:p>
      </w:tc>
      <w:sdt>
        <w:sdtPr>
          <w:rPr>
            <w:rtl/>
          </w:rPr>
          <w:alias w:val="1456"/>
          <w:tag w:val="1456"/>
          <w:id w:val="1590269224"/>
          <w:text/>
        </w:sdtPr>
        <w:sdtEndPr/>
        <w:sdtContent>
          <w:tc>
            <w:tcPr>
              <w:tcW w:w="3674" w:type="dxa"/>
            </w:tcPr>
            <w:p w:rsidR="00694556" w:rsidRDefault="00005C8B">
              <w:pPr>
                <w:pStyle w:val="a3"/>
                <w:jc w:val="right"/>
                <w:rPr>
                  <w:b/>
                  <w:bCs/>
                  <w:noProof w:val="0"/>
                  <w:sz w:val="26"/>
                  <w:szCs w:val="26"/>
                  <w:rtl/>
                </w:rPr>
              </w:pPr>
              <w:r>
                <w:rPr>
                  <w:b/>
                  <w:bCs/>
                  <w:noProof w:val="0"/>
                  <w:sz w:val="26"/>
                  <w:szCs w:val="26"/>
                  <w:rtl/>
                </w:rPr>
                <w:t>12 אפריל 2018</w:t>
              </w:r>
            </w:p>
          </w:tc>
        </w:sdtContent>
      </w:sdt>
    </w:tr>
    <w:tr w:rsidR="00694556">
      <w:trPr>
        <w:trHeight w:val="337"/>
        <w:jc w:val="center"/>
      </w:trPr>
      <w:tc>
        <w:tcPr>
          <w:tcW w:w="8721" w:type="dxa"/>
          <w:gridSpan w:val="2"/>
        </w:tcPr>
        <w:p w:rsidR="00694556" w:rsidRDefault="00762F05">
          <w:pPr>
            <w:rPr>
              <w:b/>
              <w:bCs/>
              <w:noProof w:val="0"/>
              <w:sz w:val="26"/>
              <w:szCs w:val="26"/>
              <w:rtl/>
            </w:rPr>
          </w:pPr>
          <w:sdt>
            <w:sdtPr>
              <w:rPr>
                <w:rtl/>
              </w:rPr>
              <w:alias w:val="1170"/>
              <w:tag w:val="1170"/>
              <w:id w:val="-2097241114"/>
              <w:text w:multiLine="1"/>
            </w:sdtPr>
            <w:sdtEndPr/>
            <w:sdtContent>
              <w:r w:rsidR="006C72AF">
                <w:rPr>
                  <w:b/>
                  <w:bCs/>
                  <w:noProof w:val="0"/>
                  <w:sz w:val="26"/>
                  <w:szCs w:val="26"/>
                  <w:rtl/>
                </w:rPr>
                <w:t>רע"צ</w:t>
              </w:r>
            </w:sdtContent>
          </w:sdt>
          <w:r w:rsidR="00005C8B">
            <w:rPr>
              <w:b/>
              <w:bCs/>
              <w:noProof w:val="0"/>
              <w:sz w:val="26"/>
              <w:szCs w:val="26"/>
              <w:rtl/>
            </w:rPr>
            <w:t xml:space="preserve"> </w:t>
          </w:r>
          <w:sdt>
            <w:sdtPr>
              <w:rPr>
                <w:rtl/>
              </w:rPr>
              <w:alias w:val="1171"/>
              <w:tag w:val="1171"/>
              <w:id w:val="261960615"/>
              <w:text w:multiLine="1"/>
            </w:sdtPr>
            <w:sdtEndPr/>
            <w:sdtContent>
              <w:r w:rsidR="006C72AF">
                <w:rPr>
                  <w:b/>
                  <w:bCs/>
                  <w:noProof w:val="0"/>
                  <w:sz w:val="26"/>
                  <w:szCs w:val="26"/>
                  <w:rtl/>
                </w:rPr>
                <w:t>45780-12-17</w:t>
              </w:r>
            </w:sdtContent>
          </w:sdt>
          <w:r w:rsidR="00005C8B">
            <w:rPr>
              <w:b/>
              <w:bCs/>
              <w:noProof w:val="0"/>
              <w:sz w:val="26"/>
              <w:szCs w:val="26"/>
              <w:rtl/>
            </w:rPr>
            <w:t xml:space="preserve"> </w:t>
          </w:r>
          <w:sdt>
            <w:sdtPr>
              <w:rPr>
                <w:rtl/>
              </w:rPr>
              <w:alias w:val="1172"/>
              <w:tag w:val="1172"/>
              <w:id w:val="-658462461"/>
              <w:text w:multiLine="1"/>
            </w:sdtPr>
            <w:sdtEndPr/>
            <w:sdtContent>
              <w:r w:rsidR="006C72AF">
                <w:rPr>
                  <w:b/>
                  <w:bCs/>
                  <w:noProof w:val="0"/>
                  <w:sz w:val="26"/>
                  <w:szCs w:val="26"/>
                  <w:rtl/>
                </w:rPr>
                <w:t>ואלורו בע"מ נ' טולדנו</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6498"/>
    <o:shapelayout v:ext="edit">
      <o:idmap v:ext="edit" data="10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E3B"/>
    <w:rsid w:val="00016C2A"/>
    <w:rsid w:val="00016C35"/>
    <w:rsid w:val="00040688"/>
    <w:rsid w:val="00054BF2"/>
    <w:rsid w:val="000564AB"/>
    <w:rsid w:val="0008523D"/>
    <w:rsid w:val="0009657D"/>
    <w:rsid w:val="000F2CFB"/>
    <w:rsid w:val="000F74E8"/>
    <w:rsid w:val="0014234E"/>
    <w:rsid w:val="001C4003"/>
    <w:rsid w:val="001C577D"/>
    <w:rsid w:val="002319D8"/>
    <w:rsid w:val="003876F3"/>
    <w:rsid w:val="00466C08"/>
    <w:rsid w:val="004E6E3C"/>
    <w:rsid w:val="005314E2"/>
    <w:rsid w:val="00547DB7"/>
    <w:rsid w:val="005C55A5"/>
    <w:rsid w:val="00614403"/>
    <w:rsid w:val="00622BAA"/>
    <w:rsid w:val="00625C89"/>
    <w:rsid w:val="00627FF3"/>
    <w:rsid w:val="00671BD5"/>
    <w:rsid w:val="006805C1"/>
    <w:rsid w:val="00683466"/>
    <w:rsid w:val="00694556"/>
    <w:rsid w:val="006C32AD"/>
    <w:rsid w:val="006C72AF"/>
    <w:rsid w:val="006D04B8"/>
    <w:rsid w:val="006E1A53"/>
    <w:rsid w:val="007056AA"/>
    <w:rsid w:val="00762F05"/>
    <w:rsid w:val="00781D0D"/>
    <w:rsid w:val="007A24FE"/>
    <w:rsid w:val="007B52FB"/>
    <w:rsid w:val="007D50F6"/>
    <w:rsid w:val="008057AE"/>
    <w:rsid w:val="00820005"/>
    <w:rsid w:val="00846D27"/>
    <w:rsid w:val="008A66AE"/>
    <w:rsid w:val="00903896"/>
    <w:rsid w:val="00990DE2"/>
    <w:rsid w:val="009E0263"/>
    <w:rsid w:val="00A862E8"/>
    <w:rsid w:val="00A92F65"/>
    <w:rsid w:val="00AF1ED6"/>
    <w:rsid w:val="00B00C4C"/>
    <w:rsid w:val="00B80CBD"/>
    <w:rsid w:val="00BC3369"/>
    <w:rsid w:val="00BC4FD2"/>
    <w:rsid w:val="00BD191C"/>
    <w:rsid w:val="00C36286"/>
    <w:rsid w:val="00D26167"/>
    <w:rsid w:val="00D53924"/>
    <w:rsid w:val="00D96D8C"/>
    <w:rsid w:val="00E54642"/>
    <w:rsid w:val="00E91CFA"/>
    <w:rsid w:val="00E97908"/>
    <w:rsid w:val="00F01BD4"/>
    <w:rsid w:val="00F17C53"/>
    <w:rsid w:val="00F5426C"/>
    <w:rsid w:val="00F67297"/>
    <w:rsid w:val="00FC248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14:docId w14:val="5F2025F0"/>
  <w15:docId w15:val="{C47A970E-B684-42EB-8A2D-46ADCC0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B5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530017">
      <w:bodyDiv w:val="1"/>
      <w:marLeft w:val="0"/>
      <w:marRight w:val="0"/>
      <w:marTop w:val="0"/>
      <w:marBottom w:val="0"/>
      <w:divBdr>
        <w:top w:val="none" w:sz="0" w:space="0" w:color="auto"/>
        <w:left w:val="none" w:sz="0" w:space="0" w:color="auto"/>
        <w:bottom w:val="none" w:sz="0" w:space="0" w:color="auto"/>
        <w:right w:val="none" w:sz="0" w:space="0" w:color="auto"/>
      </w:divBdr>
    </w:div>
    <w:div w:id="1142114437">
      <w:bodyDiv w:val="1"/>
      <w:marLeft w:val="0"/>
      <w:marRight w:val="0"/>
      <w:marTop w:val="0"/>
      <w:marBottom w:val="0"/>
      <w:divBdr>
        <w:top w:val="none" w:sz="0" w:space="0" w:color="auto"/>
        <w:left w:val="none" w:sz="0" w:space="0" w:color="auto"/>
        <w:bottom w:val="none" w:sz="0" w:space="0" w:color="auto"/>
        <w:right w:val="none" w:sz="0" w:space="0" w:color="auto"/>
      </w:divBdr>
    </w:div>
    <w:div w:id="122487506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2431829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15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dffd89349f43476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780</Words>
  <Characters>3905</Characters>
  <Application>Microsoft Office Word</Application>
  <DocSecurity>0</DocSecurity>
  <Lines>32</Lines>
  <Paragraphs>9</Paragraphs>
  <ScaleCrop>false</ScaleCrop>
  <Company>Microsoft Corporation</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רחל קרלינסקי</cp:lastModifiedBy>
  <cp:revision>32</cp:revision>
  <dcterms:created xsi:type="dcterms:W3CDTF">2012-08-06T05:09:00Z</dcterms:created>
  <dcterms:modified xsi:type="dcterms:W3CDTF">2018-04-12T12:51:00Z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