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11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חופית גרשון-יזרעאלי</w:t>
          </w:r>
        </w:sdtContent>
      </w:sdt>
      <w:r w:rsidRPr="003C4168" w:rsidR="00E8170A">
        <w:rPr>
          <w:b/>
          <w:bCs/>
          <w:sz w:val="28"/>
          <w:szCs w:val="28"/>
          <w:rtl/>
        </w:rPr>
        <w:t xml:space="preserve"> </w:t>
      </w:r>
    </w:p>
    <w:p w:rsidRPr="003C4168" w:rsidR="002C1C43" w:rsidP="000E13CD" w:rsidRDefault="002C1C43">
      <w:pPr>
        <w:spacing w:line="360" w:lineRule="auto"/>
        <w:rPr>
          <w:b/>
          <w:bCs/>
          <w:sz w:val="28"/>
          <w:szCs w:val="28"/>
          <w:rtl/>
        </w:rPr>
      </w:pP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80"/>
        <w:gridCol w:w="5922"/>
      </w:tblGrid>
      <w:tr w:rsidR="00EB0F63" w:rsidTr="00EB0F63">
        <w:tc>
          <w:tcPr>
            <w:tcW w:w="2880" w:type="dxa"/>
            <w:hideMark/>
          </w:tcPr>
          <w:p w:rsidR="00EB0F63" w:rsidRDefault="00EB0F63">
            <w:pPr>
              <w:ind w:left="26"/>
              <w:rPr>
                <w:b/>
                <w:bCs/>
                <w:noProof w:val="0"/>
                <w:sz w:val="28"/>
                <w:szCs w:val="28"/>
                <w:u w:val="single"/>
              </w:rPr>
            </w:pPr>
            <w:r>
              <w:rPr>
                <w:rFonts w:hint="cs"/>
                <w:b/>
                <w:bCs/>
                <w:sz w:val="28"/>
                <w:szCs w:val="28"/>
                <w:u w:val="single"/>
                <w:rtl/>
              </w:rPr>
              <w:t>ה</w:t>
            </w:r>
            <w:sdt>
              <w:sdtPr>
                <w:rPr>
                  <w:sz w:val="28"/>
                  <w:szCs w:val="28"/>
                  <w:u w:val="single"/>
                  <w:rtl/>
                </w:rPr>
                <w:alias w:val="1264"/>
                <w:tag w:val="1264"/>
                <w:id w:val="1500691457"/>
                <w:text w:multiLine="1"/>
              </w:sdtPr>
              <w:sdtEndPr/>
              <w:sdtContent>
                <w:r>
                  <w:rPr>
                    <w:rFonts w:hint="cs"/>
                    <w:b/>
                    <w:bCs/>
                    <w:sz w:val="28"/>
                    <w:szCs w:val="28"/>
                    <w:u w:val="single"/>
                    <w:rtl/>
                  </w:rPr>
                  <w:t>תובע</w:t>
                </w:r>
              </w:sdtContent>
            </w:sdt>
          </w:p>
        </w:tc>
        <w:tc>
          <w:tcPr>
            <w:tcW w:w="5922" w:type="dxa"/>
            <w:hideMark/>
          </w:tcPr>
          <w:p w:rsidR="00EB0F63" w:rsidRDefault="00E81083">
            <w:pPr>
              <w:rPr>
                <w:b/>
                <w:bCs/>
                <w:sz w:val="28"/>
                <w:szCs w:val="28"/>
                <w:rtl/>
              </w:rPr>
            </w:pPr>
            <w:sdt>
              <w:sdtPr>
                <w:rPr>
                  <w:sz w:val="28"/>
                  <w:szCs w:val="28"/>
                  <w:rtl/>
                </w:rPr>
                <w:alias w:val="825"/>
                <w:tag w:val="825"/>
                <w:id w:val="-2140873446"/>
                <w:text w:multiLine="1"/>
              </w:sdtPr>
              <w:sdtEndPr/>
              <w:sdtContent>
                <w:r w:rsidR="00EB0F63">
                  <w:rPr>
                    <w:b/>
                    <w:bCs/>
                    <w:sz w:val="28"/>
                    <w:szCs w:val="28"/>
                  </w:rPr>
                  <w:t>Khamis Tom Mohamed Younis</w:t>
                </w:r>
              </w:sdtContent>
            </w:sdt>
          </w:p>
          <w:p w:rsidR="00EB0F63" w:rsidRDefault="00EB0F63">
            <w:pPr>
              <w:rPr>
                <w:b/>
                <w:bCs/>
                <w:sz w:val="28"/>
                <w:szCs w:val="28"/>
                <w:rtl/>
              </w:rPr>
            </w:pPr>
            <w:r>
              <w:rPr>
                <w:rFonts w:hint="cs"/>
                <w:b/>
                <w:bCs/>
                <w:sz w:val="28"/>
                <w:szCs w:val="28"/>
                <w:rtl/>
              </w:rPr>
              <w:t xml:space="preserve">(דרכון סודן מס' </w:t>
            </w:r>
            <w:r>
              <w:rPr>
                <w:b/>
                <w:bCs/>
                <w:sz w:val="28"/>
                <w:szCs w:val="28"/>
              </w:rPr>
              <w:t>C0748301</w:t>
            </w:r>
            <w:r>
              <w:rPr>
                <w:rFonts w:hint="cs"/>
                <w:b/>
                <w:bCs/>
                <w:sz w:val="28"/>
                <w:szCs w:val="28"/>
                <w:rtl/>
              </w:rPr>
              <w:t>)</w:t>
            </w:r>
          </w:p>
          <w:p w:rsidR="00EB0F63" w:rsidRDefault="00EB0F63">
            <w:pPr>
              <w:rPr>
                <w:b/>
                <w:bCs/>
                <w:sz w:val="28"/>
                <w:szCs w:val="28"/>
                <w:rtl/>
              </w:rPr>
            </w:pPr>
            <w:r>
              <w:rPr>
                <w:rFonts w:hint="cs"/>
                <w:b/>
                <w:bCs/>
                <w:sz w:val="28"/>
                <w:szCs w:val="28"/>
                <w:rtl/>
              </w:rPr>
              <w:t>ע"י ב"כ עו"ד אשר סבג</w:t>
            </w:r>
          </w:p>
        </w:tc>
      </w:tr>
      <w:tr w:rsidR="00EB0F63" w:rsidTr="00EB0F63">
        <w:tc>
          <w:tcPr>
            <w:tcW w:w="8802" w:type="dxa"/>
            <w:gridSpan w:val="2"/>
          </w:tcPr>
          <w:p w:rsidR="00EB0F63" w:rsidRDefault="00EB0F63">
            <w:pPr>
              <w:jc w:val="both"/>
              <w:rPr>
                <w:rFonts w:ascii="Arial" w:hAnsi="Arial"/>
                <w:b/>
                <w:bCs/>
                <w:sz w:val="28"/>
                <w:szCs w:val="28"/>
                <w:rtl/>
              </w:rPr>
            </w:pPr>
          </w:p>
          <w:p w:rsidR="00EB0F63" w:rsidRDefault="00EB0F63">
            <w:pPr>
              <w:rPr>
                <w:rFonts w:ascii="Arial" w:hAnsi="Arial"/>
                <w:b/>
                <w:bCs/>
                <w:sz w:val="28"/>
                <w:szCs w:val="28"/>
                <w:rtl/>
              </w:rPr>
            </w:pPr>
            <w:r>
              <w:rPr>
                <w:rFonts w:hint="cs" w:ascii="Arial" w:hAnsi="Arial"/>
                <w:b/>
                <w:bCs/>
                <w:sz w:val="28"/>
                <w:szCs w:val="28"/>
                <w:rtl/>
              </w:rPr>
              <w:t xml:space="preserve">                                               -</w:t>
            </w:r>
          </w:p>
          <w:p w:rsidR="00EB0F63" w:rsidRDefault="00EB0F63">
            <w:pPr>
              <w:jc w:val="center"/>
              <w:rPr>
                <w:rFonts w:ascii="Arial" w:hAnsi="Arial"/>
                <w:b/>
                <w:bCs/>
                <w:sz w:val="28"/>
                <w:szCs w:val="28"/>
                <w:rtl/>
              </w:rPr>
            </w:pPr>
          </w:p>
        </w:tc>
      </w:tr>
      <w:tr w:rsidR="00EB0F63" w:rsidTr="00EB0F63">
        <w:tc>
          <w:tcPr>
            <w:tcW w:w="2880" w:type="dxa"/>
            <w:hideMark/>
          </w:tcPr>
          <w:p w:rsidR="00EB0F63" w:rsidRDefault="00EB0F63">
            <w:pPr>
              <w:ind w:left="26"/>
              <w:rPr>
                <w:b/>
                <w:bCs/>
                <w:sz w:val="28"/>
                <w:szCs w:val="28"/>
                <w:u w:val="single"/>
              </w:rPr>
            </w:pPr>
            <w:r>
              <w:rPr>
                <w:rFonts w:hint="cs"/>
                <w:b/>
                <w:bCs/>
                <w:sz w:val="28"/>
                <w:szCs w:val="28"/>
                <w:u w:val="single"/>
                <w:rtl/>
              </w:rPr>
              <w:t>ה</w:t>
            </w:r>
            <w:sdt>
              <w:sdtPr>
                <w:rPr>
                  <w:sz w:val="28"/>
                  <w:szCs w:val="28"/>
                  <w:u w:val="single"/>
                  <w:rtl/>
                </w:rPr>
                <w:alias w:val="1265"/>
                <w:tag w:val="1265"/>
                <w:id w:val="2124183081"/>
                <w:text w:multiLine="1"/>
              </w:sdtPr>
              <w:sdtEndPr/>
              <w:sdtContent>
                <w:r>
                  <w:rPr>
                    <w:rFonts w:hint="cs"/>
                    <w:b/>
                    <w:bCs/>
                    <w:sz w:val="28"/>
                    <w:szCs w:val="28"/>
                    <w:u w:val="single"/>
                    <w:rtl/>
                  </w:rPr>
                  <w:t>נתבעים</w:t>
                </w:r>
              </w:sdtContent>
            </w:sdt>
          </w:p>
        </w:tc>
        <w:tc>
          <w:tcPr>
            <w:tcW w:w="5922" w:type="dxa"/>
          </w:tcPr>
          <w:p w:rsidR="00EB0F63" w:rsidRDefault="00E81083">
            <w:pPr>
              <w:rPr>
                <w:b/>
                <w:bCs/>
                <w:sz w:val="28"/>
                <w:szCs w:val="28"/>
                <w:rtl/>
              </w:rPr>
            </w:pPr>
            <w:sdt>
              <w:sdtPr>
                <w:rPr>
                  <w:sz w:val="28"/>
                  <w:szCs w:val="28"/>
                  <w:rtl/>
                </w:rPr>
                <w:alias w:val="829"/>
                <w:tag w:val="829"/>
                <w:id w:val="1503937933"/>
                <w:text w:multiLine="1"/>
              </w:sdtPr>
              <w:sdtEndPr/>
              <w:sdtContent>
                <w:r w:rsidR="00EB0F63">
                  <w:rPr>
                    <w:rFonts w:hint="cs"/>
                    <w:b/>
                    <w:bCs/>
                    <w:sz w:val="28"/>
                    <w:szCs w:val="28"/>
                    <w:rtl/>
                  </w:rPr>
                  <w:t xml:space="preserve">1. </w:t>
                </w:r>
              </w:sdtContent>
            </w:sdt>
            <w:sdt>
              <w:sdtPr>
                <w:rPr>
                  <w:rFonts w:cs="Times New Roman"/>
                  <w:sz w:val="28"/>
                  <w:szCs w:val="28"/>
                  <w:rtl/>
                </w:rPr>
                <w:alias w:val="1266"/>
                <w:tag w:val="1266"/>
                <w:id w:val="-1527786861"/>
                <w:text w:multiLine="1"/>
              </w:sdtPr>
              <w:sdtEndPr/>
              <w:sdtContent>
                <w:r w:rsidR="00EB0F63">
                  <w:rPr>
                    <w:rFonts w:hint="cs"/>
                    <w:b/>
                    <w:bCs/>
                    <w:sz w:val="28"/>
                    <w:szCs w:val="28"/>
                    <w:rtl/>
                  </w:rPr>
                  <w:t>ד.ק.א. ניקיון ורעיון בע"מ, ח.פ. 514991710</w:t>
                </w:r>
              </w:sdtContent>
            </w:sdt>
          </w:p>
          <w:p w:rsidR="00EB0F63" w:rsidRDefault="00EB0F63">
            <w:pPr>
              <w:rPr>
                <w:b/>
                <w:bCs/>
                <w:sz w:val="28"/>
                <w:szCs w:val="28"/>
                <w:rtl/>
              </w:rPr>
            </w:pPr>
            <w:r>
              <w:rPr>
                <w:rFonts w:hint="cs"/>
                <w:b/>
                <w:bCs/>
                <w:sz w:val="28"/>
                <w:szCs w:val="28"/>
                <w:rtl/>
              </w:rPr>
              <w:t>ע"י ב"כ עו"ד נעמה שבתאי בכר</w:t>
            </w:r>
          </w:p>
          <w:p w:rsidR="00EB0F63" w:rsidRDefault="00EB0F63">
            <w:pPr>
              <w:rPr>
                <w:b/>
                <w:bCs/>
                <w:sz w:val="28"/>
                <w:szCs w:val="28"/>
                <w:rtl/>
              </w:rPr>
            </w:pPr>
          </w:p>
          <w:p w:rsidR="00EB0F63" w:rsidRDefault="00E81083">
            <w:pPr>
              <w:rPr>
                <w:b/>
                <w:bCs/>
                <w:sz w:val="28"/>
                <w:szCs w:val="28"/>
                <w:rtl/>
              </w:rPr>
            </w:pPr>
            <w:sdt>
              <w:sdtPr>
                <w:rPr>
                  <w:sz w:val="28"/>
                  <w:szCs w:val="28"/>
                  <w:rtl/>
                </w:rPr>
                <w:alias w:val="829"/>
                <w:tag w:val="829"/>
                <w:id w:val="337895034"/>
                <w:text w:multiLine="1"/>
              </w:sdtPr>
              <w:sdtEndPr/>
              <w:sdtContent>
                <w:r w:rsidR="00EB0F63">
                  <w:rPr>
                    <w:rFonts w:hint="cs"/>
                    <w:b/>
                    <w:bCs/>
                    <w:sz w:val="28"/>
                    <w:szCs w:val="28"/>
                    <w:rtl/>
                  </w:rPr>
                  <w:t xml:space="preserve">2. </w:t>
                </w:r>
              </w:sdtContent>
            </w:sdt>
            <w:sdt>
              <w:sdtPr>
                <w:rPr>
                  <w:rFonts w:cs="Times New Roman"/>
                  <w:sz w:val="28"/>
                  <w:szCs w:val="28"/>
                  <w:rtl/>
                </w:rPr>
                <w:alias w:val="1266"/>
                <w:tag w:val="1266"/>
                <w:id w:val="1020278652"/>
                <w:text w:multiLine="1"/>
              </w:sdtPr>
              <w:sdtEndPr/>
              <w:sdtContent>
                <w:r w:rsidR="00EB0F63">
                  <w:rPr>
                    <w:rFonts w:hint="cs"/>
                    <w:b/>
                    <w:bCs/>
                    <w:sz w:val="28"/>
                    <w:szCs w:val="28"/>
                    <w:rtl/>
                  </w:rPr>
                  <w:t>מלונות דן בע"מ</w:t>
                </w:r>
              </w:sdtContent>
            </w:sdt>
            <w:r w:rsidR="00EB0F63">
              <w:rPr>
                <w:rFonts w:hint="cs"/>
                <w:b/>
                <w:bCs/>
                <w:sz w:val="28"/>
                <w:szCs w:val="28"/>
                <w:rtl/>
              </w:rPr>
              <w:t>, ח.צ. 520023573</w:t>
            </w:r>
          </w:p>
          <w:p w:rsidR="00EB0F63" w:rsidRDefault="00EB0F63">
            <w:pPr>
              <w:rPr>
                <w:b/>
                <w:bCs/>
                <w:sz w:val="28"/>
                <w:szCs w:val="28"/>
                <w:rtl/>
              </w:rPr>
            </w:pPr>
            <w:r>
              <w:rPr>
                <w:rFonts w:hint="cs"/>
                <w:b/>
                <w:bCs/>
                <w:sz w:val="28"/>
                <w:szCs w:val="28"/>
                <w:rtl/>
              </w:rPr>
              <w:t>ע"י ב"כ עו"ד אוריאן שמש</w:t>
            </w:r>
          </w:p>
        </w:tc>
      </w:tr>
    </w:tbl>
    <w:p w:rsidR="00EB0F63" w:rsidP="00AB5A97" w:rsidRDefault="00EB0F63">
      <w:pPr>
        <w:jc w:val="both"/>
        <w:rPr>
          <w:rFonts w:ascii="David" w:hAnsi="David"/>
          <w:sz w:val="28"/>
          <w:szCs w:val="28"/>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00EB0F63" w:rsidP="008C54BD" w:rsidRDefault="00EB0F63">
      <w:pPr>
        <w:pStyle w:val="ad"/>
        <w:numPr>
          <w:ilvl w:val="0"/>
          <w:numId w:val="1"/>
        </w:numPr>
        <w:spacing w:line="360" w:lineRule="auto"/>
        <w:ind w:left="567" w:hanging="567"/>
        <w:jc w:val="both"/>
        <w:rPr>
          <w:sz w:val="28"/>
          <w:szCs w:val="28"/>
        </w:rPr>
      </w:pPr>
      <w:r>
        <w:rPr>
          <w:rFonts w:hint="cs"/>
          <w:sz w:val="28"/>
          <w:szCs w:val="28"/>
          <w:rtl/>
        </w:rPr>
        <w:t>התובע הועסק משך כ</w:t>
      </w:r>
      <w:r w:rsidR="008C54BD">
        <w:rPr>
          <w:rFonts w:hint="cs"/>
          <w:sz w:val="28"/>
          <w:szCs w:val="28"/>
          <w:rtl/>
        </w:rPr>
        <w:t>חצי שנה</w:t>
      </w:r>
      <w:r>
        <w:rPr>
          <w:rFonts w:hint="cs"/>
          <w:sz w:val="28"/>
          <w:szCs w:val="28"/>
          <w:rtl/>
        </w:rPr>
        <w:t xml:space="preserve"> כעובד מטבח במלון השייך לנתבעת 2, באמצעות הנתבעת 1, חברת כוח אדם. התובע נקלט לעבודה על ידי הנתבעת 1, הוצב בחצרי </w:t>
      </w:r>
      <w:r w:rsidR="008C54BD">
        <w:rPr>
          <w:rFonts w:hint="cs"/>
          <w:sz w:val="28"/>
          <w:szCs w:val="28"/>
          <w:rtl/>
        </w:rPr>
        <w:t xml:space="preserve">המלון </w:t>
      </w:r>
      <w:r>
        <w:rPr>
          <w:rFonts w:hint="cs"/>
          <w:sz w:val="28"/>
          <w:szCs w:val="28"/>
          <w:rtl/>
        </w:rPr>
        <w:t>ושכרו שולם לו על ידי הנתבעת 1. עבודת התובע הסתיימה לאחר שהתפטר, לטענתו עקב זימונו למתקן "חולות".</w:t>
      </w:r>
    </w:p>
    <w:p w:rsidR="002B0B35" w:rsidP="002B0B35" w:rsidRDefault="002B0B35">
      <w:pPr>
        <w:pStyle w:val="ad"/>
        <w:ind w:left="567"/>
        <w:jc w:val="both"/>
        <w:rPr>
          <w:sz w:val="28"/>
          <w:szCs w:val="28"/>
        </w:rPr>
      </w:pPr>
    </w:p>
    <w:p w:rsidR="007B3908" w:rsidP="007B3908" w:rsidRDefault="007B3908">
      <w:pPr>
        <w:pStyle w:val="ad"/>
        <w:numPr>
          <w:ilvl w:val="0"/>
          <w:numId w:val="1"/>
        </w:numPr>
        <w:spacing w:line="360" w:lineRule="auto"/>
        <w:ind w:left="567" w:hanging="567"/>
        <w:jc w:val="both"/>
        <w:rPr>
          <w:sz w:val="28"/>
          <w:szCs w:val="28"/>
        </w:rPr>
      </w:pPr>
      <w:r>
        <w:rPr>
          <w:rFonts w:hint="cs"/>
          <w:sz w:val="28"/>
          <w:szCs w:val="28"/>
          <w:rtl/>
        </w:rPr>
        <w:t>בתביעתו</w:t>
      </w:r>
      <w:r w:rsidR="002B0B35">
        <w:rPr>
          <w:rFonts w:hint="cs"/>
          <w:sz w:val="28"/>
          <w:szCs w:val="28"/>
          <w:rtl/>
        </w:rPr>
        <w:t xml:space="preserve"> </w:t>
      </w:r>
      <w:r w:rsidR="008C54BD">
        <w:rPr>
          <w:rFonts w:hint="cs"/>
          <w:sz w:val="28"/>
          <w:szCs w:val="28"/>
          <w:rtl/>
        </w:rPr>
        <w:t xml:space="preserve">מיום 5.4.17 </w:t>
      </w:r>
      <w:r w:rsidR="002B0B35">
        <w:rPr>
          <w:rFonts w:hint="cs"/>
          <w:sz w:val="28"/>
          <w:szCs w:val="28"/>
          <w:rtl/>
        </w:rPr>
        <w:t xml:space="preserve">עותר התובע לתשלום תמורה בגין עבודה בשעות נוספות בסך 12,546 ₪; פיצוי בגין תלושי שכר לא תקינים בסך 5,000 ₪; פדיון חופשה שנתית בסך 1,296 ₪; דמי חגים בסך 864 ₪ ופיצוי בגין אי מסירת הודעה לעובד בסך 2,000 ₪. </w:t>
      </w:r>
    </w:p>
    <w:p w:rsidR="002B0B35" w:rsidP="007B3908" w:rsidRDefault="002B0B35">
      <w:pPr>
        <w:pStyle w:val="ad"/>
        <w:spacing w:line="360" w:lineRule="auto"/>
        <w:ind w:left="567"/>
        <w:jc w:val="both"/>
        <w:rPr>
          <w:sz w:val="28"/>
          <w:szCs w:val="28"/>
        </w:rPr>
      </w:pPr>
      <w:r>
        <w:rPr>
          <w:rFonts w:hint="cs"/>
          <w:sz w:val="28"/>
          <w:szCs w:val="28"/>
          <w:rtl/>
        </w:rPr>
        <w:t xml:space="preserve">הנתבעת </w:t>
      </w:r>
      <w:r w:rsidR="007B1CDB">
        <w:rPr>
          <w:rFonts w:hint="cs"/>
          <w:sz w:val="28"/>
          <w:szCs w:val="28"/>
          <w:rtl/>
        </w:rPr>
        <w:t>הו</w:t>
      </w:r>
      <w:r>
        <w:rPr>
          <w:rFonts w:hint="cs"/>
          <w:sz w:val="28"/>
          <w:szCs w:val="28"/>
          <w:rtl/>
        </w:rPr>
        <w:t xml:space="preserve">דתה בשלב התצהירים בזכאות התובע לפדיון חופשה בסך </w:t>
      </w:r>
      <w:r w:rsidR="007B1CDB">
        <w:rPr>
          <w:rFonts w:hint="cs"/>
          <w:sz w:val="28"/>
          <w:szCs w:val="28"/>
          <w:rtl/>
        </w:rPr>
        <w:t xml:space="preserve">948 ₪ </w:t>
      </w:r>
      <w:r w:rsidR="00962398">
        <w:rPr>
          <w:rFonts w:hint="cs"/>
          <w:sz w:val="28"/>
          <w:szCs w:val="28"/>
          <w:rtl/>
        </w:rPr>
        <w:t>ו</w:t>
      </w:r>
      <w:r w:rsidR="007B1CDB">
        <w:rPr>
          <w:rFonts w:hint="cs"/>
          <w:sz w:val="28"/>
          <w:szCs w:val="28"/>
          <w:rtl/>
        </w:rPr>
        <w:t>לה</w:t>
      </w:r>
      <w:r w:rsidR="00962398">
        <w:rPr>
          <w:rFonts w:hint="cs"/>
          <w:sz w:val="28"/>
          <w:szCs w:val="28"/>
          <w:rtl/>
        </w:rPr>
        <w:t>פ</w:t>
      </w:r>
      <w:r w:rsidR="007B1CDB">
        <w:rPr>
          <w:rFonts w:hint="cs"/>
          <w:sz w:val="28"/>
          <w:szCs w:val="28"/>
          <w:rtl/>
        </w:rPr>
        <w:t xml:space="preserve">רשי שכר בסך 845 ₪ וסכומים אלה שולמו לתובע. </w:t>
      </w:r>
      <w:r w:rsidR="00962398">
        <w:rPr>
          <w:rFonts w:hint="cs"/>
          <w:sz w:val="28"/>
          <w:szCs w:val="28"/>
          <w:rtl/>
        </w:rPr>
        <w:t>לאחר מכן, בישיבת ההוכחות, טענה ב</w:t>
      </w:r>
      <w:r w:rsidR="007B3908">
        <w:rPr>
          <w:rFonts w:hint="cs"/>
          <w:sz w:val="28"/>
          <w:szCs w:val="28"/>
          <w:rtl/>
        </w:rPr>
        <w:t>"</w:t>
      </w:r>
      <w:r w:rsidR="00962398">
        <w:rPr>
          <w:rFonts w:hint="cs"/>
          <w:sz w:val="28"/>
          <w:szCs w:val="28"/>
          <w:rtl/>
        </w:rPr>
        <w:t xml:space="preserve">כ הנתבעת 1 כי בבדיקה חוזרת התברר </w:t>
      </w:r>
      <w:r w:rsidR="007B3908">
        <w:rPr>
          <w:rFonts w:hint="cs"/>
          <w:sz w:val="28"/>
          <w:szCs w:val="28"/>
          <w:rtl/>
        </w:rPr>
        <w:t>ש</w:t>
      </w:r>
      <w:r w:rsidR="00962398">
        <w:rPr>
          <w:rFonts w:hint="cs"/>
          <w:sz w:val="28"/>
          <w:szCs w:val="28"/>
          <w:rtl/>
        </w:rPr>
        <w:t>התובע לא היה זכאי להפרשי שכר, ואלה שולמו לו בטעות ביתר.</w:t>
      </w:r>
    </w:p>
    <w:p w:rsidRPr="007B3908" w:rsidR="00EB0F63" w:rsidP="00EB0F63" w:rsidRDefault="00EB0F63">
      <w:pPr>
        <w:pStyle w:val="ad"/>
        <w:ind w:left="567"/>
        <w:jc w:val="both"/>
        <w:rPr>
          <w:sz w:val="28"/>
          <w:szCs w:val="28"/>
        </w:rPr>
      </w:pPr>
    </w:p>
    <w:p w:rsidR="002C1C43" w:rsidP="002B0B35" w:rsidRDefault="00EB0F63">
      <w:pPr>
        <w:pStyle w:val="ad"/>
        <w:numPr>
          <w:ilvl w:val="0"/>
          <w:numId w:val="1"/>
        </w:numPr>
        <w:spacing w:line="360" w:lineRule="auto"/>
        <w:ind w:left="567" w:hanging="567"/>
        <w:jc w:val="both"/>
        <w:rPr>
          <w:sz w:val="28"/>
          <w:szCs w:val="28"/>
        </w:rPr>
      </w:pPr>
      <w:r w:rsidRPr="00EB0F63">
        <w:rPr>
          <w:rFonts w:hint="cs"/>
          <w:sz w:val="28"/>
          <w:szCs w:val="28"/>
          <w:rtl/>
        </w:rPr>
        <w:t>בתחילת ישיבת ההוכחות</w:t>
      </w:r>
      <w:r w:rsidR="007B3908">
        <w:rPr>
          <w:rFonts w:hint="cs"/>
          <w:sz w:val="28"/>
          <w:szCs w:val="28"/>
          <w:rtl/>
        </w:rPr>
        <w:t>,</w:t>
      </w:r>
      <w:r w:rsidRPr="00EB0F63">
        <w:rPr>
          <w:rFonts w:hint="cs"/>
          <w:sz w:val="28"/>
          <w:szCs w:val="28"/>
          <w:rtl/>
        </w:rPr>
        <w:t xml:space="preserve"> שהתקיימה הבוקר, ביקשו הנתבעות לחייב את התוב</w:t>
      </w:r>
      <w:r w:rsidR="007B3908">
        <w:rPr>
          <w:rFonts w:hint="cs"/>
          <w:sz w:val="28"/>
          <w:szCs w:val="28"/>
          <w:rtl/>
        </w:rPr>
        <w:t>ע בהפקדת ערובה</w:t>
      </w:r>
      <w:r w:rsidRPr="00EB0F63">
        <w:rPr>
          <w:rFonts w:hint="cs"/>
          <w:sz w:val="28"/>
          <w:szCs w:val="28"/>
          <w:rtl/>
        </w:rPr>
        <w:t xml:space="preserve"> לצורך הבטחת הוצאותיהן.</w:t>
      </w:r>
      <w:r>
        <w:rPr>
          <w:rFonts w:hint="cs"/>
          <w:sz w:val="28"/>
          <w:szCs w:val="28"/>
          <w:rtl/>
        </w:rPr>
        <w:t xml:space="preserve"> לטענת הנתבעות הראיות מצביעות על כך שהתביעה משוללת יסוד</w:t>
      </w:r>
      <w:r w:rsidR="002B0B35">
        <w:rPr>
          <w:rFonts w:hint="cs"/>
          <w:sz w:val="28"/>
          <w:szCs w:val="28"/>
          <w:rtl/>
        </w:rPr>
        <w:t xml:space="preserve">. התובע כבר הפר החלטה שיפוטית בעבר, כאשר לא צירף לתצהירו את חישוביו ביחס לרכיב התמורה בגין עבודה בשעות נוספות, </w:t>
      </w:r>
      <w:r w:rsidR="002B0B35">
        <w:rPr>
          <w:rFonts w:hint="cs"/>
          <w:sz w:val="28"/>
          <w:szCs w:val="28"/>
          <w:rtl/>
        </w:rPr>
        <w:lastRenderedPageBreak/>
        <w:t xml:space="preserve">בהתאם לדיווחי הנוכחות שהציגו הנתבעות. התובע עובד זר ולא </w:t>
      </w:r>
      <w:r w:rsidR="007B3908">
        <w:rPr>
          <w:rFonts w:hint="cs"/>
          <w:sz w:val="28"/>
          <w:szCs w:val="28"/>
          <w:rtl/>
        </w:rPr>
        <w:t>ניתן יהיה להיפרע ממנו ככל שיחוי</w:t>
      </w:r>
      <w:r w:rsidR="002B0B35">
        <w:rPr>
          <w:rFonts w:hint="cs"/>
          <w:sz w:val="28"/>
          <w:szCs w:val="28"/>
          <w:rtl/>
        </w:rPr>
        <w:t xml:space="preserve">ב בהוצאות. </w:t>
      </w:r>
    </w:p>
    <w:p w:rsidRPr="007B3908" w:rsidR="00D10FAD" w:rsidP="007B3908" w:rsidRDefault="00D10FAD">
      <w:pPr>
        <w:pStyle w:val="ad"/>
        <w:ind w:left="567"/>
        <w:jc w:val="both"/>
        <w:rPr>
          <w:sz w:val="28"/>
          <w:szCs w:val="28"/>
        </w:rPr>
      </w:pPr>
    </w:p>
    <w:p w:rsidR="002B0B35" w:rsidP="002B0B35" w:rsidRDefault="002B0B35">
      <w:pPr>
        <w:pStyle w:val="ad"/>
        <w:numPr>
          <w:ilvl w:val="0"/>
          <w:numId w:val="1"/>
        </w:numPr>
        <w:spacing w:line="360" w:lineRule="auto"/>
        <w:ind w:left="567" w:hanging="567"/>
        <w:jc w:val="both"/>
        <w:rPr>
          <w:sz w:val="28"/>
          <w:szCs w:val="28"/>
        </w:rPr>
      </w:pPr>
      <w:r>
        <w:rPr>
          <w:rFonts w:hint="cs"/>
          <w:sz w:val="28"/>
          <w:szCs w:val="28"/>
          <w:rtl/>
        </w:rPr>
        <w:t xml:space="preserve">התובע התנגד לבקשה, וטען כי היה על הנתבעות להגישה קודם לכן. מדובר בעובד זר אשר אין להקשות עליו. לטענת התובע, לא חל התיקון בחוק על עניינו של התובע, והנתבעות אף שילמו לתובע כספים לאחר הגשת התביעה, טרם שלב ההוכחות. </w:t>
      </w:r>
    </w:p>
    <w:p w:rsidR="00EB0F63" w:rsidP="007B3908" w:rsidRDefault="00EB0F63">
      <w:pPr>
        <w:pStyle w:val="ad"/>
        <w:ind w:left="567"/>
        <w:jc w:val="both"/>
        <w:rPr>
          <w:sz w:val="28"/>
          <w:szCs w:val="28"/>
        </w:rPr>
      </w:pPr>
    </w:p>
    <w:p w:rsidR="00EB0F63" w:rsidP="00962398" w:rsidRDefault="00EB0F63">
      <w:pPr>
        <w:pStyle w:val="ad"/>
        <w:numPr>
          <w:ilvl w:val="0"/>
          <w:numId w:val="1"/>
        </w:numPr>
        <w:spacing w:line="360" w:lineRule="auto"/>
        <w:ind w:left="567" w:hanging="567"/>
        <w:jc w:val="both"/>
        <w:rPr>
          <w:sz w:val="28"/>
          <w:szCs w:val="28"/>
        </w:rPr>
      </w:pPr>
      <w:r>
        <w:rPr>
          <w:rFonts w:hint="cs"/>
          <w:sz w:val="28"/>
          <w:szCs w:val="28"/>
          <w:rtl/>
        </w:rPr>
        <w:t>ראיות הצדדים נשמעו היום, והוחלט כי טרם יסכמו הצדדים טענותיהם ויינתן פסק דין, תוכרע הבקשה להפקדת ערובה.</w:t>
      </w:r>
    </w:p>
    <w:p w:rsidRPr="00962398" w:rsidR="00EB0F63" w:rsidP="00962398" w:rsidRDefault="00EB0F63">
      <w:pPr>
        <w:pStyle w:val="ad"/>
        <w:ind w:left="567"/>
        <w:jc w:val="both"/>
        <w:rPr>
          <w:sz w:val="28"/>
          <w:szCs w:val="28"/>
        </w:rPr>
      </w:pPr>
    </w:p>
    <w:p w:rsidR="00962398" w:rsidP="00962398" w:rsidRDefault="00EB0F63">
      <w:pPr>
        <w:pStyle w:val="ad"/>
        <w:numPr>
          <w:ilvl w:val="0"/>
          <w:numId w:val="1"/>
        </w:numPr>
        <w:spacing w:line="360" w:lineRule="auto"/>
        <w:ind w:left="567" w:hanging="567"/>
        <w:jc w:val="both"/>
        <w:rPr>
          <w:sz w:val="28"/>
          <w:szCs w:val="28"/>
        </w:rPr>
      </w:pPr>
      <w:r w:rsidRPr="00962398">
        <w:rPr>
          <w:rFonts w:hint="cs" w:ascii="Calibri" w:hAnsi="Calibri"/>
          <w:noProof w:val="0"/>
          <w:sz w:val="28"/>
          <w:szCs w:val="28"/>
          <w:rtl/>
        </w:rPr>
        <w:t xml:space="preserve">לאחר </w:t>
      </w:r>
      <w:r w:rsidR="00962398">
        <w:rPr>
          <w:rFonts w:hint="cs" w:ascii="Calibri" w:hAnsi="Calibri"/>
          <w:noProof w:val="0"/>
          <w:sz w:val="28"/>
          <w:szCs w:val="28"/>
          <w:rtl/>
        </w:rPr>
        <w:t xml:space="preserve">שקילת טענות הצדדים, ושקילת הראיות בתיק, מצאתי כי דין הבקשה </w:t>
      </w:r>
      <w:r w:rsidRPr="00962398" w:rsidR="00962398">
        <w:rPr>
          <w:rFonts w:hint="cs" w:ascii="Calibri" w:hAnsi="Calibri"/>
          <w:b/>
          <w:bCs/>
          <w:noProof w:val="0"/>
          <w:sz w:val="28"/>
          <w:szCs w:val="28"/>
          <w:rtl/>
        </w:rPr>
        <w:t>להתקבל</w:t>
      </w:r>
      <w:r w:rsidR="00962398">
        <w:rPr>
          <w:rFonts w:hint="cs" w:ascii="Calibri" w:hAnsi="Calibri"/>
          <w:noProof w:val="0"/>
          <w:sz w:val="28"/>
          <w:szCs w:val="28"/>
          <w:rtl/>
        </w:rPr>
        <w:t>.</w:t>
      </w:r>
    </w:p>
    <w:p w:rsidRPr="00D10FAD" w:rsidR="00D10FAD" w:rsidP="00D10FAD" w:rsidRDefault="00D10FAD">
      <w:pPr>
        <w:pStyle w:val="ad"/>
        <w:ind w:left="567"/>
        <w:jc w:val="both"/>
        <w:rPr>
          <w:sz w:val="28"/>
          <w:szCs w:val="28"/>
        </w:rPr>
      </w:pPr>
    </w:p>
    <w:p w:rsidRPr="00D10FAD" w:rsidR="00D10FAD" w:rsidP="00D10FAD" w:rsidRDefault="00D10FAD">
      <w:pPr>
        <w:pStyle w:val="ad"/>
        <w:numPr>
          <w:ilvl w:val="0"/>
          <w:numId w:val="1"/>
        </w:numPr>
        <w:spacing w:line="360" w:lineRule="auto"/>
        <w:ind w:left="567" w:hanging="567"/>
        <w:jc w:val="both"/>
        <w:rPr>
          <w:sz w:val="28"/>
          <w:szCs w:val="28"/>
        </w:rPr>
      </w:pPr>
      <w:r w:rsidRPr="00D10FAD">
        <w:rPr>
          <w:rFonts w:hint="cs" w:ascii="Calibri" w:hAnsi="Calibri"/>
          <w:noProof w:val="0"/>
          <w:sz w:val="28"/>
          <w:szCs w:val="28"/>
          <w:rtl/>
        </w:rPr>
        <w:t>ביום 2</w:t>
      </w:r>
      <w:r>
        <w:rPr>
          <w:rFonts w:hint="cs" w:ascii="Calibri" w:hAnsi="Calibri"/>
          <w:noProof w:val="0"/>
          <w:sz w:val="28"/>
          <w:szCs w:val="28"/>
          <w:rtl/>
        </w:rPr>
        <w:t>.</w:t>
      </w:r>
      <w:r w:rsidRPr="00D10FAD">
        <w:rPr>
          <w:rFonts w:hint="cs" w:ascii="Calibri" w:hAnsi="Calibri"/>
          <w:noProof w:val="0"/>
          <w:sz w:val="28"/>
          <w:szCs w:val="28"/>
          <w:rtl/>
        </w:rPr>
        <w:t>9</w:t>
      </w:r>
      <w:r>
        <w:rPr>
          <w:rFonts w:hint="cs" w:ascii="Calibri" w:hAnsi="Calibri"/>
          <w:noProof w:val="0"/>
          <w:sz w:val="28"/>
          <w:szCs w:val="28"/>
          <w:rtl/>
        </w:rPr>
        <w:t>.</w:t>
      </w:r>
      <w:r w:rsidR="008C54BD">
        <w:rPr>
          <w:rFonts w:hint="cs" w:ascii="Calibri" w:hAnsi="Calibri"/>
          <w:noProof w:val="0"/>
          <w:sz w:val="28"/>
          <w:szCs w:val="28"/>
          <w:rtl/>
        </w:rPr>
        <w:t xml:space="preserve">16, קודם להגשת התביעה בתיק זה, </w:t>
      </w:r>
      <w:r w:rsidRPr="00D10FAD">
        <w:rPr>
          <w:rFonts w:hint="cs" w:ascii="Calibri" w:hAnsi="Calibri"/>
          <w:noProof w:val="0"/>
          <w:sz w:val="28"/>
          <w:szCs w:val="28"/>
          <w:rtl/>
        </w:rPr>
        <w:t>נכנסה לתוקף הוראת</w:t>
      </w:r>
      <w:r>
        <w:rPr>
          <w:rFonts w:hint="cs" w:ascii="Calibri" w:hAnsi="Calibri"/>
          <w:noProof w:val="0"/>
          <w:sz w:val="28"/>
          <w:szCs w:val="28"/>
          <w:rtl/>
        </w:rPr>
        <w:t xml:space="preserve"> תקנה 116א</w:t>
      </w:r>
      <w:r w:rsidRPr="00D10FAD">
        <w:rPr>
          <w:rFonts w:hint="cs" w:ascii="Calibri" w:hAnsi="Calibri"/>
          <w:noProof w:val="0"/>
          <w:sz w:val="28"/>
          <w:szCs w:val="28"/>
          <w:rtl/>
        </w:rPr>
        <w:t xml:space="preserve"> </w:t>
      </w:r>
      <w:r w:rsidRPr="00D10FAD">
        <w:rPr>
          <w:rFonts w:hint="cs" w:ascii="Calibri" w:hAnsi="Calibri"/>
          <w:b/>
          <w:bCs/>
          <w:noProof w:val="0"/>
          <w:sz w:val="28"/>
          <w:szCs w:val="28"/>
          <w:rtl/>
        </w:rPr>
        <w:t>לתקנות בית הדין לעבודה (סדרי דין)</w:t>
      </w:r>
      <w:r>
        <w:rPr>
          <w:rFonts w:hint="cs" w:ascii="Calibri" w:hAnsi="Calibri"/>
          <w:noProof w:val="0"/>
          <w:sz w:val="28"/>
          <w:szCs w:val="28"/>
          <w:rtl/>
        </w:rPr>
        <w:t xml:space="preserve"> תשנ"ב- 1991, </w:t>
      </w:r>
      <w:bookmarkStart w:name="ABSTRACT_END" w:id="0"/>
      <w:bookmarkEnd w:id="0"/>
      <w:r w:rsidRPr="00D10FAD">
        <w:rPr>
          <w:rFonts w:hint="cs" w:ascii="Calibri" w:hAnsi="Calibri"/>
          <w:noProof w:val="0"/>
          <w:sz w:val="28"/>
          <w:szCs w:val="28"/>
          <w:rtl/>
        </w:rPr>
        <w:t>שכותרתה "</w:t>
      </w:r>
      <w:r w:rsidRPr="00D10FAD">
        <w:rPr>
          <w:rFonts w:hint="cs" w:ascii="Calibri" w:hAnsi="Calibri"/>
          <w:b/>
          <w:bCs/>
          <w:noProof w:val="0"/>
          <w:sz w:val="28"/>
          <w:szCs w:val="28"/>
          <w:rtl/>
        </w:rPr>
        <w:t>ערובה לתשלום הוצאות</w:t>
      </w:r>
      <w:r w:rsidRPr="00D10FAD">
        <w:rPr>
          <w:rFonts w:hint="cs" w:ascii="Calibri" w:hAnsi="Calibri"/>
          <w:noProof w:val="0"/>
          <w:sz w:val="28"/>
          <w:szCs w:val="28"/>
          <w:rtl/>
        </w:rPr>
        <w:t>"</w:t>
      </w:r>
      <w:r w:rsidR="00167F7D">
        <w:rPr>
          <w:rFonts w:hint="cs" w:ascii="Calibri" w:hAnsi="Calibri"/>
          <w:noProof w:val="0"/>
          <w:sz w:val="28"/>
          <w:szCs w:val="28"/>
          <w:rtl/>
        </w:rPr>
        <w:t xml:space="preserve"> (להלן: "התקנה")</w:t>
      </w:r>
      <w:r w:rsidRPr="00D10FAD">
        <w:rPr>
          <w:rFonts w:hint="cs" w:ascii="Calibri" w:hAnsi="Calibri"/>
          <w:noProof w:val="0"/>
          <w:sz w:val="28"/>
          <w:szCs w:val="28"/>
          <w:rtl/>
        </w:rPr>
        <w:t xml:space="preserve"> הקובעת</w:t>
      </w:r>
      <w:r>
        <w:rPr>
          <w:rFonts w:hint="cs" w:ascii="Calibri" w:hAnsi="Calibri"/>
          <w:noProof w:val="0"/>
          <w:sz w:val="28"/>
          <w:szCs w:val="28"/>
          <w:rtl/>
        </w:rPr>
        <w:t xml:space="preserve"> כך</w:t>
      </w:r>
      <w:r w:rsidRPr="00D10FAD">
        <w:rPr>
          <w:rFonts w:hint="cs" w:ascii="Calibri" w:hAnsi="Calibri"/>
          <w:noProof w:val="0"/>
          <w:sz w:val="28"/>
          <w:szCs w:val="28"/>
          <w:rtl/>
        </w:rPr>
        <w:t xml:space="preserve">: </w:t>
      </w:r>
    </w:p>
    <w:p w:rsidRPr="00D10FAD" w:rsidR="00D10FAD" w:rsidP="00D10FAD" w:rsidRDefault="00957258">
      <w:pPr>
        <w:pStyle w:val="ad"/>
        <w:ind w:right="426"/>
        <w:jc w:val="both"/>
        <w:rPr>
          <w:rFonts w:ascii="Calibri" w:hAnsi="Calibri"/>
          <w:b/>
          <w:bCs/>
          <w:noProof w:val="0"/>
          <w:sz w:val="28"/>
          <w:szCs w:val="28"/>
          <w:rtl/>
        </w:rPr>
      </w:pPr>
      <w:r>
        <w:rPr>
          <w:rFonts w:hint="cs" w:ascii="Calibri" w:hAnsi="Calibri"/>
          <w:b/>
          <w:bCs/>
          <w:noProof w:val="0"/>
          <w:sz w:val="28"/>
          <w:szCs w:val="28"/>
          <w:rtl/>
        </w:rPr>
        <w:t>"</w:t>
      </w:r>
      <w:r w:rsidRPr="00D10FAD" w:rsidR="00D10FAD">
        <w:rPr>
          <w:rFonts w:hint="cs" w:ascii="Calibri" w:hAnsi="Calibri"/>
          <w:b/>
          <w:bCs/>
          <w:noProof w:val="0"/>
          <w:sz w:val="28"/>
          <w:szCs w:val="28"/>
          <w:rtl/>
        </w:rPr>
        <w:t>(א) שופט בית הדין או הרשם רשאי, אם נראה לו הדבר, לצוות על תובע לתת ערובה לתשלום כל הוצאותיו של נתבע.</w:t>
      </w:r>
    </w:p>
    <w:p w:rsidRPr="00D10FAD" w:rsidR="00D10FAD" w:rsidP="00957258" w:rsidRDefault="00D10FAD">
      <w:pPr>
        <w:pStyle w:val="ad"/>
        <w:ind w:right="426"/>
        <w:jc w:val="both"/>
        <w:rPr>
          <w:rFonts w:ascii="Calibri" w:hAnsi="Calibri"/>
          <w:b/>
          <w:bCs/>
          <w:noProof w:val="0"/>
          <w:sz w:val="28"/>
          <w:szCs w:val="28"/>
          <w:rtl/>
        </w:rPr>
      </w:pPr>
      <w:r w:rsidRPr="00D10FAD">
        <w:rPr>
          <w:rFonts w:hint="cs" w:ascii="Calibri" w:hAnsi="Calibri"/>
          <w:b/>
          <w:bCs/>
          <w:noProof w:val="0"/>
          <w:sz w:val="28"/>
          <w:szCs w:val="28"/>
          <w:rtl/>
        </w:rPr>
        <w:t>(ב) היה התובע מי שאינו תושב ישראל ואינו אזרח אחת המדינות בעלת האמנה לפי</w:t>
      </w:r>
      <w:r w:rsidR="00957258">
        <w:rPr>
          <w:rFonts w:hint="cs" w:ascii="Calibri" w:hAnsi="Calibri"/>
          <w:b/>
          <w:bCs/>
          <w:noProof w:val="0"/>
          <w:sz w:val="28"/>
          <w:szCs w:val="28"/>
          <w:rtl/>
        </w:rPr>
        <w:t xml:space="preserve"> תקנות לביצוע אמנת האג 1954 (סדר הדין האזרחי)</w:t>
      </w:r>
      <w:r w:rsidRPr="00D10FAD">
        <w:rPr>
          <w:rFonts w:hint="cs" w:ascii="Calibri" w:hAnsi="Calibri"/>
          <w:b/>
          <w:bCs/>
          <w:noProof w:val="0"/>
          <w:sz w:val="28"/>
          <w:szCs w:val="28"/>
          <w:rtl/>
        </w:rPr>
        <w:t xml:space="preserve"> התשכ"ט- 1969, יורה שופט בית הדין או הרשם לתובע, לבקשת נתבע, להפקיד ערובה לתשלום הוצאותיו של הנתבע, זולת אם הראה התובע ראשית ראיה להוכחת תביעתו או שהוא הראה כי הנתבע יוכל להיפרע את הוצאותיו ממנו אם התביעה תידחה או אם ראה שופט בית הדין או הרשם לפטור את התובע מטעמים מיוחדים שירשמו.</w:t>
      </w:r>
    </w:p>
    <w:p w:rsidRPr="00D10FAD" w:rsidR="00D10FAD" w:rsidP="00D10FAD" w:rsidRDefault="00D10FAD">
      <w:pPr>
        <w:pStyle w:val="ad"/>
        <w:ind w:right="426"/>
        <w:jc w:val="both"/>
        <w:rPr>
          <w:rFonts w:ascii="Calibri" w:hAnsi="Calibri"/>
          <w:b/>
          <w:bCs/>
          <w:noProof w:val="0"/>
          <w:sz w:val="28"/>
          <w:szCs w:val="28"/>
          <w:rtl/>
        </w:rPr>
      </w:pPr>
      <w:r w:rsidRPr="00D10FAD">
        <w:rPr>
          <w:rFonts w:hint="cs" w:ascii="Calibri" w:hAnsi="Calibri"/>
          <w:b/>
          <w:bCs/>
          <w:noProof w:val="0"/>
          <w:sz w:val="28"/>
          <w:szCs w:val="28"/>
          <w:rtl/>
        </w:rPr>
        <w:t>(ג) הורה שופט בית הדין או הרשם על הפקדת ערובה ולא הופקדה ערובה בתוך המועד שנקבע, תימחק התובענה, זולת אם הורשה התובע להפסיקה."</w:t>
      </w:r>
    </w:p>
    <w:p w:rsidRPr="00D10FAD" w:rsidR="00D10FAD" w:rsidP="007B3908" w:rsidRDefault="00D10FAD">
      <w:pPr>
        <w:pStyle w:val="ad"/>
        <w:jc w:val="both"/>
        <w:rPr>
          <w:rFonts w:ascii="Calibri" w:hAnsi="Calibri"/>
          <w:b/>
          <w:bCs/>
          <w:noProof w:val="0"/>
          <w:rtl/>
        </w:rPr>
      </w:pPr>
    </w:p>
    <w:p w:rsidRPr="00D10FAD" w:rsidR="00D10FAD" w:rsidP="008C54BD" w:rsidRDefault="00D10FAD">
      <w:pPr>
        <w:pStyle w:val="ad"/>
        <w:numPr>
          <w:ilvl w:val="0"/>
          <w:numId w:val="1"/>
        </w:numPr>
        <w:spacing w:line="360" w:lineRule="auto"/>
        <w:ind w:left="567" w:hanging="567"/>
        <w:jc w:val="both"/>
        <w:rPr>
          <w:rFonts w:ascii="Calibri" w:hAnsi="Calibri"/>
          <w:noProof w:val="0"/>
          <w:sz w:val="28"/>
          <w:szCs w:val="28"/>
          <w:rtl/>
        </w:rPr>
      </w:pPr>
      <w:r w:rsidRPr="00D10FAD">
        <w:rPr>
          <w:rFonts w:hint="cs" w:ascii="Calibri" w:hAnsi="Calibri"/>
          <w:noProof w:val="0"/>
          <w:sz w:val="28"/>
          <w:szCs w:val="28"/>
          <w:rtl/>
        </w:rPr>
        <w:t>בהתאם ל</w:t>
      </w:r>
      <w:r w:rsidR="008C54BD">
        <w:rPr>
          <w:rFonts w:hint="cs" w:ascii="Calibri" w:hAnsi="Calibri"/>
          <w:noProof w:val="0"/>
          <w:sz w:val="28"/>
          <w:szCs w:val="28"/>
          <w:rtl/>
        </w:rPr>
        <w:t>תקנה,</w:t>
      </w:r>
      <w:r w:rsidRPr="00D10FAD">
        <w:rPr>
          <w:rFonts w:hint="cs" w:ascii="Calibri" w:hAnsi="Calibri"/>
          <w:noProof w:val="0"/>
          <w:sz w:val="28"/>
          <w:szCs w:val="28"/>
          <w:rtl/>
        </w:rPr>
        <w:t xml:space="preserve"> שעה שמדובר בתובע שאינו תושב ישראל או אחת המדינות שאמנת האג חלה עליהן, הכלל הוא חיובו בהפקדת ערובה, למעט המקרים המנויים בסיפא סעיף קטן (א)</w:t>
      </w:r>
      <w:r w:rsidR="007B3908">
        <w:rPr>
          <w:rFonts w:hint="cs" w:ascii="Calibri" w:hAnsi="Calibri"/>
          <w:noProof w:val="0"/>
          <w:sz w:val="28"/>
          <w:szCs w:val="28"/>
          <w:rtl/>
        </w:rPr>
        <w:t>. ד</w:t>
      </w:r>
      <w:r w:rsidRPr="00D10FAD">
        <w:rPr>
          <w:rFonts w:hint="cs" w:ascii="Calibri" w:hAnsi="Calibri"/>
          <w:noProof w:val="0"/>
          <w:sz w:val="28"/>
          <w:szCs w:val="28"/>
          <w:rtl/>
        </w:rPr>
        <w:t>היינו</w:t>
      </w:r>
      <w:r w:rsidR="007B3908">
        <w:rPr>
          <w:rFonts w:hint="cs" w:ascii="Calibri" w:hAnsi="Calibri"/>
          <w:noProof w:val="0"/>
          <w:sz w:val="28"/>
          <w:szCs w:val="28"/>
          <w:rtl/>
        </w:rPr>
        <w:t>,</w:t>
      </w:r>
      <w:r w:rsidRPr="00D10FAD">
        <w:rPr>
          <w:rFonts w:hint="cs" w:ascii="Calibri" w:hAnsi="Calibri"/>
          <w:noProof w:val="0"/>
          <w:sz w:val="28"/>
          <w:szCs w:val="28"/>
          <w:rtl/>
        </w:rPr>
        <w:t xml:space="preserve"> המצאת ראשית ראייה; הוכחת יכולת פירעון; </w:t>
      </w:r>
      <w:r w:rsidR="007B3908">
        <w:rPr>
          <w:rFonts w:hint="cs" w:ascii="Calibri" w:hAnsi="Calibri"/>
          <w:noProof w:val="0"/>
          <w:sz w:val="28"/>
          <w:szCs w:val="28"/>
          <w:rtl/>
        </w:rPr>
        <w:t xml:space="preserve">או קיומם של </w:t>
      </w:r>
      <w:r w:rsidRPr="00D10FAD">
        <w:rPr>
          <w:rFonts w:hint="cs" w:ascii="Calibri" w:hAnsi="Calibri"/>
          <w:noProof w:val="0"/>
          <w:sz w:val="28"/>
          <w:szCs w:val="28"/>
          <w:rtl/>
        </w:rPr>
        <w:t xml:space="preserve">טעמים מיוחדים. </w:t>
      </w:r>
      <w:r w:rsidR="00BF1631">
        <w:rPr>
          <w:rFonts w:hint="cs" w:ascii="Calibri" w:hAnsi="Calibri"/>
          <w:noProof w:val="0"/>
          <w:sz w:val="28"/>
          <w:szCs w:val="28"/>
          <w:rtl/>
        </w:rPr>
        <w:t xml:space="preserve">נוסיף, כי </w:t>
      </w:r>
      <w:r w:rsidR="008C54BD">
        <w:rPr>
          <w:rFonts w:hint="cs" w:ascii="Calibri" w:hAnsi="Calibri"/>
          <w:noProof w:val="0"/>
          <w:sz w:val="28"/>
          <w:szCs w:val="28"/>
          <w:rtl/>
        </w:rPr>
        <w:t>בשל</w:t>
      </w:r>
      <w:r w:rsidR="00BF1631">
        <w:rPr>
          <w:rFonts w:hint="cs" w:ascii="Calibri" w:hAnsi="Calibri"/>
          <w:noProof w:val="0"/>
          <w:sz w:val="28"/>
          <w:szCs w:val="28"/>
          <w:rtl/>
        </w:rPr>
        <w:t xml:space="preserve"> השלב בו מצוי ההליך ניתן </w:t>
      </w:r>
      <w:r w:rsidR="00091EF0">
        <w:rPr>
          <w:rFonts w:hint="cs" w:ascii="Calibri" w:hAnsi="Calibri"/>
          <w:noProof w:val="0"/>
          <w:sz w:val="28"/>
          <w:szCs w:val="28"/>
          <w:rtl/>
        </w:rPr>
        <w:t xml:space="preserve">להעריך את סיכויי התביעה לאור </w:t>
      </w:r>
      <w:r w:rsidR="00BF1631">
        <w:rPr>
          <w:rFonts w:hint="cs" w:ascii="Calibri" w:hAnsi="Calibri"/>
          <w:noProof w:val="0"/>
          <w:sz w:val="28"/>
          <w:szCs w:val="28"/>
          <w:rtl/>
        </w:rPr>
        <w:t>מכלול הראיות, ואין להסתפק בראשית ראיה.</w:t>
      </w:r>
    </w:p>
    <w:p w:rsidRPr="005E423B" w:rsidR="007B3908" w:rsidP="007B3908" w:rsidRDefault="007B3908">
      <w:pPr>
        <w:jc w:val="both"/>
        <w:rPr>
          <w:rFonts w:ascii="Calibri" w:hAnsi="Calibri"/>
          <w:noProof w:val="0"/>
          <w:sz w:val="28"/>
          <w:szCs w:val="28"/>
        </w:rPr>
      </w:pPr>
    </w:p>
    <w:p w:rsidRPr="00416D2C" w:rsidR="007B3908" w:rsidP="008C54BD" w:rsidRDefault="00416D2C">
      <w:pPr>
        <w:pStyle w:val="ad"/>
        <w:numPr>
          <w:ilvl w:val="0"/>
          <w:numId w:val="1"/>
        </w:numPr>
        <w:spacing w:line="360" w:lineRule="auto"/>
        <w:ind w:left="567" w:hanging="567"/>
        <w:jc w:val="both"/>
        <w:rPr>
          <w:rFonts w:ascii="Calibri" w:hAnsi="Calibri"/>
          <w:noProof w:val="0"/>
          <w:sz w:val="28"/>
          <w:szCs w:val="28"/>
        </w:rPr>
      </w:pPr>
      <w:r w:rsidRPr="00416D2C">
        <w:rPr>
          <w:rFonts w:hint="cs" w:ascii="Calibri" w:hAnsi="Calibri"/>
          <w:noProof w:val="0"/>
          <w:sz w:val="28"/>
          <w:szCs w:val="28"/>
          <w:rtl/>
        </w:rPr>
        <w:lastRenderedPageBreak/>
        <w:t xml:space="preserve">בענייננו, </w:t>
      </w:r>
      <w:r w:rsidRPr="00416D2C" w:rsidR="00D10FAD">
        <w:rPr>
          <w:rFonts w:hint="cs" w:ascii="Calibri" w:hAnsi="Calibri"/>
          <w:noProof w:val="0"/>
          <w:sz w:val="28"/>
          <w:szCs w:val="28"/>
          <w:rtl/>
        </w:rPr>
        <w:t xml:space="preserve">התובע הוא אזרח </w:t>
      </w:r>
      <w:r w:rsidRPr="00416D2C" w:rsidR="005E423B">
        <w:rPr>
          <w:rFonts w:hint="cs" w:ascii="Calibri" w:hAnsi="Calibri"/>
          <w:noProof w:val="0"/>
          <w:sz w:val="28"/>
          <w:szCs w:val="28"/>
          <w:rtl/>
        </w:rPr>
        <w:t xml:space="preserve">סודן. משמע, </w:t>
      </w:r>
      <w:r w:rsidRPr="00416D2C" w:rsidR="00D10FAD">
        <w:rPr>
          <w:rFonts w:hint="cs" w:ascii="Calibri" w:hAnsi="Calibri"/>
          <w:noProof w:val="0"/>
          <w:sz w:val="28"/>
          <w:szCs w:val="28"/>
          <w:rtl/>
        </w:rPr>
        <w:t>אינו תושב ישראל או מדינה החלה עליה אמנת האג.</w:t>
      </w:r>
      <w:r w:rsidRPr="00416D2C" w:rsidR="005E423B">
        <w:rPr>
          <w:rFonts w:hint="cs" w:ascii="Calibri" w:hAnsi="Calibri"/>
          <w:noProof w:val="0"/>
          <w:sz w:val="28"/>
          <w:szCs w:val="28"/>
          <w:rtl/>
        </w:rPr>
        <w:t xml:space="preserve"> </w:t>
      </w:r>
      <w:r w:rsidRPr="00416D2C" w:rsidR="00962398">
        <w:rPr>
          <w:rFonts w:hint="cs" w:ascii="Calibri" w:hAnsi="Calibri"/>
          <w:noProof w:val="0"/>
          <w:sz w:val="28"/>
          <w:szCs w:val="28"/>
          <w:rtl/>
        </w:rPr>
        <w:t xml:space="preserve">עיקר </w:t>
      </w:r>
      <w:r w:rsidR="008C54BD">
        <w:rPr>
          <w:rFonts w:hint="cs" w:ascii="Calibri" w:hAnsi="Calibri"/>
          <w:noProof w:val="0"/>
          <w:sz w:val="28"/>
          <w:szCs w:val="28"/>
          <w:rtl/>
        </w:rPr>
        <w:t>תביעתו של התובע מתבססת על הטענה</w:t>
      </w:r>
      <w:r w:rsidRPr="00416D2C" w:rsidR="00962398">
        <w:rPr>
          <w:rFonts w:hint="cs" w:ascii="Calibri" w:hAnsi="Calibri"/>
          <w:noProof w:val="0"/>
          <w:sz w:val="28"/>
          <w:szCs w:val="28"/>
          <w:rtl/>
        </w:rPr>
        <w:t xml:space="preserve"> </w:t>
      </w:r>
      <w:r w:rsidR="008C54BD">
        <w:rPr>
          <w:rFonts w:hint="cs" w:ascii="Calibri" w:hAnsi="Calibri"/>
          <w:noProof w:val="0"/>
          <w:sz w:val="28"/>
          <w:szCs w:val="28"/>
          <w:rtl/>
        </w:rPr>
        <w:t>ש</w:t>
      </w:r>
      <w:r w:rsidRPr="00416D2C" w:rsidR="00962398">
        <w:rPr>
          <w:rFonts w:hint="cs" w:ascii="Calibri" w:hAnsi="Calibri"/>
          <w:noProof w:val="0"/>
          <w:sz w:val="28"/>
          <w:szCs w:val="28"/>
          <w:rtl/>
        </w:rPr>
        <w:t>הועסק מדי יום 10 שעות לפחות, ודיווחי הנוכחות שהציגו הנתבעות א</w:t>
      </w:r>
      <w:r>
        <w:rPr>
          <w:rFonts w:hint="cs" w:ascii="Calibri" w:hAnsi="Calibri"/>
          <w:noProof w:val="0"/>
          <w:sz w:val="28"/>
          <w:szCs w:val="28"/>
          <w:rtl/>
        </w:rPr>
        <w:t>י</w:t>
      </w:r>
      <w:r w:rsidRPr="00416D2C" w:rsidR="00962398">
        <w:rPr>
          <w:rFonts w:hint="cs" w:ascii="Calibri" w:hAnsi="Calibri"/>
          <w:noProof w:val="0"/>
          <w:sz w:val="28"/>
          <w:szCs w:val="28"/>
          <w:rtl/>
        </w:rPr>
        <w:t>נם משקפים את נוכחותו בפועל. כן טוען התובע, כי תלו</w:t>
      </w:r>
      <w:r>
        <w:rPr>
          <w:rFonts w:hint="cs" w:ascii="Calibri" w:hAnsi="Calibri"/>
          <w:noProof w:val="0"/>
          <w:sz w:val="28"/>
          <w:szCs w:val="28"/>
          <w:rtl/>
        </w:rPr>
        <w:t>שי השכר פיקטיביים שכן אין הם מש</w:t>
      </w:r>
      <w:r w:rsidRPr="00416D2C" w:rsidR="00962398">
        <w:rPr>
          <w:rFonts w:hint="cs" w:ascii="Calibri" w:hAnsi="Calibri"/>
          <w:noProof w:val="0"/>
          <w:sz w:val="28"/>
          <w:szCs w:val="28"/>
          <w:rtl/>
        </w:rPr>
        <w:t>קפים את השכר ששולם לו בפועל ואת היקף שעות העבודה הנכון.</w:t>
      </w:r>
    </w:p>
    <w:p w:rsidR="00416D2C" w:rsidP="00091EF0" w:rsidRDefault="00416D2C">
      <w:pPr>
        <w:pStyle w:val="ad"/>
        <w:ind w:left="567"/>
        <w:jc w:val="both"/>
        <w:rPr>
          <w:rFonts w:ascii="Calibri" w:hAnsi="Calibri"/>
          <w:noProof w:val="0"/>
          <w:sz w:val="28"/>
          <w:szCs w:val="28"/>
        </w:rPr>
      </w:pPr>
    </w:p>
    <w:p w:rsidRPr="00091EF0" w:rsidR="00091EF0" w:rsidP="00473EDD" w:rsidRDefault="00416D2C">
      <w:pPr>
        <w:pStyle w:val="ad"/>
        <w:numPr>
          <w:ilvl w:val="0"/>
          <w:numId w:val="1"/>
        </w:numPr>
        <w:spacing w:line="360" w:lineRule="auto"/>
        <w:ind w:left="567" w:hanging="567"/>
        <w:jc w:val="both"/>
        <w:rPr>
          <w:rFonts w:ascii="Calibri" w:hAnsi="Calibri"/>
          <w:noProof w:val="0"/>
          <w:sz w:val="28"/>
          <w:szCs w:val="28"/>
          <w:rtl/>
        </w:rPr>
      </w:pPr>
      <w:r>
        <w:rPr>
          <w:rFonts w:hint="cs" w:ascii="Calibri" w:hAnsi="Calibri"/>
          <w:noProof w:val="0"/>
          <w:sz w:val="28"/>
          <w:szCs w:val="28"/>
          <w:rtl/>
        </w:rPr>
        <w:t xml:space="preserve">התובע לא הציג דיווחי נוכחות שנערכו על ידו, ולא הביא כל ראיה לסתור את ראיות הנתבעות בכתב, פרט לטענתו בתצהירו לפיה דיווחי הנוכחות </w:t>
      </w:r>
      <w:r w:rsidR="00091EF0">
        <w:rPr>
          <w:rFonts w:hint="cs" w:ascii="Calibri" w:hAnsi="Calibri"/>
          <w:noProof w:val="0"/>
          <w:sz w:val="28"/>
          <w:szCs w:val="28"/>
          <w:rtl/>
        </w:rPr>
        <w:t>הממוכנים</w:t>
      </w:r>
      <w:r w:rsidR="00BF1631">
        <w:rPr>
          <w:rFonts w:hint="cs" w:ascii="Calibri" w:hAnsi="Calibri"/>
          <w:noProof w:val="0"/>
          <w:sz w:val="28"/>
          <w:szCs w:val="28"/>
          <w:rtl/>
        </w:rPr>
        <w:t xml:space="preserve"> של הנתבעות </w:t>
      </w:r>
      <w:r>
        <w:rPr>
          <w:rFonts w:hint="cs" w:ascii="Calibri" w:hAnsi="Calibri"/>
          <w:noProof w:val="0"/>
          <w:sz w:val="28"/>
          <w:szCs w:val="28"/>
          <w:rtl/>
        </w:rPr>
        <w:t xml:space="preserve">שקריים. </w:t>
      </w:r>
      <w:r w:rsidR="00091EF0">
        <w:rPr>
          <w:rFonts w:hint="cs" w:ascii="Calibri" w:hAnsi="Calibri"/>
          <w:noProof w:val="0"/>
          <w:sz w:val="28"/>
          <w:szCs w:val="28"/>
          <w:rtl/>
        </w:rPr>
        <w:t xml:space="preserve">התובע טען עוד, כי לא הוחתם על דיווחי הנוכחות מדי חודש, אולם בהתאם לסעיף 25(א1)(2) </w:t>
      </w:r>
      <w:r w:rsidRPr="00091EF0" w:rsidR="00091EF0">
        <w:rPr>
          <w:rFonts w:ascii="Calibri" w:hAnsi="Calibri"/>
          <w:b/>
          <w:bCs/>
          <w:noProof w:val="0"/>
          <w:sz w:val="28"/>
          <w:szCs w:val="28"/>
          <w:rtl/>
        </w:rPr>
        <w:t>לחוק שעות עבודה ומנוחה</w:t>
      </w:r>
      <w:r w:rsidRPr="00091EF0" w:rsidR="00091EF0">
        <w:rPr>
          <w:rFonts w:ascii="Calibri" w:hAnsi="Calibri"/>
          <w:noProof w:val="0"/>
          <w:sz w:val="28"/>
          <w:szCs w:val="28"/>
          <w:rtl/>
        </w:rPr>
        <w:t>, התשי"א-1951</w:t>
      </w:r>
      <w:r w:rsidR="00091EF0">
        <w:rPr>
          <w:rFonts w:hint="cs" w:ascii="Calibri" w:hAnsi="Calibri"/>
          <w:noProof w:val="0"/>
          <w:sz w:val="28"/>
          <w:szCs w:val="28"/>
          <w:rtl/>
        </w:rPr>
        <w:t xml:space="preserve">, קמה חובה להחתים על דיווחי הנוכחות רק שעה שאין המדובר בדיווחים מכניים, אלקטרוניים או דיגיטליים. בענייננו, כאמור, </w:t>
      </w:r>
      <w:r w:rsidR="00473EDD">
        <w:rPr>
          <w:rFonts w:hint="cs" w:ascii="Calibri" w:hAnsi="Calibri"/>
          <w:noProof w:val="0"/>
          <w:sz w:val="28"/>
          <w:szCs w:val="28"/>
          <w:rtl/>
        </w:rPr>
        <w:t>ה</w:t>
      </w:r>
      <w:r w:rsidR="00091EF0">
        <w:rPr>
          <w:rFonts w:hint="cs" w:ascii="Calibri" w:hAnsi="Calibri"/>
          <w:noProof w:val="0"/>
          <w:sz w:val="28"/>
          <w:szCs w:val="28"/>
          <w:rtl/>
        </w:rPr>
        <w:t xml:space="preserve">דיווחים </w:t>
      </w:r>
      <w:r w:rsidR="00473EDD">
        <w:rPr>
          <w:rFonts w:hint="cs" w:ascii="Calibri" w:hAnsi="Calibri"/>
          <w:noProof w:val="0"/>
          <w:sz w:val="28"/>
          <w:szCs w:val="28"/>
          <w:rtl/>
        </w:rPr>
        <w:t xml:space="preserve">לא היו </w:t>
      </w:r>
      <w:r w:rsidR="00091EF0">
        <w:rPr>
          <w:rFonts w:hint="cs" w:ascii="Calibri" w:hAnsi="Calibri"/>
          <w:noProof w:val="0"/>
          <w:sz w:val="28"/>
          <w:szCs w:val="28"/>
          <w:rtl/>
        </w:rPr>
        <w:t xml:space="preserve">ידניים </w:t>
      </w:r>
      <w:r w:rsidR="00473EDD">
        <w:rPr>
          <w:rFonts w:hint="cs" w:ascii="Calibri" w:hAnsi="Calibri"/>
          <w:noProof w:val="0"/>
          <w:sz w:val="28"/>
          <w:szCs w:val="28"/>
          <w:rtl/>
        </w:rPr>
        <w:t xml:space="preserve">אלא מכניים </w:t>
      </w:r>
      <w:r w:rsidR="00091EF0">
        <w:rPr>
          <w:rFonts w:hint="cs" w:ascii="Calibri" w:hAnsi="Calibri"/>
          <w:noProof w:val="0"/>
          <w:sz w:val="28"/>
          <w:szCs w:val="28"/>
          <w:rtl/>
        </w:rPr>
        <w:t xml:space="preserve">ולפיכך לא נפל כל פגם בכך שהתובע לא הוחתם </w:t>
      </w:r>
      <w:r w:rsidR="00473EDD">
        <w:rPr>
          <w:rFonts w:hint="cs" w:ascii="Calibri" w:hAnsi="Calibri"/>
          <w:noProof w:val="0"/>
          <w:sz w:val="28"/>
          <w:szCs w:val="28"/>
          <w:rtl/>
        </w:rPr>
        <w:t xml:space="preserve">ידנית </w:t>
      </w:r>
      <w:r w:rsidR="00091EF0">
        <w:rPr>
          <w:rFonts w:hint="cs" w:ascii="Calibri" w:hAnsi="Calibri"/>
          <w:noProof w:val="0"/>
          <w:sz w:val="28"/>
          <w:szCs w:val="28"/>
          <w:rtl/>
        </w:rPr>
        <w:t>על הדוחות מדי חודש.</w:t>
      </w:r>
    </w:p>
    <w:p w:rsidR="00091EF0" w:rsidP="00091EF0" w:rsidRDefault="00416D2C">
      <w:pPr>
        <w:pStyle w:val="ad"/>
        <w:spacing w:line="360" w:lineRule="auto"/>
        <w:ind w:left="567"/>
        <w:jc w:val="both"/>
        <w:rPr>
          <w:rFonts w:ascii="Calibri" w:hAnsi="Calibri"/>
          <w:noProof w:val="0"/>
          <w:sz w:val="28"/>
          <w:szCs w:val="28"/>
        </w:rPr>
      </w:pPr>
      <w:r>
        <w:rPr>
          <w:rFonts w:hint="cs" w:ascii="Calibri" w:hAnsi="Calibri"/>
          <w:noProof w:val="0"/>
          <w:sz w:val="28"/>
          <w:szCs w:val="28"/>
          <w:rtl/>
        </w:rPr>
        <w:t xml:space="preserve">בעדותו של התובע בבית הדין היום, הוא אישר כי בתקופת עבודתו החתים שעון נוכחות מדי יום, בתחילת העבודה ובסיומה (עמוד 7 שורות 6 </w:t>
      </w:r>
      <w:r>
        <w:rPr>
          <w:rFonts w:ascii="Calibri" w:hAnsi="Calibri"/>
          <w:noProof w:val="0"/>
          <w:sz w:val="28"/>
          <w:szCs w:val="28"/>
          <w:rtl/>
        </w:rPr>
        <w:t>–</w:t>
      </w:r>
      <w:r>
        <w:rPr>
          <w:rFonts w:hint="cs" w:ascii="Calibri" w:hAnsi="Calibri"/>
          <w:noProof w:val="0"/>
          <w:sz w:val="28"/>
          <w:szCs w:val="28"/>
          <w:rtl/>
        </w:rPr>
        <w:t xml:space="preserve"> 13). </w:t>
      </w:r>
    </w:p>
    <w:p w:rsidR="00091EF0" w:rsidP="00473EDD" w:rsidRDefault="00091EF0">
      <w:pPr>
        <w:pStyle w:val="ad"/>
        <w:ind w:left="567"/>
        <w:jc w:val="both"/>
        <w:rPr>
          <w:rFonts w:ascii="Calibri" w:hAnsi="Calibri"/>
          <w:noProof w:val="0"/>
          <w:sz w:val="28"/>
          <w:szCs w:val="28"/>
        </w:rPr>
      </w:pPr>
    </w:p>
    <w:p w:rsidR="007B3908" w:rsidP="00091EF0" w:rsidRDefault="00416D2C">
      <w:pPr>
        <w:pStyle w:val="ad"/>
        <w:numPr>
          <w:ilvl w:val="0"/>
          <w:numId w:val="1"/>
        </w:numPr>
        <w:spacing w:line="360" w:lineRule="auto"/>
        <w:ind w:left="567" w:hanging="567"/>
        <w:jc w:val="both"/>
        <w:rPr>
          <w:rFonts w:ascii="Calibri" w:hAnsi="Calibri"/>
          <w:noProof w:val="0"/>
          <w:sz w:val="28"/>
          <w:szCs w:val="28"/>
        </w:rPr>
      </w:pPr>
      <w:r>
        <w:rPr>
          <w:rFonts w:hint="cs" w:ascii="Calibri" w:hAnsi="Calibri"/>
          <w:noProof w:val="0"/>
          <w:sz w:val="28"/>
          <w:szCs w:val="28"/>
          <w:rtl/>
        </w:rPr>
        <w:t xml:space="preserve">התובע אף לא הביא כל ראיה לכך שהשכר ששולם לו לא תאם את תלושי השכר, כגון תדפיסי חשבון בנק או העתקי המחאות שניתנו לו. </w:t>
      </w:r>
    </w:p>
    <w:p w:rsidR="00BF1631" w:rsidP="00473EDD" w:rsidRDefault="00BF1631">
      <w:pPr>
        <w:pStyle w:val="ad"/>
        <w:ind w:left="567"/>
        <w:jc w:val="both"/>
        <w:rPr>
          <w:rFonts w:ascii="Calibri" w:hAnsi="Calibri"/>
          <w:noProof w:val="0"/>
          <w:sz w:val="28"/>
          <w:szCs w:val="28"/>
        </w:rPr>
      </w:pPr>
    </w:p>
    <w:p w:rsidR="00416D2C" w:rsidP="00463DD2" w:rsidRDefault="00BF1631">
      <w:pPr>
        <w:pStyle w:val="ad"/>
        <w:numPr>
          <w:ilvl w:val="0"/>
          <w:numId w:val="1"/>
        </w:numPr>
        <w:spacing w:line="360" w:lineRule="auto"/>
        <w:ind w:left="567" w:hanging="567"/>
        <w:jc w:val="both"/>
        <w:rPr>
          <w:rFonts w:ascii="Calibri" w:hAnsi="Calibri"/>
          <w:noProof w:val="0"/>
          <w:sz w:val="28"/>
          <w:szCs w:val="28"/>
        </w:rPr>
      </w:pPr>
      <w:r>
        <w:rPr>
          <w:rFonts w:hint="cs" w:ascii="Calibri" w:hAnsi="Calibri"/>
          <w:noProof w:val="0"/>
          <w:sz w:val="28"/>
          <w:szCs w:val="28"/>
          <w:rtl/>
        </w:rPr>
        <w:t xml:space="preserve">בנסיבות אלה, הסיכויים להוכחת חלק הארי של התביעה, </w:t>
      </w:r>
      <w:r w:rsidRPr="00463DD2">
        <w:rPr>
          <w:rFonts w:hint="cs" w:ascii="Calibri" w:hAnsi="Calibri"/>
          <w:b/>
          <w:bCs/>
          <w:noProof w:val="0"/>
          <w:sz w:val="28"/>
          <w:szCs w:val="28"/>
          <w:rtl/>
        </w:rPr>
        <w:t xml:space="preserve">תמורה בגין עבודה בשעות נוספות ופיצוי בגין תלושי שכר </w:t>
      </w:r>
      <w:r w:rsidRPr="00463DD2" w:rsidR="00463DD2">
        <w:rPr>
          <w:rFonts w:hint="cs" w:ascii="Calibri" w:hAnsi="Calibri"/>
          <w:b/>
          <w:bCs/>
          <w:noProof w:val="0"/>
          <w:sz w:val="28"/>
          <w:szCs w:val="28"/>
          <w:rtl/>
        </w:rPr>
        <w:t>פגומים</w:t>
      </w:r>
      <w:r>
        <w:rPr>
          <w:rFonts w:hint="cs" w:ascii="Calibri" w:hAnsi="Calibri"/>
          <w:noProof w:val="0"/>
          <w:sz w:val="28"/>
          <w:szCs w:val="28"/>
          <w:rtl/>
        </w:rPr>
        <w:t xml:space="preserve">, נמוכים ביותר. </w:t>
      </w:r>
    </w:p>
    <w:p w:rsidR="00BF1631" w:rsidP="00BF1631" w:rsidRDefault="00BF1631">
      <w:pPr>
        <w:pStyle w:val="ad"/>
        <w:ind w:left="567"/>
        <w:jc w:val="both"/>
        <w:rPr>
          <w:rFonts w:hint="cs" w:ascii="Calibri" w:hAnsi="Calibri"/>
          <w:noProof w:val="0"/>
          <w:sz w:val="28"/>
          <w:szCs w:val="28"/>
        </w:rPr>
      </w:pPr>
    </w:p>
    <w:p w:rsidR="00416D2C" w:rsidP="00463DD2" w:rsidRDefault="00BF1631">
      <w:pPr>
        <w:pStyle w:val="ad"/>
        <w:numPr>
          <w:ilvl w:val="0"/>
          <w:numId w:val="1"/>
        </w:numPr>
        <w:spacing w:line="360" w:lineRule="auto"/>
        <w:ind w:left="567" w:hanging="567"/>
        <w:jc w:val="both"/>
        <w:rPr>
          <w:rFonts w:ascii="Calibri" w:hAnsi="Calibri"/>
          <w:noProof w:val="0"/>
          <w:sz w:val="28"/>
          <w:szCs w:val="28"/>
        </w:rPr>
      </w:pPr>
      <w:r>
        <w:rPr>
          <w:rFonts w:hint="cs" w:ascii="Calibri" w:hAnsi="Calibri"/>
          <w:noProof w:val="0"/>
          <w:sz w:val="28"/>
          <w:szCs w:val="28"/>
          <w:rtl/>
        </w:rPr>
        <w:t xml:space="preserve">אשר ליתר רכיבי התביעה: הנתבעת 1 שילמה לתובע </w:t>
      </w:r>
      <w:r w:rsidRPr="00463DD2">
        <w:rPr>
          <w:rFonts w:hint="cs" w:ascii="Calibri" w:hAnsi="Calibri"/>
          <w:b/>
          <w:bCs/>
          <w:noProof w:val="0"/>
          <w:sz w:val="28"/>
          <w:szCs w:val="28"/>
          <w:rtl/>
        </w:rPr>
        <w:t>פדיון חופשה</w:t>
      </w:r>
      <w:r>
        <w:rPr>
          <w:rFonts w:hint="cs" w:ascii="Calibri" w:hAnsi="Calibri"/>
          <w:noProof w:val="0"/>
          <w:sz w:val="28"/>
          <w:szCs w:val="28"/>
          <w:rtl/>
        </w:rPr>
        <w:t xml:space="preserve"> בגין 6 ימים, כנתבע על ידו. התובע תבע סכום גבוה יותר בגין רכיב זה ב</w:t>
      </w:r>
      <w:r w:rsidR="00473EDD">
        <w:rPr>
          <w:rFonts w:hint="cs" w:ascii="Calibri" w:hAnsi="Calibri"/>
          <w:noProof w:val="0"/>
          <w:sz w:val="28"/>
          <w:szCs w:val="28"/>
          <w:rtl/>
        </w:rPr>
        <w:t>תביעתו, אולם לא פירט את חישוביו;</w:t>
      </w:r>
      <w:r>
        <w:rPr>
          <w:rFonts w:hint="cs" w:ascii="Calibri" w:hAnsi="Calibri"/>
          <w:noProof w:val="0"/>
          <w:sz w:val="28"/>
          <w:szCs w:val="28"/>
          <w:rtl/>
        </w:rPr>
        <w:t xml:space="preserve"> </w:t>
      </w:r>
      <w:r w:rsidR="00473EDD">
        <w:rPr>
          <w:rFonts w:hint="cs" w:ascii="Calibri" w:hAnsi="Calibri"/>
          <w:noProof w:val="0"/>
          <w:sz w:val="28"/>
          <w:szCs w:val="28"/>
          <w:rtl/>
        </w:rPr>
        <w:t xml:space="preserve">התובע לא פירט בתביעתו </w:t>
      </w:r>
      <w:r w:rsidRPr="00463DD2" w:rsidR="00473EDD">
        <w:rPr>
          <w:rFonts w:hint="cs" w:ascii="Calibri" w:hAnsi="Calibri"/>
          <w:b/>
          <w:bCs/>
          <w:noProof w:val="0"/>
          <w:sz w:val="28"/>
          <w:szCs w:val="28"/>
          <w:rtl/>
        </w:rPr>
        <w:t>לדמי חגים</w:t>
      </w:r>
      <w:r w:rsidR="00473EDD">
        <w:rPr>
          <w:rFonts w:hint="cs" w:ascii="Calibri" w:hAnsi="Calibri"/>
          <w:noProof w:val="0"/>
          <w:sz w:val="28"/>
          <w:szCs w:val="28"/>
          <w:rtl/>
        </w:rPr>
        <w:t xml:space="preserve"> לאיזה ימי חג הוא מתייחס. הנתבעת 1 פירטה אילו 3 ימי חג חלו בתקופת העבודה </w:t>
      </w:r>
      <w:r w:rsidR="00463DD2">
        <w:rPr>
          <w:rFonts w:hint="cs" w:ascii="Calibri" w:hAnsi="Calibri"/>
          <w:noProof w:val="0"/>
          <w:sz w:val="28"/>
          <w:szCs w:val="28"/>
          <w:rtl/>
        </w:rPr>
        <w:t xml:space="preserve">הקצרה של התובע </w:t>
      </w:r>
      <w:r w:rsidR="00473EDD">
        <w:rPr>
          <w:rFonts w:hint="cs" w:ascii="Calibri" w:hAnsi="Calibri"/>
          <w:noProof w:val="0"/>
          <w:sz w:val="28"/>
          <w:szCs w:val="28"/>
          <w:rtl/>
        </w:rPr>
        <w:t xml:space="preserve">(סעיף 33 לתצהירה) והסבירה מדוע לשיטתה לא קמה זכאות לתשלום. אף אם תתקבל התביעה ברכיב זה, </w:t>
      </w:r>
      <w:r w:rsidR="00463DD2">
        <w:rPr>
          <w:rFonts w:hint="cs" w:ascii="Calibri" w:hAnsi="Calibri"/>
          <w:noProof w:val="0"/>
          <w:sz w:val="28"/>
          <w:szCs w:val="28"/>
          <w:rtl/>
        </w:rPr>
        <w:t xml:space="preserve">ולו חלקית, </w:t>
      </w:r>
      <w:r w:rsidR="00473EDD">
        <w:rPr>
          <w:rFonts w:hint="cs" w:ascii="Calibri" w:hAnsi="Calibri"/>
          <w:noProof w:val="0"/>
          <w:sz w:val="28"/>
          <w:szCs w:val="28"/>
          <w:rtl/>
        </w:rPr>
        <w:t>הרי שמדובר ברכיב בסכום נמוך מא</w:t>
      </w:r>
      <w:r w:rsidR="00463DD2">
        <w:rPr>
          <w:rFonts w:hint="cs" w:ascii="Calibri" w:hAnsi="Calibri"/>
          <w:noProof w:val="0"/>
          <w:sz w:val="28"/>
          <w:szCs w:val="28"/>
          <w:rtl/>
        </w:rPr>
        <w:t xml:space="preserve">ד באופן יחסי לסכום התביעה הכולל; הנתבעת 1 הציגה </w:t>
      </w:r>
      <w:r w:rsidRPr="00463DD2" w:rsidR="00463DD2">
        <w:rPr>
          <w:rFonts w:hint="cs" w:ascii="Calibri" w:hAnsi="Calibri"/>
          <w:b/>
          <w:bCs/>
          <w:noProof w:val="0"/>
          <w:sz w:val="28"/>
          <w:szCs w:val="28"/>
          <w:rtl/>
        </w:rPr>
        <w:t>הודעה לעובד</w:t>
      </w:r>
      <w:r w:rsidR="00463DD2">
        <w:rPr>
          <w:rFonts w:hint="cs" w:ascii="Calibri" w:hAnsi="Calibri"/>
          <w:noProof w:val="0"/>
          <w:sz w:val="28"/>
          <w:szCs w:val="28"/>
          <w:rtl/>
        </w:rPr>
        <w:t xml:space="preserve"> עם תחילת העבודה (נספח ג' לתצהירה), ואילו התובע חולק על הטענה כי חתם על המסמך. מדובר במחלוקת </w:t>
      </w:r>
      <w:r w:rsidR="00463DD2">
        <w:rPr>
          <w:rFonts w:hint="cs" w:ascii="Calibri" w:hAnsi="Calibri"/>
          <w:noProof w:val="0"/>
          <w:sz w:val="28"/>
          <w:szCs w:val="28"/>
          <w:rtl/>
        </w:rPr>
        <w:lastRenderedPageBreak/>
        <w:t xml:space="preserve">עובדתית הדורשת הכרעה, ברכיב שאינו מרכזי בתיק ובפיצוי ששיעורו תלוי בשיקול דעת בית הדין. </w:t>
      </w:r>
    </w:p>
    <w:p w:rsidR="00473EDD" w:rsidP="00463DD2" w:rsidRDefault="00473EDD">
      <w:pPr>
        <w:pStyle w:val="ad"/>
        <w:ind w:left="567"/>
        <w:jc w:val="both"/>
        <w:rPr>
          <w:rFonts w:ascii="Calibri" w:hAnsi="Calibri"/>
          <w:noProof w:val="0"/>
          <w:sz w:val="28"/>
          <w:szCs w:val="28"/>
        </w:rPr>
      </w:pPr>
    </w:p>
    <w:p w:rsidR="00473EDD" w:rsidP="00103293" w:rsidRDefault="00473EDD">
      <w:pPr>
        <w:pStyle w:val="ad"/>
        <w:numPr>
          <w:ilvl w:val="0"/>
          <w:numId w:val="1"/>
        </w:numPr>
        <w:spacing w:line="360" w:lineRule="auto"/>
        <w:ind w:left="567" w:hanging="567"/>
        <w:jc w:val="both"/>
        <w:rPr>
          <w:rFonts w:hint="cs" w:ascii="Calibri" w:hAnsi="Calibri"/>
          <w:noProof w:val="0"/>
          <w:sz w:val="28"/>
          <w:szCs w:val="28"/>
        </w:rPr>
      </w:pPr>
      <w:r>
        <w:rPr>
          <w:rFonts w:hint="cs" w:ascii="Calibri" w:hAnsi="Calibri"/>
          <w:noProof w:val="0"/>
          <w:sz w:val="28"/>
          <w:szCs w:val="28"/>
          <w:rtl/>
        </w:rPr>
        <w:t xml:space="preserve">לאור האמור בדבר סיכוייה הנמוכים של התביעה לגופה, אין צורך להתייחס לשאלה הנפרדת של התביעה </w:t>
      </w:r>
      <w:r w:rsidR="00463DD2">
        <w:rPr>
          <w:rFonts w:hint="cs" w:ascii="Calibri" w:hAnsi="Calibri"/>
          <w:noProof w:val="0"/>
          <w:sz w:val="28"/>
          <w:szCs w:val="28"/>
          <w:rtl/>
        </w:rPr>
        <w:t xml:space="preserve">שבחר </w:t>
      </w:r>
      <w:r w:rsidR="00103293">
        <w:rPr>
          <w:rFonts w:hint="cs" w:ascii="Calibri" w:hAnsi="Calibri"/>
          <w:noProof w:val="0"/>
          <w:sz w:val="28"/>
          <w:szCs w:val="28"/>
          <w:rtl/>
        </w:rPr>
        <w:t>התובע להגיש נגד הנתבעת 2, היא</w:t>
      </w:r>
      <w:r>
        <w:rPr>
          <w:rFonts w:hint="cs" w:ascii="Calibri" w:hAnsi="Calibri"/>
          <w:noProof w:val="0"/>
          <w:sz w:val="28"/>
          <w:szCs w:val="28"/>
          <w:rtl/>
        </w:rPr>
        <w:t xml:space="preserve"> המשתמש,  אשר לכאורה סיכוייה קלושים עוד יותר.</w:t>
      </w:r>
    </w:p>
    <w:p w:rsidRPr="00103293" w:rsidR="00463DD2" w:rsidP="00463DD2" w:rsidRDefault="00463DD2">
      <w:pPr>
        <w:pStyle w:val="ad"/>
        <w:ind w:left="567"/>
        <w:jc w:val="both"/>
        <w:rPr>
          <w:rFonts w:ascii="Calibri" w:hAnsi="Calibri"/>
          <w:noProof w:val="0"/>
          <w:sz w:val="28"/>
          <w:szCs w:val="28"/>
        </w:rPr>
      </w:pPr>
    </w:p>
    <w:p w:rsidR="00103293" w:rsidP="00103293" w:rsidRDefault="00463DD2">
      <w:pPr>
        <w:pStyle w:val="ad"/>
        <w:numPr>
          <w:ilvl w:val="0"/>
          <w:numId w:val="1"/>
        </w:numPr>
        <w:spacing w:line="360" w:lineRule="auto"/>
        <w:ind w:left="567" w:hanging="567"/>
        <w:jc w:val="both"/>
        <w:rPr>
          <w:rFonts w:ascii="Calibri" w:hAnsi="Calibri"/>
          <w:noProof w:val="0"/>
          <w:sz w:val="28"/>
          <w:szCs w:val="28"/>
        </w:rPr>
      </w:pPr>
      <w:r>
        <w:rPr>
          <w:rFonts w:hint="cs" w:ascii="Calibri" w:hAnsi="Calibri"/>
          <w:noProof w:val="0"/>
          <w:sz w:val="28"/>
          <w:szCs w:val="28"/>
          <w:rtl/>
        </w:rPr>
        <w:t xml:space="preserve">סיכומו של דבר, על יסוד הראיות שנשמעו, נמוכים הסיכויים לקבלת טענות התובע, ביחס למרבית רכיבי התביעה. ככל שתדחה התביעה, כולה או מרביתה, יחויב התובע לשאת בהוצאות הנתבעות. התובע הוא עובד זר, אינו תושב או אזרח ישראל ואין למעשה חולק כי יקשה על הנתבעות לגבות ממנו תשלום הוצאות, ככל שיפסקו. </w:t>
      </w:r>
      <w:r w:rsidR="00103293">
        <w:rPr>
          <w:rFonts w:hint="cs" w:ascii="Calibri" w:hAnsi="Calibri"/>
          <w:noProof w:val="0"/>
          <w:sz w:val="28"/>
          <w:szCs w:val="28"/>
          <w:rtl/>
        </w:rPr>
        <w:t>לא ידוע דבר אודות מצבו הכלכלי של התובע היום, האם הוא עובד ומשתכר והיכן.</w:t>
      </w:r>
    </w:p>
    <w:p w:rsidR="00103293" w:rsidP="00103293" w:rsidRDefault="00103293">
      <w:pPr>
        <w:pStyle w:val="ad"/>
        <w:ind w:left="567"/>
        <w:jc w:val="both"/>
        <w:rPr>
          <w:rFonts w:ascii="Calibri" w:hAnsi="Calibri"/>
          <w:noProof w:val="0"/>
          <w:sz w:val="28"/>
          <w:szCs w:val="28"/>
        </w:rPr>
      </w:pPr>
    </w:p>
    <w:p w:rsidR="00473EDD" w:rsidP="00463DD2" w:rsidRDefault="00103293">
      <w:pPr>
        <w:pStyle w:val="ad"/>
        <w:numPr>
          <w:ilvl w:val="0"/>
          <w:numId w:val="1"/>
        </w:numPr>
        <w:spacing w:line="360" w:lineRule="auto"/>
        <w:ind w:left="567" w:hanging="567"/>
        <w:jc w:val="both"/>
        <w:rPr>
          <w:rFonts w:ascii="Calibri" w:hAnsi="Calibri"/>
          <w:noProof w:val="0"/>
          <w:sz w:val="28"/>
          <w:szCs w:val="28"/>
        </w:rPr>
      </w:pPr>
      <w:r>
        <w:rPr>
          <w:rFonts w:hint="cs" w:ascii="Calibri" w:hAnsi="Calibri"/>
          <w:noProof w:val="0"/>
          <w:sz w:val="28"/>
          <w:szCs w:val="28"/>
          <w:rtl/>
        </w:rPr>
        <w:t xml:space="preserve">אף לא נטען, ולא הוכח, כי מתקיימים נימוקים מיוחדים שלא לחייב את התובע בהפקדת ערובה. </w:t>
      </w:r>
    </w:p>
    <w:p w:rsidR="004B57CA" w:rsidP="004B57CA" w:rsidRDefault="004B57CA">
      <w:pPr>
        <w:pStyle w:val="ad"/>
        <w:ind w:left="567"/>
        <w:jc w:val="both"/>
        <w:rPr>
          <w:rFonts w:hint="cs" w:ascii="Calibri" w:hAnsi="Calibri"/>
          <w:noProof w:val="0"/>
          <w:sz w:val="28"/>
          <w:szCs w:val="28"/>
        </w:rPr>
      </w:pPr>
    </w:p>
    <w:p w:rsidR="00167F7D" w:rsidP="00414A89" w:rsidRDefault="008C54BD">
      <w:pPr>
        <w:pStyle w:val="ad"/>
        <w:numPr>
          <w:ilvl w:val="0"/>
          <w:numId w:val="1"/>
        </w:numPr>
        <w:spacing w:line="360" w:lineRule="auto"/>
        <w:ind w:left="567" w:hanging="567"/>
        <w:jc w:val="both"/>
        <w:rPr>
          <w:rFonts w:hint="cs" w:ascii="Calibri" w:hAnsi="Calibri"/>
          <w:noProof w:val="0"/>
          <w:sz w:val="28"/>
          <w:szCs w:val="28"/>
        </w:rPr>
      </w:pPr>
      <w:r>
        <w:rPr>
          <w:rFonts w:hint="cs" w:ascii="Calibri" w:hAnsi="Calibri"/>
          <w:noProof w:val="0"/>
          <w:sz w:val="28"/>
          <w:szCs w:val="28"/>
          <w:rtl/>
        </w:rPr>
        <w:t>לפיכך, בהתחשב בסכום התביעה - מחד - ובעלויות ניהול ההליך מצד הנתבעות</w:t>
      </w:r>
      <w:r w:rsidR="00414A89">
        <w:rPr>
          <w:rFonts w:hint="cs" w:ascii="Calibri" w:hAnsi="Calibri"/>
          <w:noProof w:val="0"/>
          <w:sz w:val="28"/>
          <w:szCs w:val="28"/>
          <w:rtl/>
        </w:rPr>
        <w:t xml:space="preserve"> </w:t>
      </w:r>
      <w:r>
        <w:rPr>
          <w:rFonts w:hint="cs" w:ascii="Calibri" w:hAnsi="Calibri"/>
          <w:noProof w:val="0"/>
          <w:sz w:val="28"/>
          <w:szCs w:val="28"/>
          <w:rtl/>
        </w:rPr>
        <w:t xml:space="preserve">-  </w:t>
      </w:r>
      <w:bookmarkStart w:name="_GoBack" w:id="1"/>
      <w:bookmarkEnd w:id="1"/>
      <w:r>
        <w:rPr>
          <w:rFonts w:hint="cs" w:ascii="Calibri" w:hAnsi="Calibri"/>
          <w:noProof w:val="0"/>
          <w:sz w:val="28"/>
          <w:szCs w:val="28"/>
          <w:rtl/>
        </w:rPr>
        <w:t>מאידך</w:t>
      </w:r>
      <w:r w:rsidR="00414A89">
        <w:rPr>
          <w:rFonts w:hint="cs" w:ascii="Calibri" w:hAnsi="Calibri"/>
          <w:noProof w:val="0"/>
          <w:sz w:val="28"/>
          <w:szCs w:val="28"/>
          <w:rtl/>
        </w:rPr>
        <w:t xml:space="preserve"> - </w:t>
      </w:r>
      <w:r w:rsidR="00167F7D">
        <w:rPr>
          <w:rFonts w:hint="cs" w:ascii="Calibri" w:hAnsi="Calibri"/>
          <w:noProof w:val="0"/>
          <w:sz w:val="28"/>
          <w:szCs w:val="28"/>
          <w:rtl/>
        </w:rPr>
        <w:t xml:space="preserve"> התובע יפקיד בקופת בית הדין תוך 21 יום ערובה בסך 2,500 </w:t>
      </w:r>
      <w:r w:rsidR="00167F7D">
        <w:rPr>
          <w:rFonts w:hint="eastAsia" w:ascii="Calibri" w:hAnsi="Calibri"/>
          <w:noProof w:val="0"/>
          <w:sz w:val="28"/>
          <w:szCs w:val="28"/>
          <w:rtl/>
        </w:rPr>
        <w:t>₪</w:t>
      </w:r>
      <w:r w:rsidR="00167F7D">
        <w:rPr>
          <w:rFonts w:hint="cs" w:ascii="Calibri" w:hAnsi="Calibri"/>
          <w:noProof w:val="0"/>
          <w:sz w:val="28"/>
          <w:szCs w:val="28"/>
          <w:rtl/>
        </w:rPr>
        <w:t xml:space="preserve"> להבטחת תשלום הוצאות הנתבעת 1, וכן ערובה בסך 2,500 </w:t>
      </w:r>
      <w:r w:rsidR="00167F7D">
        <w:rPr>
          <w:rFonts w:hint="eastAsia" w:ascii="Calibri" w:hAnsi="Calibri"/>
          <w:noProof w:val="0"/>
          <w:sz w:val="28"/>
          <w:szCs w:val="28"/>
          <w:rtl/>
        </w:rPr>
        <w:t>₪</w:t>
      </w:r>
      <w:r w:rsidR="00167F7D">
        <w:rPr>
          <w:rFonts w:hint="cs" w:ascii="Calibri" w:hAnsi="Calibri"/>
          <w:noProof w:val="0"/>
          <w:sz w:val="28"/>
          <w:szCs w:val="28"/>
          <w:rtl/>
        </w:rPr>
        <w:t xml:space="preserve"> להבטחת הוצאות הנתבעת 2. לא תופקד ערובה כאמור במועד, תמחק התביעה בהתאם להוראות התקנה</w:t>
      </w:r>
      <w:r w:rsidR="00414A89">
        <w:rPr>
          <w:rFonts w:hint="cs" w:ascii="Calibri" w:hAnsi="Calibri"/>
          <w:noProof w:val="0"/>
          <w:sz w:val="28"/>
          <w:szCs w:val="28"/>
          <w:rtl/>
        </w:rPr>
        <w:t>, ללא התראה נוספת</w:t>
      </w:r>
      <w:r w:rsidR="00167F7D">
        <w:rPr>
          <w:rFonts w:hint="cs" w:ascii="Calibri" w:hAnsi="Calibri"/>
          <w:noProof w:val="0"/>
          <w:sz w:val="28"/>
          <w:szCs w:val="28"/>
          <w:rtl/>
        </w:rPr>
        <w:t>.</w:t>
      </w:r>
    </w:p>
    <w:p w:rsidRPr="00414A89" w:rsidR="00167F7D" w:rsidP="00AB5A97" w:rsidRDefault="00167F7D">
      <w:pPr>
        <w:pStyle w:val="ad"/>
        <w:ind w:left="567"/>
        <w:jc w:val="both"/>
        <w:rPr>
          <w:rFonts w:ascii="Calibri" w:hAnsi="Calibri"/>
          <w:noProof w:val="0"/>
          <w:sz w:val="28"/>
          <w:szCs w:val="28"/>
        </w:rPr>
      </w:pPr>
    </w:p>
    <w:p w:rsidR="00167F7D" w:rsidP="00AB5A97" w:rsidRDefault="00167F7D">
      <w:pPr>
        <w:pStyle w:val="ad"/>
        <w:numPr>
          <w:ilvl w:val="0"/>
          <w:numId w:val="1"/>
        </w:numPr>
        <w:ind w:left="567" w:hanging="567"/>
        <w:jc w:val="both"/>
        <w:rPr>
          <w:rFonts w:hint="cs" w:ascii="Calibri" w:hAnsi="Calibri"/>
          <w:noProof w:val="0"/>
          <w:sz w:val="28"/>
          <w:szCs w:val="28"/>
        </w:rPr>
      </w:pPr>
      <w:r>
        <w:rPr>
          <w:rFonts w:hint="cs" w:ascii="Calibri" w:hAnsi="Calibri"/>
          <w:noProof w:val="0"/>
          <w:sz w:val="28"/>
          <w:szCs w:val="28"/>
          <w:rtl/>
        </w:rPr>
        <w:t>התיק יובא לעיוני ביום 10.5.18.</w:t>
      </w:r>
    </w:p>
    <w:p w:rsidRPr="007B3908" w:rsidR="002C1C43" w:rsidP="00167F7D" w:rsidRDefault="002C1C43">
      <w:pPr>
        <w:pStyle w:val="ad"/>
        <w:spacing w:line="360" w:lineRule="auto"/>
        <w:ind w:left="567"/>
        <w:jc w:val="both"/>
        <w:rPr>
          <w:rFonts w:ascii="Calibri" w:hAnsi="Calibri"/>
          <w:noProof w:val="0"/>
          <w:sz w:val="28"/>
          <w:szCs w:val="28"/>
          <w:rtl/>
        </w:rPr>
      </w:pPr>
    </w:p>
    <w:p w:rsidR="002C1C43" w:rsidP="00AB5A97" w:rsidRDefault="002C1C43">
      <w:pPr>
        <w:jc w:val="both"/>
        <w:rPr>
          <w:rFonts w:ascii="Arial" w:hAnsi="Arial"/>
          <w:b/>
          <w:bCs/>
          <w:noProof w:val="0"/>
          <w:sz w:val="28"/>
          <w:szCs w:val="28"/>
          <w:rtl/>
        </w:rPr>
      </w:pPr>
      <w:r w:rsidRPr="003C4168">
        <w:rPr>
          <w:rFonts w:hint="cs" w:ascii="Arial" w:hAnsi="Arial"/>
          <w:b/>
          <w:bCs/>
          <w:noProof w:val="0"/>
          <w:sz w:val="28"/>
          <w:szCs w:val="28"/>
          <w:rtl/>
        </w:rPr>
        <w:t>נית</w:t>
      </w:r>
      <w:r w:rsidRPr="003C4168" w:rsidR="00221FF9">
        <w:rPr>
          <w:rFonts w:hint="cs" w:ascii="Arial" w:hAnsi="Arial"/>
          <w:b/>
          <w:bCs/>
          <w:noProof w:val="0"/>
          <w:sz w:val="28"/>
          <w:szCs w:val="28"/>
          <w:rtl/>
        </w:rPr>
        <w:t>נה</w:t>
      </w:r>
      <w:r w:rsidRPr="003C4168">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כ"ו ניסן תשע"ח</w:t>
          </w:r>
        </w:sdtContent>
      </w:sdt>
      <w:r w:rsidRPr="003C4168">
        <w:rPr>
          <w:rFonts w:hint="cs" w:ascii="Arial" w:hAnsi="Arial"/>
          <w:b/>
          <w:bCs/>
          <w:noProof w:val="0"/>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11 אפריל 2018</w:t>
          </w:r>
        </w:sdtContent>
      </w:sdt>
      <w:r w:rsidRPr="003C4168" w:rsidR="008F32AB">
        <w:rPr>
          <w:rFonts w:hint="cs" w:ascii="Arial" w:hAnsi="Arial"/>
          <w:b/>
          <w:bCs/>
          <w:noProof w:val="0"/>
          <w:sz w:val="28"/>
          <w:szCs w:val="28"/>
          <w:rtl/>
        </w:rPr>
        <w:t>)</w:t>
      </w:r>
      <w:r w:rsidRPr="003C4168">
        <w:rPr>
          <w:rFonts w:hint="cs" w:ascii="Arial" w:hAnsi="Arial"/>
          <w:b/>
          <w:bCs/>
          <w:noProof w:val="0"/>
          <w:sz w:val="28"/>
          <w:szCs w:val="28"/>
          <w:rtl/>
        </w:rPr>
        <w:t>,</w:t>
      </w:r>
      <w:r w:rsidR="00D10FAD">
        <w:rPr>
          <w:rFonts w:hint="cs" w:ascii="Arial" w:hAnsi="Arial"/>
          <w:b/>
          <w:bCs/>
          <w:noProof w:val="0"/>
          <w:sz w:val="28"/>
          <w:szCs w:val="28"/>
          <w:rtl/>
        </w:rPr>
        <w:t xml:space="preserve"> </w:t>
      </w:r>
      <w:r w:rsidRPr="003C4168">
        <w:rPr>
          <w:rFonts w:hint="cs" w:ascii="Arial" w:hAnsi="Arial"/>
          <w:b/>
          <w:bCs/>
          <w:noProof w:val="0"/>
          <w:sz w:val="28"/>
          <w:szCs w:val="28"/>
          <w:rtl/>
        </w:rPr>
        <w:t>בהעדר הצדדים ותישלח אליהם.</w:t>
      </w:r>
    </w:p>
    <w:p w:rsidR="002C1C43" w:rsidP="000B2DA4" w:rsidRDefault="000B2DA4">
      <w:pPr>
        <w:spacing w:line="360" w:lineRule="auto"/>
        <w:jc w:val="both"/>
        <w:rPr>
          <w:rFonts w:ascii="Arial" w:hAnsi="Arial"/>
          <w:noProof w:val="0"/>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sdt>
        <w:sdtPr>
          <w:rPr>
            <w:rFonts w:hint="cs" w:ascii="Arial" w:hAnsi="Arial"/>
            <w:noProof w:val="0"/>
            <w:rtl/>
          </w:rPr>
          <w:alias w:val="2045"/>
          <w:tag w:val="2045"/>
          <w:id w:val="-1977827295"/>
          <w:showingPlcHdr/>
          <w:text w:multiLine="1"/>
        </w:sdtPr>
        <w:sdtEndPr/>
        <w:sdtContent>
          <w:r>
            <w:rPr>
              <w:rFonts w:hint="cs" w:ascii="Arial" w:hAnsi="Arial"/>
              <w:noProof w:val="0"/>
              <w:rtl/>
            </w:rPr>
            <w:t xml:space="preserve">      </w:t>
          </w:r>
        </w:sdtContent>
      </w:sdt>
      <w:r>
        <w:rPr>
          <w:rFonts w:ascii="Arial" w:hAnsi="Arial"/>
          <w:noProof w:val="0"/>
          <w:rtl/>
        </w:rPr>
        <w:t xml:space="preserve"> </w:t>
      </w:r>
    </w:p>
    <w:p w:rsidRPr="007748D4" w:rsidR="002605D5" w:rsidP="002605D5" w:rsidRDefault="00E81083">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724025"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1dbecfacaf945d2" cstate="print">
                            <a:extLst>
                              <a:ext uri="{28A0092B-C50C-407E-A947-70E740481C1C}"/>
                            </a:extLst>
                          </a:blip>
                          <a:stretch>
                            <a:fillRect/>
                          </a:stretch>
                        </pic:blipFill>
                        <pic:spPr>
                          <a:xfrm>
                            <a:off x="0" y="0"/>
                            <a:ext cx="1724025" cy="1085850"/>
                          </a:xfrm>
                          <a:prstGeom prst="rect">
                            <a:avLst/>
                          </a:prstGeom>
                        </pic:spPr>
                      </pic:pic>
                    </a:graphicData>
                  </a:graphic>
                </wp:inline>
              </w:drawing>
            </w:r>
          </w:p>
        </w:sdtContent>
      </w:sdt>
    </w:p>
    <w:sectPr w:rsidRPr="007748D4" w:rsidR="002605D5"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81083">
      <w:rPr>
        <w:rStyle w:val="ab"/>
        <w:rFonts w:cs="Times New Roman"/>
        <w:rtl/>
      </w:rPr>
      <w:t>4</w:t>
    </w:r>
    <w:r w:rsidRPr="004E6E3C">
      <w:rPr>
        <w:rStyle w:val="ab"/>
        <w:rFonts w:cs="Times New Roman"/>
      </w:rPr>
      <w:fldChar w:fldCharType="end"/>
    </w:r>
    <w:r w:rsidRPr="004E6E3C" w:rsidR="00005C8B">
      <w:rPr>
        <w:rStyle w:val="ab"/>
        <w:rFonts w:hint="cs"/>
        <w:rtl/>
      </w:rPr>
      <w:t xml:space="preserve"> </w:t>
    </w:r>
    <w:r w:rsidRPr="00913F69" w:rsidR="00005C8B">
      <w:rPr>
        <w:rStyle w:val="ab"/>
        <w:rFonts w:hint="cs"/>
        <w:sz w:val="28"/>
        <w:szCs w:val="28"/>
        <w:rtl/>
      </w:rPr>
      <w:t>מתוך</w:t>
    </w:r>
    <w:r w:rsidRPr="004E6E3C" w:rsidR="00005C8B">
      <w:rPr>
        <w:rStyle w:val="ab"/>
        <w:rFonts w:hint="cs"/>
        <w:rtl/>
      </w:rPr>
      <w:t xml:space="preserve">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81083">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81083">
    <w:pPr>
      <w:pStyle w:val="a3"/>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C26D4E" w:rsidR="008F32AB" w:rsidP="00C26D4E" w:rsidRDefault="00E81083">
          <w:pPr>
            <w:jc w:val="right"/>
            <w:rPr>
              <w:rtl/>
            </w:rPr>
          </w:pPr>
          <w:sdt>
            <w:sdtPr>
              <w:rPr>
                <w:sz w:val="28"/>
                <w:szCs w:val="28"/>
                <w:rtl/>
              </w:rPr>
              <w:alias w:val="1170"/>
              <w:tag w:val="1170"/>
              <w:id w:val="270825555"/>
              <w:text w:multiLine="1"/>
            </w:sdtPr>
            <w:sdtEndPr/>
            <w:sdtContent>
              <w:r w:rsidR="000E13CD">
                <w:rPr>
                  <w:b/>
                  <w:bCs/>
                  <w:noProof w:val="0"/>
                  <w:sz w:val="28"/>
                  <w:szCs w:val="28"/>
                  <w:rtl/>
                </w:rPr>
                <w:t>ד"מ</w:t>
              </w:r>
            </w:sdtContent>
          </w:sdt>
          <w:r w:rsidRPr="00060915" w:rsidR="00913E52">
            <w:rPr>
              <w:b/>
              <w:bCs/>
              <w:noProof w:val="0"/>
              <w:rtl/>
            </w:rPr>
            <w:t xml:space="preserve"> </w:t>
          </w:r>
          <w:sdt>
            <w:sdtPr>
              <w:rPr>
                <w:sz w:val="28"/>
                <w:szCs w:val="28"/>
                <w:rtl/>
              </w:rPr>
              <w:alias w:val="1171"/>
              <w:tag w:val="1171"/>
              <w:id w:val="1611697751"/>
              <w:text w:multiLine="1"/>
            </w:sdtPr>
            <w:sdtEndPr/>
            <w:sdtContent>
              <w:r w:rsidR="000E13CD">
                <w:rPr>
                  <w:b/>
                  <w:bCs/>
                  <w:noProof w:val="0"/>
                  <w:sz w:val="28"/>
                  <w:szCs w:val="28"/>
                  <w:rtl/>
                </w:rPr>
                <w:t>10607-04-17</w:t>
              </w:r>
            </w:sdtContent>
          </w:sdt>
          <w:r w:rsidRPr="00060915" w:rsidR="00913E52">
            <w:rPr>
              <w:b/>
              <w:bCs/>
              <w:noProof w:val="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E2A92"/>
    <w:multiLevelType w:val="hybridMultilevel"/>
    <w:tmpl w:val="4D3688CE"/>
    <w:lvl w:ilvl="0" w:tplc="C5F25024">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3B5B"/>
    <w:rsid w:val="00016C35"/>
    <w:rsid w:val="000564AB"/>
    <w:rsid w:val="00060915"/>
    <w:rsid w:val="00091EF0"/>
    <w:rsid w:val="000A574D"/>
    <w:rsid w:val="000A7553"/>
    <w:rsid w:val="000B2DA4"/>
    <w:rsid w:val="000E13CD"/>
    <w:rsid w:val="00103293"/>
    <w:rsid w:val="0014234E"/>
    <w:rsid w:val="00167F7D"/>
    <w:rsid w:val="00191B85"/>
    <w:rsid w:val="001C4003"/>
    <w:rsid w:val="00221FF9"/>
    <w:rsid w:val="002605D5"/>
    <w:rsid w:val="002B0B35"/>
    <w:rsid w:val="002B1499"/>
    <w:rsid w:val="002B6C85"/>
    <w:rsid w:val="002C1C43"/>
    <w:rsid w:val="002D0DA3"/>
    <w:rsid w:val="00350CAC"/>
    <w:rsid w:val="00352325"/>
    <w:rsid w:val="003C4168"/>
    <w:rsid w:val="003E742D"/>
    <w:rsid w:val="00414A89"/>
    <w:rsid w:val="00416D2C"/>
    <w:rsid w:val="00463DD2"/>
    <w:rsid w:val="004642C0"/>
    <w:rsid w:val="00473EDD"/>
    <w:rsid w:val="004B57CA"/>
    <w:rsid w:val="004B6079"/>
    <w:rsid w:val="004E6E3C"/>
    <w:rsid w:val="00511543"/>
    <w:rsid w:val="00515C3A"/>
    <w:rsid w:val="00547DB7"/>
    <w:rsid w:val="00563391"/>
    <w:rsid w:val="00592DD1"/>
    <w:rsid w:val="005C0FDD"/>
    <w:rsid w:val="005E0B17"/>
    <w:rsid w:val="005E423B"/>
    <w:rsid w:val="00604392"/>
    <w:rsid w:val="00607F57"/>
    <w:rsid w:val="00622BAA"/>
    <w:rsid w:val="00625C89"/>
    <w:rsid w:val="00671BD5"/>
    <w:rsid w:val="006805C1"/>
    <w:rsid w:val="00694556"/>
    <w:rsid w:val="006E1A53"/>
    <w:rsid w:val="007054D3"/>
    <w:rsid w:val="007056AA"/>
    <w:rsid w:val="00715102"/>
    <w:rsid w:val="00774526"/>
    <w:rsid w:val="007748D4"/>
    <w:rsid w:val="007A24FE"/>
    <w:rsid w:val="007B1CDB"/>
    <w:rsid w:val="007B3908"/>
    <w:rsid w:val="00820005"/>
    <w:rsid w:val="00826670"/>
    <w:rsid w:val="00846D27"/>
    <w:rsid w:val="008541AE"/>
    <w:rsid w:val="0086738C"/>
    <w:rsid w:val="008A7F5D"/>
    <w:rsid w:val="008B21BD"/>
    <w:rsid w:val="008C0B96"/>
    <w:rsid w:val="008C54BD"/>
    <w:rsid w:val="008F2B32"/>
    <w:rsid w:val="008F32AB"/>
    <w:rsid w:val="00903896"/>
    <w:rsid w:val="00913E52"/>
    <w:rsid w:val="00913F69"/>
    <w:rsid w:val="00957258"/>
    <w:rsid w:val="00962398"/>
    <w:rsid w:val="009A7666"/>
    <w:rsid w:val="009D357D"/>
    <w:rsid w:val="009E0263"/>
    <w:rsid w:val="00A11C09"/>
    <w:rsid w:val="00A4277D"/>
    <w:rsid w:val="00A61A78"/>
    <w:rsid w:val="00A91413"/>
    <w:rsid w:val="00AB5A97"/>
    <w:rsid w:val="00AE598D"/>
    <w:rsid w:val="00AF1ED6"/>
    <w:rsid w:val="00B80CBD"/>
    <w:rsid w:val="00BC3369"/>
    <w:rsid w:val="00BC7C5B"/>
    <w:rsid w:val="00BD06DF"/>
    <w:rsid w:val="00BE5A52"/>
    <w:rsid w:val="00BE6116"/>
    <w:rsid w:val="00BF1631"/>
    <w:rsid w:val="00BF4AC8"/>
    <w:rsid w:val="00BF7C4C"/>
    <w:rsid w:val="00C26D4E"/>
    <w:rsid w:val="00C43F49"/>
    <w:rsid w:val="00C51656"/>
    <w:rsid w:val="00C71F5D"/>
    <w:rsid w:val="00C91CBA"/>
    <w:rsid w:val="00D10FAD"/>
    <w:rsid w:val="00D53924"/>
    <w:rsid w:val="00D901AC"/>
    <w:rsid w:val="00D96D8C"/>
    <w:rsid w:val="00DA783C"/>
    <w:rsid w:val="00DB68AC"/>
    <w:rsid w:val="00DE3B9C"/>
    <w:rsid w:val="00E54642"/>
    <w:rsid w:val="00E81083"/>
    <w:rsid w:val="00E8170A"/>
    <w:rsid w:val="00E97908"/>
    <w:rsid w:val="00EB0F63"/>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217A240C"/>
  <w15:docId w15:val="{0FC3DD15-8B93-4FD9-81E7-2E0B9F1F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 w:type="character" w:styleId="Hyperlink">
    <w:name w:val="Hyperlink"/>
    <w:basedOn w:val="a0"/>
    <w:uiPriority w:val="99"/>
    <w:semiHidden/>
    <w:unhideWhenUsed/>
    <w:rsid w:val="00EB0F63"/>
    <w:rPr>
      <w:color w:val="0000FF"/>
      <w:u w:val="single"/>
    </w:rPr>
  </w:style>
  <w:style w:type="paragraph" w:styleId="ad">
    <w:name w:val="List Paragraph"/>
    <w:basedOn w:val="a"/>
    <w:uiPriority w:val="34"/>
    <w:qFormat/>
    <w:rsid w:val="00EB0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969938">
      <w:bodyDiv w:val="1"/>
      <w:marLeft w:val="0"/>
      <w:marRight w:val="0"/>
      <w:marTop w:val="0"/>
      <w:marBottom w:val="0"/>
      <w:divBdr>
        <w:top w:val="none" w:sz="0" w:space="0" w:color="auto"/>
        <w:left w:val="none" w:sz="0" w:space="0" w:color="auto"/>
        <w:bottom w:val="none" w:sz="0" w:space="0" w:color="auto"/>
        <w:right w:val="none" w:sz="0" w:space="0" w:color="auto"/>
      </w:divBdr>
    </w:div>
    <w:div w:id="714045078">
      <w:bodyDiv w:val="1"/>
      <w:marLeft w:val="0"/>
      <w:marRight w:val="0"/>
      <w:marTop w:val="0"/>
      <w:marBottom w:val="0"/>
      <w:divBdr>
        <w:top w:val="none" w:sz="0" w:space="0" w:color="auto"/>
        <w:left w:val="none" w:sz="0" w:space="0" w:color="auto"/>
        <w:bottom w:val="none" w:sz="0" w:space="0" w:color="auto"/>
        <w:right w:val="none" w:sz="0" w:space="0" w:color="auto"/>
      </w:divBdr>
    </w:div>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41dbecfacaf945d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966</Words>
  <Characters>4835</Characters>
  <Application>Microsoft Office Word</Application>
  <DocSecurity>0</DocSecurity>
  <Lines>40</Lines>
  <Paragraphs>11</Paragraphs>
  <ScaleCrop>false</ScaleCrop>
  <Company>Microsoft Corporation</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חופית גרשון-יזרעאלי</cp:lastModifiedBy>
  <cp:revision>67</cp:revision>
  <dcterms:created xsi:type="dcterms:W3CDTF">2012-08-05T16:56:00Z</dcterms:created>
  <dcterms:modified xsi:type="dcterms:W3CDTF">2018-04-11T12:36:00Z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