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94" w:rsidRDefault="00507694">
      <w:pPr>
        <w:rPr>
          <w:rtl/>
        </w:rPr>
      </w:pPr>
    </w:p>
    <w:tbl>
      <w:tblPr>
        <w:tblStyle w:val="a8"/>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745"/>
        <w:gridCol w:w="3389"/>
        <w:gridCol w:w="3686"/>
      </w:tblGrid>
      <w:tr w:rsidRPr="008F0AAD" w:rsidR="0044611C" w:rsidTr="00754D51">
        <w:trPr>
          <w:jc w:val="center"/>
        </w:trPr>
        <w:tc>
          <w:tcPr>
            <w:tcW w:w="5134" w:type="dxa"/>
            <w:gridSpan w:val="2"/>
          </w:tcPr>
          <w:p w:rsidRPr="008F0AAD" w:rsidR="00754D51" w:rsidP="00754D51" w:rsidRDefault="00754D51">
            <w:pPr>
              <w:rPr>
                <w:rFonts w:ascii="Arial" w:hAnsi="Arial" w:cs="FrankRuehl"/>
                <w:b/>
                <w:bCs/>
                <w:noProof/>
                <w:sz w:val="26"/>
                <w:szCs w:val="26"/>
                <w:highlight w:val="yellow"/>
              </w:rPr>
            </w:pPr>
            <w:r w:rsidRPr="008F0AAD">
              <w:rPr>
                <w:rFonts w:hint="cs" w:ascii="Arial" w:hAnsi="Arial"/>
                <w:b/>
                <w:bCs/>
                <w:sz w:val="26"/>
                <w:szCs w:val="26"/>
                <w:rtl/>
              </w:rPr>
              <w:t>בפני: כבוד השופט אור אדם, סגן הנשיאה</w:t>
            </w:r>
          </w:p>
          <w:p w:rsidRPr="008F0AAD" w:rsidR="0044611C" w:rsidRDefault="0044611C">
            <w:pPr>
              <w:jc w:val="both"/>
              <w:rPr>
                <w:rFonts w:ascii="Arial" w:hAnsi="Arial"/>
                <w:b/>
                <w:bCs/>
                <w:noProof/>
                <w:sz w:val="26"/>
                <w:szCs w:val="26"/>
              </w:rPr>
            </w:pPr>
          </w:p>
        </w:tc>
        <w:tc>
          <w:tcPr>
            <w:tcW w:w="3686" w:type="dxa"/>
          </w:tcPr>
          <w:p w:rsidRPr="008F0AAD" w:rsidR="00E340A9" w:rsidP="00754D51" w:rsidRDefault="00E340A9">
            <w:pPr>
              <w:rPr>
                <w:rFonts w:ascii="Arial" w:hAnsi="Arial" w:cs="FrankRuehl"/>
                <w:b/>
                <w:bCs/>
                <w:noProof/>
                <w:sz w:val="26"/>
                <w:szCs w:val="26"/>
                <w:highlight w:val="yellow"/>
              </w:rPr>
            </w:pPr>
          </w:p>
        </w:tc>
      </w:tr>
      <w:tr w:rsidRPr="008F0AAD" w:rsidR="0044611C" w:rsidTr="00754D51">
        <w:trPr>
          <w:jc w:val="center"/>
        </w:trPr>
        <w:tc>
          <w:tcPr>
            <w:tcW w:w="1745" w:type="dxa"/>
          </w:tcPr>
          <w:p w:rsidRPr="008F0AAD" w:rsidR="0044611C" w:rsidP="00EF365B" w:rsidRDefault="0044611C">
            <w:pPr>
              <w:rPr>
                <w:rFonts w:ascii="Arial" w:hAnsi="Arial"/>
                <w:b/>
                <w:bCs/>
                <w:sz w:val="26"/>
                <w:szCs w:val="26"/>
                <w:rtl/>
              </w:rPr>
            </w:pPr>
            <w:r w:rsidRPr="008F0AAD">
              <w:rPr>
                <w:rFonts w:hint="cs" w:ascii="Arial" w:hAnsi="Arial"/>
                <w:b/>
                <w:bCs/>
                <w:sz w:val="26"/>
                <w:szCs w:val="26"/>
                <w:rtl/>
              </w:rPr>
              <w:t>המאשימה</w:t>
            </w:r>
          </w:p>
        </w:tc>
        <w:tc>
          <w:tcPr>
            <w:tcW w:w="7075" w:type="dxa"/>
            <w:gridSpan w:val="2"/>
          </w:tcPr>
          <w:p w:rsidRPr="008F0AAD" w:rsidR="0044611C" w:rsidRDefault="00094B73">
            <w:pPr>
              <w:rPr>
                <w:b/>
                <w:bCs/>
                <w:sz w:val="26"/>
                <w:szCs w:val="26"/>
              </w:rPr>
            </w:pPr>
            <w:sdt>
              <w:sdtPr>
                <w:rPr>
                  <w:sz w:val="26"/>
                  <w:szCs w:val="26"/>
                  <w:rtl/>
                </w:rPr>
                <w:alias w:val="1478"/>
                <w:tag w:val="1478"/>
                <w:id w:val="1816072015"/>
                <w:text w:multiLine="1"/>
              </w:sdtPr>
              <w:sdtEndPr/>
              <w:sdtContent>
                <w:r w:rsidR="008F0AAD">
                  <w:rPr>
                    <w:rFonts w:hint="cs" w:ascii="Arial" w:hAnsi="Arial"/>
                    <w:b/>
                    <w:bCs/>
                    <w:sz w:val="26"/>
                    <w:szCs w:val="26"/>
                    <w:rtl/>
                  </w:rPr>
                  <w:t>מדינת ישראל</w:t>
                </w:r>
              </w:sdtContent>
            </w:sdt>
          </w:p>
        </w:tc>
      </w:tr>
      <w:tr w:rsidRPr="008F0AAD" w:rsidR="0044611C" w:rsidTr="0044611C">
        <w:trPr>
          <w:jc w:val="center"/>
        </w:trPr>
        <w:tc>
          <w:tcPr>
            <w:tcW w:w="8820" w:type="dxa"/>
            <w:gridSpan w:val="3"/>
          </w:tcPr>
          <w:p w:rsidRPr="008F0AAD" w:rsidR="0044611C" w:rsidRDefault="0044611C">
            <w:pPr>
              <w:rPr>
                <w:rFonts w:ascii="Arial" w:hAnsi="Arial"/>
                <w:b/>
                <w:bCs/>
                <w:sz w:val="26"/>
                <w:szCs w:val="26"/>
                <w:rtl/>
              </w:rPr>
            </w:pPr>
          </w:p>
          <w:p w:rsidRPr="008F0AAD" w:rsidR="0044611C" w:rsidRDefault="0044611C">
            <w:pPr>
              <w:jc w:val="center"/>
              <w:rPr>
                <w:rFonts w:ascii="Arial" w:hAnsi="Arial"/>
                <w:b/>
                <w:bCs/>
                <w:sz w:val="26"/>
                <w:szCs w:val="26"/>
                <w:rtl/>
              </w:rPr>
            </w:pPr>
            <w:r w:rsidRPr="008F0AAD">
              <w:rPr>
                <w:rFonts w:hint="cs" w:ascii="Arial" w:hAnsi="Arial"/>
                <w:b/>
                <w:bCs/>
                <w:sz w:val="26"/>
                <w:szCs w:val="26"/>
                <w:rtl/>
              </w:rPr>
              <w:t>נגד</w:t>
            </w:r>
          </w:p>
          <w:p w:rsidRPr="008F0AAD" w:rsidR="0044611C" w:rsidRDefault="0044611C">
            <w:pPr>
              <w:rPr>
                <w:rFonts w:ascii="Arial" w:hAnsi="Arial"/>
                <w:b/>
                <w:bCs/>
                <w:sz w:val="26"/>
                <w:szCs w:val="26"/>
              </w:rPr>
            </w:pPr>
          </w:p>
        </w:tc>
      </w:tr>
      <w:tr w:rsidRPr="008F0AAD" w:rsidR="0044611C" w:rsidTr="00754D51">
        <w:trPr>
          <w:jc w:val="center"/>
        </w:trPr>
        <w:tc>
          <w:tcPr>
            <w:tcW w:w="1745" w:type="dxa"/>
          </w:tcPr>
          <w:p w:rsidRPr="008F0AAD" w:rsidR="0044611C" w:rsidRDefault="0044611C">
            <w:pPr>
              <w:rPr>
                <w:rFonts w:ascii="Arial" w:hAnsi="Arial"/>
                <w:b/>
                <w:bCs/>
                <w:sz w:val="26"/>
                <w:szCs w:val="26"/>
              </w:rPr>
            </w:pPr>
            <w:r w:rsidRPr="008F0AAD">
              <w:rPr>
                <w:rFonts w:hint="cs" w:ascii="Arial" w:hAnsi="Arial"/>
                <w:b/>
                <w:bCs/>
                <w:sz w:val="26"/>
                <w:szCs w:val="26"/>
                <w:rtl/>
              </w:rPr>
              <w:t>הנאשם</w:t>
            </w:r>
          </w:p>
        </w:tc>
        <w:tc>
          <w:tcPr>
            <w:tcW w:w="7075" w:type="dxa"/>
            <w:gridSpan w:val="2"/>
          </w:tcPr>
          <w:p w:rsidRPr="008F0AAD" w:rsidR="0044611C" w:rsidRDefault="00094B73">
            <w:pPr>
              <w:rPr>
                <w:b/>
                <w:bCs/>
                <w:sz w:val="26"/>
                <w:szCs w:val="26"/>
              </w:rPr>
            </w:pPr>
            <w:sdt>
              <w:sdtPr>
                <w:rPr>
                  <w:b/>
                  <w:bCs/>
                  <w:sz w:val="26"/>
                  <w:szCs w:val="26"/>
                  <w:rtl/>
                </w:rPr>
                <w:alias w:val="1486"/>
                <w:tag w:val="1486"/>
                <w:id w:val="1200588670"/>
                <w:text w:multiLine="1"/>
              </w:sdtPr>
              <w:sdtEndPr/>
              <w:sdtContent>
                <w:r w:rsidRPr="00AA6666" w:rsidR="008F0AAD">
                  <w:rPr>
                    <w:rFonts w:hint="cs" w:ascii="Arial" w:hAnsi="Arial"/>
                    <w:b/>
                    <w:bCs/>
                    <w:sz w:val="26"/>
                    <w:szCs w:val="26"/>
                    <w:rtl/>
                  </w:rPr>
                  <w:t>אריה איתן שניידרמן שאק</w:t>
                </w:r>
                <w:r w:rsidRPr="00AA6666" w:rsidR="00AA6666">
                  <w:rPr>
                    <w:rFonts w:ascii="Arial" w:hAnsi="Arial"/>
                    <w:b/>
                    <w:bCs/>
                    <w:sz w:val="26"/>
                    <w:szCs w:val="26"/>
                    <w:rtl/>
                  </w:rPr>
                  <w:br/>
                </w:r>
                <w:r w:rsidRPr="00AA6666" w:rsidR="00AA6666">
                  <w:rPr>
                    <w:rFonts w:hint="cs"/>
                    <w:b/>
                    <w:bCs/>
                    <w:sz w:val="26"/>
                    <w:szCs w:val="26"/>
                    <w:rtl/>
                  </w:rPr>
                  <w:t>ע"י עו"ד יפעת זינר</w:t>
                </w:r>
              </w:sdtContent>
            </w:sdt>
          </w:p>
        </w:tc>
      </w:tr>
    </w:tbl>
    <w:p w:rsidR="00507694" w:rsidRDefault="00507694"/>
    <w:p w:rsidR="00507694" w:rsidRDefault="00507694"/>
    <w:tbl>
      <w:tblPr>
        <w:tblStyle w:val="a8"/>
        <w:bidiVisual/>
        <w:tblW w:w="8820" w:type="dxa"/>
        <w:jc w:val="center"/>
        <w:tblLook w:val="01E0" w:firstRow="1" w:lastRow="1" w:firstColumn="1" w:lastColumn="1" w:noHBand="0" w:noVBand="0"/>
      </w:tblPr>
      <w:tblGrid>
        <w:gridCol w:w="8820"/>
      </w:tblGrid>
      <w:tr w:rsidR="00507694">
        <w:trPr>
          <w:trHeight w:val="355"/>
          <w:jc w:val="center"/>
        </w:trPr>
        <w:tc>
          <w:tcPr>
            <w:tcW w:w="8820" w:type="dxa"/>
            <w:tcBorders>
              <w:top w:val="nil"/>
              <w:left w:val="nil"/>
              <w:bottom w:val="nil"/>
              <w:right w:val="nil"/>
            </w:tcBorders>
          </w:tcPr>
          <w:p w:rsidRPr="00C52BD2" w:rsidR="00507694" w:rsidRDefault="00C25C1C">
            <w:pPr>
              <w:jc w:val="center"/>
              <w:rPr>
                <w:rFonts w:ascii="Arial" w:hAnsi="Arial"/>
                <w:sz w:val="32"/>
                <w:szCs w:val="32"/>
                <w:u w:val="single"/>
                <w:rtl/>
              </w:rPr>
            </w:pPr>
            <w:r>
              <w:rPr>
                <w:rFonts w:hint="cs" w:ascii="Arial" w:hAnsi="Arial"/>
                <w:b/>
                <w:bCs/>
                <w:sz w:val="32"/>
                <w:szCs w:val="32"/>
                <w:u w:val="single"/>
                <w:rtl/>
              </w:rPr>
              <w:t>החלטה</w:t>
            </w:r>
          </w:p>
        </w:tc>
      </w:tr>
    </w:tbl>
    <w:p w:rsidR="00507694" w:rsidRDefault="00507694">
      <w:pPr>
        <w:rPr>
          <w:rFonts w:ascii="Arial" w:hAnsi="Arial" w:cs="FrankRuehl"/>
          <w:sz w:val="28"/>
          <w:szCs w:val="28"/>
          <w:rtl/>
        </w:rPr>
      </w:pPr>
    </w:p>
    <w:p w:rsidR="00A126F2" w:rsidP="00214FB9" w:rsidRDefault="00A126F2">
      <w:pPr>
        <w:pStyle w:val="aa"/>
        <w:numPr>
          <w:ilvl w:val="0"/>
          <w:numId w:val="3"/>
        </w:numPr>
        <w:spacing w:before="120" w:line="400" w:lineRule="atLeast"/>
        <w:contextualSpacing w:val="0"/>
        <w:jc w:val="both"/>
        <w:rPr>
          <w:rFonts w:ascii="Arial" w:hAnsi="Arial"/>
        </w:rPr>
      </w:pPr>
      <w:r>
        <w:rPr>
          <w:rFonts w:hint="cs" w:ascii="Arial" w:hAnsi="Arial"/>
          <w:rtl/>
        </w:rPr>
        <w:t>בפניי בקשה לאפשר לנאשם לחזור בו מהודייתו.</w:t>
      </w:r>
    </w:p>
    <w:p w:rsidRPr="00E96725" w:rsidR="00E96725" w:rsidP="00E96725" w:rsidRDefault="00A126F2">
      <w:pPr>
        <w:pStyle w:val="aa"/>
        <w:numPr>
          <w:ilvl w:val="0"/>
          <w:numId w:val="3"/>
        </w:numPr>
        <w:spacing w:before="120" w:line="400" w:lineRule="atLeast"/>
        <w:contextualSpacing w:val="0"/>
        <w:jc w:val="both"/>
        <w:rPr>
          <w:rFonts w:ascii="Arial" w:hAnsi="Arial"/>
        </w:rPr>
      </w:pPr>
      <w:r w:rsidRPr="00E96725">
        <w:rPr>
          <w:rFonts w:hint="cs" w:ascii="Arial" w:hAnsi="Arial"/>
          <w:b/>
          <w:bCs/>
          <w:rtl/>
        </w:rPr>
        <w:t>השתלשלות האירועים</w:t>
      </w:r>
      <w:bookmarkStart w:name="_GoBack" w:id="0"/>
      <w:bookmarkEnd w:id="0"/>
    </w:p>
    <w:p w:rsidR="00507694" w:rsidP="00E96725" w:rsidRDefault="00AA6666">
      <w:pPr>
        <w:pStyle w:val="aa"/>
        <w:numPr>
          <w:ilvl w:val="1"/>
          <w:numId w:val="3"/>
        </w:numPr>
        <w:spacing w:before="120" w:line="400" w:lineRule="atLeast"/>
        <w:contextualSpacing w:val="0"/>
        <w:jc w:val="both"/>
        <w:rPr>
          <w:rFonts w:ascii="Arial" w:hAnsi="Arial"/>
        </w:rPr>
      </w:pPr>
      <w:r w:rsidRPr="00E96725">
        <w:rPr>
          <w:rFonts w:hint="cs" w:ascii="Arial" w:hAnsi="Arial"/>
          <w:rtl/>
        </w:rPr>
        <w:t>ביום 4.1.15 הוגש נגד הנאשם כתב אישום בעבירת אל</w:t>
      </w:r>
      <w:r w:rsidRPr="00E96725" w:rsidR="00C25E90">
        <w:rPr>
          <w:rFonts w:hint="cs" w:ascii="Arial" w:hAnsi="Arial"/>
          <w:rtl/>
        </w:rPr>
        <w:t>ימות במשפחה.</w:t>
      </w:r>
    </w:p>
    <w:p w:rsidR="00C25E90" w:rsidP="00E96725" w:rsidRDefault="00C25E90">
      <w:pPr>
        <w:pStyle w:val="aa"/>
        <w:numPr>
          <w:ilvl w:val="1"/>
          <w:numId w:val="3"/>
        </w:numPr>
        <w:spacing w:before="120" w:line="400" w:lineRule="atLeast"/>
        <w:contextualSpacing w:val="0"/>
        <w:jc w:val="both"/>
        <w:rPr>
          <w:rFonts w:ascii="Arial" w:hAnsi="Arial"/>
        </w:rPr>
      </w:pPr>
      <w:r w:rsidRPr="00E96725">
        <w:rPr>
          <w:rFonts w:hint="cs" w:ascii="Arial" w:hAnsi="Arial"/>
          <w:rtl/>
        </w:rPr>
        <w:t>ביום 19.1.17 כפר הנאשם במיוחס לו בכתב האישום ונקבע מועד לשמיעת ראיו</w:t>
      </w:r>
      <w:r w:rsidRPr="00E96725" w:rsidR="001F2461">
        <w:rPr>
          <w:rFonts w:hint="cs" w:ascii="Arial" w:hAnsi="Arial"/>
          <w:rtl/>
        </w:rPr>
        <w:t>ת.</w:t>
      </w:r>
    </w:p>
    <w:p w:rsidR="00E96725" w:rsidP="00E96725" w:rsidRDefault="001F2461">
      <w:pPr>
        <w:pStyle w:val="aa"/>
        <w:numPr>
          <w:ilvl w:val="1"/>
          <w:numId w:val="3"/>
        </w:numPr>
        <w:spacing w:before="120" w:line="400" w:lineRule="atLeast"/>
        <w:contextualSpacing w:val="0"/>
        <w:jc w:val="both"/>
        <w:rPr>
          <w:rFonts w:ascii="Arial" w:hAnsi="Arial"/>
        </w:rPr>
      </w:pPr>
      <w:r w:rsidRPr="00E96725">
        <w:rPr>
          <w:rFonts w:hint="cs" w:ascii="Arial" w:hAnsi="Arial"/>
          <w:rtl/>
        </w:rPr>
        <w:t>ביום 9.5.17 החלה שמיעת הראיות</w:t>
      </w:r>
      <w:r w:rsidRPr="00E96725" w:rsidR="00A126F2">
        <w:rPr>
          <w:rFonts w:hint="cs" w:ascii="Arial" w:hAnsi="Arial"/>
          <w:rtl/>
        </w:rPr>
        <w:t xml:space="preserve">. </w:t>
      </w:r>
      <w:r w:rsidRPr="00E96725">
        <w:rPr>
          <w:rFonts w:hint="cs" w:ascii="Arial" w:hAnsi="Arial"/>
          <w:rtl/>
        </w:rPr>
        <w:t>בתום פרשת התביעה</w:t>
      </w:r>
      <w:r w:rsidRPr="00E96725" w:rsidR="00A126F2">
        <w:rPr>
          <w:rFonts w:hint="cs" w:ascii="Arial" w:hAnsi="Arial"/>
          <w:rtl/>
        </w:rPr>
        <w:t>, יצאו הצדדים לשוחח</w:t>
      </w:r>
      <w:r w:rsidR="00E96725">
        <w:rPr>
          <w:rFonts w:hint="cs" w:ascii="Arial" w:hAnsi="Arial"/>
          <w:rtl/>
        </w:rPr>
        <w:t xml:space="preserve"> בנסיון להגיע להסכמות, לפני שמיעת פרשת ההגנה.</w:t>
      </w:r>
    </w:p>
    <w:p w:rsidR="0099763C" w:rsidP="00E96725" w:rsidRDefault="00A126F2">
      <w:pPr>
        <w:pStyle w:val="aa"/>
        <w:numPr>
          <w:ilvl w:val="1"/>
          <w:numId w:val="3"/>
        </w:numPr>
        <w:spacing w:before="120" w:line="400" w:lineRule="atLeast"/>
        <w:contextualSpacing w:val="0"/>
        <w:jc w:val="both"/>
        <w:rPr>
          <w:rFonts w:ascii="Arial" w:hAnsi="Arial"/>
        </w:rPr>
      </w:pPr>
      <w:r w:rsidRPr="00E96725">
        <w:rPr>
          <w:rFonts w:hint="cs" w:ascii="Arial" w:hAnsi="Arial"/>
          <w:rtl/>
        </w:rPr>
        <w:t>בסיום הפסקה זו</w:t>
      </w:r>
      <w:r w:rsidR="00E96725">
        <w:rPr>
          <w:rFonts w:hint="cs" w:ascii="Arial" w:hAnsi="Arial"/>
          <w:rtl/>
        </w:rPr>
        <w:t>,</w:t>
      </w:r>
      <w:r w:rsidRPr="00E96725">
        <w:rPr>
          <w:rFonts w:hint="cs" w:ascii="Arial" w:hAnsi="Arial"/>
          <w:rtl/>
        </w:rPr>
        <w:t xml:space="preserve"> הודיע</w:t>
      </w:r>
      <w:r w:rsidR="00E96725">
        <w:rPr>
          <w:rFonts w:hint="cs" w:ascii="Arial" w:hAnsi="Arial"/>
          <w:rtl/>
        </w:rPr>
        <w:t>ו</w:t>
      </w:r>
      <w:r w:rsidRPr="00E96725">
        <w:rPr>
          <w:rFonts w:hint="cs" w:ascii="Arial" w:hAnsi="Arial"/>
          <w:rtl/>
        </w:rPr>
        <w:t xml:space="preserve">  הצדדים</w:t>
      </w:r>
      <w:r w:rsidRPr="00E96725" w:rsidR="001F2461">
        <w:rPr>
          <w:rFonts w:hint="cs" w:ascii="Arial" w:hAnsi="Arial"/>
          <w:rtl/>
        </w:rPr>
        <w:t xml:space="preserve"> </w:t>
      </w:r>
      <w:r w:rsidR="00E96725">
        <w:rPr>
          <w:rFonts w:hint="cs" w:ascii="Arial" w:hAnsi="Arial"/>
          <w:rtl/>
        </w:rPr>
        <w:t xml:space="preserve">כי </w:t>
      </w:r>
      <w:r w:rsidRPr="00E96725" w:rsidR="001F2461">
        <w:rPr>
          <w:rFonts w:hint="cs" w:ascii="Arial" w:hAnsi="Arial"/>
          <w:rtl/>
        </w:rPr>
        <w:t>הגיעו להסדר טיעון</w:t>
      </w:r>
      <w:r w:rsidRPr="00E96725">
        <w:rPr>
          <w:rFonts w:hint="cs" w:ascii="Arial" w:hAnsi="Arial"/>
          <w:rtl/>
        </w:rPr>
        <w:t>,</w:t>
      </w:r>
      <w:r w:rsidRPr="00E96725" w:rsidR="001F2461">
        <w:rPr>
          <w:rFonts w:hint="cs" w:ascii="Arial" w:hAnsi="Arial"/>
          <w:rtl/>
        </w:rPr>
        <w:t xml:space="preserve"> לפיו הנאשם יחזור מכפירתו, יוגש כתב אישום מתוקן</w:t>
      </w:r>
      <w:r w:rsidRPr="00E96725" w:rsidR="0099763C">
        <w:rPr>
          <w:rFonts w:hint="cs" w:ascii="Arial" w:hAnsi="Arial"/>
          <w:rtl/>
        </w:rPr>
        <w:t>, הנאשם יודה ויורשע בכתב האישום המתוקן וישלח לקבלת תסקיר שירות מבחן אשר יבחן גם את שאלת ההרשעה.</w:t>
      </w:r>
      <w:r w:rsidR="00E96725">
        <w:rPr>
          <w:rFonts w:ascii="Arial" w:hAnsi="Arial"/>
          <w:rtl/>
        </w:rPr>
        <w:tab/>
      </w:r>
      <w:r w:rsidR="00E96725">
        <w:rPr>
          <w:rFonts w:ascii="Arial" w:hAnsi="Arial"/>
          <w:rtl/>
        </w:rPr>
        <w:br/>
      </w:r>
      <w:r w:rsidR="00E96725">
        <w:rPr>
          <w:rFonts w:hint="cs" w:ascii="Arial" w:hAnsi="Arial"/>
          <w:rtl/>
        </w:rPr>
        <w:t>בית המשפט הבהיר לנאשם כי איננו חייב לכ</w:t>
      </w:r>
      <w:r w:rsidRPr="00A126F2" w:rsidR="00F612F4">
        <w:rPr>
          <w:rFonts w:hint="cs" w:ascii="Arial" w:hAnsi="Arial"/>
          <w:rtl/>
        </w:rPr>
        <w:t xml:space="preserve">בד את ההסדר, </w:t>
      </w:r>
      <w:r w:rsidR="00E96725">
        <w:rPr>
          <w:rFonts w:hint="cs" w:ascii="Arial" w:hAnsi="Arial"/>
          <w:rtl/>
        </w:rPr>
        <w:t xml:space="preserve">הנאשם העיד כי ההסדר מובן לו וביקש לחזור בו מכפירתו. </w:t>
      </w:r>
      <w:r w:rsidRPr="00A126F2" w:rsidR="00F612F4">
        <w:rPr>
          <w:rFonts w:hint="cs" w:ascii="Arial" w:hAnsi="Arial"/>
          <w:rtl/>
        </w:rPr>
        <w:t>הוגש כתב אישום מתוקן</w:t>
      </w:r>
      <w:r w:rsidRPr="00A126F2" w:rsidR="00DA48D6">
        <w:rPr>
          <w:rFonts w:hint="cs" w:ascii="Arial" w:hAnsi="Arial"/>
          <w:rtl/>
        </w:rPr>
        <w:t xml:space="preserve">, </w:t>
      </w:r>
      <w:r w:rsidR="00E96725">
        <w:rPr>
          <w:rFonts w:hint="cs" w:ascii="Arial" w:hAnsi="Arial"/>
          <w:rtl/>
        </w:rPr>
        <w:t>ו</w:t>
      </w:r>
      <w:r w:rsidRPr="00A126F2" w:rsidR="00DA48D6">
        <w:rPr>
          <w:rFonts w:hint="cs" w:ascii="Arial" w:hAnsi="Arial"/>
          <w:rtl/>
        </w:rPr>
        <w:t xml:space="preserve">הנאשם </w:t>
      </w:r>
      <w:r>
        <w:rPr>
          <w:rFonts w:hint="cs" w:ascii="Arial" w:hAnsi="Arial"/>
          <w:rtl/>
        </w:rPr>
        <w:t xml:space="preserve">הודה בכתב האישום המתוקן, </w:t>
      </w:r>
      <w:r w:rsidR="00E96725">
        <w:rPr>
          <w:rFonts w:hint="cs" w:ascii="Arial" w:hAnsi="Arial"/>
          <w:rtl/>
        </w:rPr>
        <w:t>זאת רק לאחר ש</w:t>
      </w:r>
      <w:r>
        <w:rPr>
          <w:rFonts w:hint="cs" w:ascii="Arial" w:hAnsi="Arial"/>
          <w:rtl/>
        </w:rPr>
        <w:t>בית המשפט בירר עימו כי כתב האישום המתוקן מובן לו, וכי הוא מודה בכל האמור בו</w:t>
      </w:r>
      <w:r w:rsidR="00E96725">
        <w:rPr>
          <w:rFonts w:hint="cs" w:ascii="Arial" w:hAnsi="Arial"/>
          <w:rtl/>
        </w:rPr>
        <w:t>.</w:t>
      </w:r>
      <w:r w:rsidR="00E96725">
        <w:rPr>
          <w:rFonts w:ascii="Arial" w:hAnsi="Arial"/>
          <w:rtl/>
        </w:rPr>
        <w:tab/>
      </w:r>
      <w:r w:rsidR="00E96725">
        <w:rPr>
          <w:rFonts w:ascii="Arial" w:hAnsi="Arial"/>
          <w:rtl/>
        </w:rPr>
        <w:br/>
      </w:r>
      <w:r w:rsidR="00E96725">
        <w:rPr>
          <w:rFonts w:hint="cs" w:ascii="Arial" w:hAnsi="Arial"/>
          <w:rtl/>
        </w:rPr>
        <w:t>הנאשם</w:t>
      </w:r>
      <w:r>
        <w:rPr>
          <w:rFonts w:hint="cs" w:ascii="Arial" w:hAnsi="Arial"/>
          <w:rtl/>
        </w:rPr>
        <w:t xml:space="preserve"> </w:t>
      </w:r>
      <w:r w:rsidRPr="00A126F2" w:rsidR="00DA48D6">
        <w:rPr>
          <w:rFonts w:hint="cs" w:ascii="Arial" w:hAnsi="Arial"/>
          <w:rtl/>
        </w:rPr>
        <w:t>הורשע והדיון נדחה לצורך קבלת תסקיר וטיעונים לעונש. הנאשם ביקש כי שירות המבחן ישקול את ביטול ההרשעה.</w:t>
      </w:r>
    </w:p>
    <w:p w:rsidR="0099763C" w:rsidP="002D09AE" w:rsidRDefault="002D09AE">
      <w:pPr>
        <w:pStyle w:val="aa"/>
        <w:numPr>
          <w:ilvl w:val="1"/>
          <w:numId w:val="3"/>
        </w:numPr>
        <w:spacing w:before="120" w:line="400" w:lineRule="atLeast"/>
        <w:contextualSpacing w:val="0"/>
        <w:jc w:val="both"/>
        <w:rPr>
          <w:rFonts w:ascii="Arial" w:hAnsi="Arial"/>
        </w:rPr>
      </w:pPr>
      <w:r>
        <w:rPr>
          <w:rFonts w:hint="cs" w:ascii="Arial" w:hAnsi="Arial"/>
          <w:rtl/>
        </w:rPr>
        <w:t>ביום 21.1.18 הוגש תסקיר לגבי הנאשם. מהתסקיר עלה כי תלוי ועומד נגד הנאשם תיק נוסף</w:t>
      </w:r>
      <w:r w:rsidRPr="00E96725" w:rsidR="009A45E8">
        <w:rPr>
          <w:rFonts w:hint="cs" w:ascii="Arial" w:hAnsi="Arial"/>
          <w:rtl/>
        </w:rPr>
        <w:t xml:space="preserve"> ת"פ</w:t>
      </w:r>
      <w:r>
        <w:rPr>
          <w:rFonts w:hint="cs" w:ascii="Arial" w:hAnsi="Arial"/>
          <w:rtl/>
        </w:rPr>
        <w:t xml:space="preserve"> (שלום בית שמש)</w:t>
      </w:r>
      <w:r w:rsidRPr="00E96725" w:rsidR="009A45E8">
        <w:rPr>
          <w:rFonts w:hint="cs" w:ascii="Arial" w:hAnsi="Arial"/>
          <w:rtl/>
        </w:rPr>
        <w:t xml:space="preserve"> 2800-12-15, </w:t>
      </w:r>
      <w:r>
        <w:rPr>
          <w:rFonts w:hint="cs" w:ascii="Arial" w:hAnsi="Arial"/>
          <w:rtl/>
        </w:rPr>
        <w:t>שהנשאם מבקש לצרפו לתיק זה</w:t>
      </w:r>
      <w:r w:rsidRPr="00E96725" w:rsidR="00A126F2">
        <w:rPr>
          <w:rFonts w:hint="cs" w:ascii="Arial" w:hAnsi="Arial"/>
          <w:rtl/>
        </w:rPr>
        <w:t xml:space="preserve">. </w:t>
      </w:r>
      <w:r>
        <w:rPr>
          <w:rFonts w:hint="cs" w:ascii="Arial" w:hAnsi="Arial"/>
          <w:rtl/>
        </w:rPr>
        <w:t>התסקיר היה חיובי בעיקרו, אולם</w:t>
      </w:r>
      <w:r w:rsidRPr="00E96725" w:rsidR="00FB7BAA">
        <w:rPr>
          <w:rFonts w:hint="cs" w:ascii="Arial" w:hAnsi="Arial"/>
          <w:rtl/>
        </w:rPr>
        <w:t xml:space="preserve"> </w:t>
      </w:r>
      <w:r w:rsidRPr="00E96725" w:rsidR="009F53F1">
        <w:rPr>
          <w:rFonts w:hint="cs" w:ascii="Arial" w:hAnsi="Arial"/>
          <w:rtl/>
        </w:rPr>
        <w:t xml:space="preserve">לעניין ההרשעה, ציין שירות המבחן כי בין היתר, </w:t>
      </w:r>
      <w:r w:rsidRPr="00E96725" w:rsidR="009F53F1">
        <w:rPr>
          <w:rFonts w:hint="cs" w:ascii="Arial" w:hAnsi="Arial"/>
          <w:rtl/>
        </w:rPr>
        <w:lastRenderedPageBreak/>
        <w:t>מאחר והנאשם לא לוקח אחריות מלאה על מעשיו ומתקשה להבין את חומרתם הם נמנעים מנקיטת עמדה בנושא זה.</w:t>
      </w:r>
    </w:p>
    <w:p w:rsidR="002D09AE" w:rsidP="002D09AE" w:rsidRDefault="002D09AE">
      <w:pPr>
        <w:pStyle w:val="aa"/>
        <w:numPr>
          <w:ilvl w:val="1"/>
          <w:numId w:val="3"/>
        </w:numPr>
        <w:spacing w:before="120" w:line="400" w:lineRule="atLeast"/>
        <w:contextualSpacing w:val="0"/>
        <w:jc w:val="both"/>
        <w:rPr>
          <w:rFonts w:ascii="Arial" w:hAnsi="Arial"/>
        </w:rPr>
      </w:pPr>
      <w:r>
        <w:rPr>
          <w:rFonts w:hint="cs" w:ascii="Arial" w:hAnsi="Arial"/>
          <w:rtl/>
        </w:rPr>
        <w:t>בדיון ב</w:t>
      </w:r>
      <w:r w:rsidRPr="002D09AE" w:rsidR="00253345">
        <w:rPr>
          <w:rFonts w:hint="cs" w:ascii="Arial" w:hAnsi="Arial"/>
          <w:rtl/>
        </w:rPr>
        <w:t xml:space="preserve">יום 22.1.18 </w:t>
      </w:r>
      <w:r>
        <w:rPr>
          <w:rFonts w:hint="cs" w:ascii="Arial" w:hAnsi="Arial"/>
          <w:rtl/>
        </w:rPr>
        <w:t xml:space="preserve">נשמעו הטיעונים לעונש. </w:t>
      </w:r>
      <w:r>
        <w:rPr>
          <w:rFonts w:ascii="Arial" w:hAnsi="Arial"/>
          <w:rtl/>
        </w:rPr>
        <w:tab/>
      </w:r>
      <w:r>
        <w:rPr>
          <w:rFonts w:ascii="Arial" w:hAnsi="Arial"/>
          <w:rtl/>
        </w:rPr>
        <w:br/>
      </w:r>
      <w:r>
        <w:rPr>
          <w:rFonts w:hint="cs" w:ascii="Arial" w:hAnsi="Arial"/>
          <w:rtl/>
        </w:rPr>
        <w:t xml:space="preserve">ב"כ המאשימה טענה באריכות, ועמדה על ענישה מרתיעה של מאסר בפועל עד לששה חודשים, מאסר על תנאי, </w:t>
      </w:r>
      <w:r w:rsidRPr="002D09AE" w:rsidR="00253345">
        <w:rPr>
          <w:rFonts w:hint="cs" w:ascii="Arial" w:hAnsi="Arial"/>
          <w:rtl/>
        </w:rPr>
        <w:t>התחייבות ופיצוי למתלוננת.</w:t>
      </w:r>
      <w:r w:rsidRPr="002D09AE" w:rsidR="001121BE">
        <w:rPr>
          <w:rFonts w:hint="cs" w:ascii="Arial" w:hAnsi="Arial"/>
          <w:rtl/>
        </w:rPr>
        <w:t xml:space="preserve"> </w:t>
      </w:r>
      <w:r>
        <w:rPr>
          <w:rFonts w:ascii="Arial" w:hAnsi="Arial"/>
          <w:rtl/>
        </w:rPr>
        <w:tab/>
      </w:r>
      <w:r>
        <w:rPr>
          <w:rFonts w:ascii="Arial" w:hAnsi="Arial"/>
          <w:rtl/>
        </w:rPr>
        <w:br/>
      </w:r>
      <w:r>
        <w:rPr>
          <w:rFonts w:hint="cs" w:ascii="Arial" w:hAnsi="Arial"/>
          <w:rtl/>
        </w:rPr>
        <w:t>הסניגורית טענה באריכות, ועתרה לאימוץ המלצת שירות המבחן.</w:t>
      </w:r>
    </w:p>
    <w:p w:rsidR="009340AA" w:rsidP="002D09AE" w:rsidRDefault="002D09AE">
      <w:pPr>
        <w:pStyle w:val="aa"/>
        <w:numPr>
          <w:ilvl w:val="1"/>
          <w:numId w:val="3"/>
        </w:numPr>
        <w:spacing w:before="120" w:line="400" w:lineRule="atLeast"/>
        <w:contextualSpacing w:val="0"/>
        <w:jc w:val="both"/>
        <w:rPr>
          <w:rFonts w:ascii="Arial" w:hAnsi="Arial"/>
        </w:rPr>
      </w:pPr>
      <w:r>
        <w:rPr>
          <w:rFonts w:hint="cs" w:ascii="Arial" w:hAnsi="Arial"/>
          <w:rtl/>
        </w:rPr>
        <w:t>במהלך הטיעון לעונש עלה כי התיק האחר מבית שמש טרם צורף.</w:t>
      </w:r>
      <w:r w:rsidR="009340AA">
        <w:rPr>
          <w:rFonts w:ascii="Arial" w:hAnsi="Arial"/>
          <w:rtl/>
        </w:rPr>
        <w:tab/>
      </w:r>
      <w:r w:rsidR="009340AA">
        <w:rPr>
          <w:rFonts w:ascii="Arial" w:hAnsi="Arial"/>
          <w:rtl/>
        </w:rPr>
        <w:br/>
      </w:r>
      <w:r w:rsidR="009340AA">
        <w:rPr>
          <w:rFonts w:hint="cs" w:ascii="Arial" w:hAnsi="Arial"/>
          <w:rtl/>
        </w:rPr>
        <w:t>הנאשם נשאל אם הוא מבקש לצרפו, והוא ביקש לעשות כן. הנאשם הודה בכל העובדות המיוחסות לו בכתב האישום בתיק המצורף, והורשע גם בתיק זה.</w:t>
      </w:r>
    </w:p>
    <w:p w:rsidR="009340AA" w:rsidP="009340AA" w:rsidRDefault="009340AA">
      <w:pPr>
        <w:pStyle w:val="aa"/>
        <w:numPr>
          <w:ilvl w:val="1"/>
          <w:numId w:val="3"/>
        </w:numPr>
        <w:spacing w:before="120" w:line="400" w:lineRule="atLeast"/>
        <w:contextualSpacing w:val="0"/>
        <w:jc w:val="both"/>
        <w:rPr>
          <w:rFonts w:ascii="Arial" w:hAnsi="Arial"/>
        </w:rPr>
      </w:pPr>
      <w:r>
        <w:rPr>
          <w:rFonts w:hint="cs" w:ascii="Arial" w:hAnsi="Arial"/>
          <w:rtl/>
        </w:rPr>
        <w:t>לנוכח הצירוף וההרשעה הנוספת, עתרה המאשימה לקבלת תסקיר משלים, שיתייחס גם לתיק הנוסף, והדיון נדחה להשלמת הטיעון לעונש.</w:t>
      </w:r>
    </w:p>
    <w:p w:rsidR="009340AA" w:rsidP="009340AA" w:rsidRDefault="009340AA">
      <w:pPr>
        <w:pStyle w:val="aa"/>
        <w:numPr>
          <w:ilvl w:val="1"/>
          <w:numId w:val="3"/>
        </w:numPr>
        <w:spacing w:before="120" w:line="400" w:lineRule="atLeast"/>
        <w:contextualSpacing w:val="0"/>
        <w:jc w:val="both"/>
        <w:rPr>
          <w:rFonts w:ascii="Arial" w:hAnsi="Arial"/>
        </w:rPr>
      </w:pPr>
      <w:r>
        <w:rPr>
          <w:rFonts w:hint="cs" w:ascii="Arial" w:hAnsi="Arial"/>
          <w:rtl/>
        </w:rPr>
        <w:t xml:space="preserve">רק </w:t>
      </w:r>
      <w:r w:rsidRPr="009340AA" w:rsidR="00703F86">
        <w:rPr>
          <w:rFonts w:hint="cs" w:ascii="Arial" w:hAnsi="Arial"/>
          <w:rtl/>
        </w:rPr>
        <w:t xml:space="preserve">ביום 30.1.18 הגיש הנאשם בקשה להתיר לו לחזור בו מהודאתו </w:t>
      </w:r>
      <w:r>
        <w:rPr>
          <w:rFonts w:hint="cs" w:ascii="Arial" w:hAnsi="Arial"/>
          <w:rtl/>
        </w:rPr>
        <w:t>ב</w:t>
      </w:r>
      <w:r w:rsidRPr="009340AA" w:rsidR="00EF360F">
        <w:rPr>
          <w:rFonts w:hint="cs" w:ascii="Arial" w:hAnsi="Arial"/>
          <w:rtl/>
        </w:rPr>
        <w:t>שני התיקים</w:t>
      </w:r>
      <w:r>
        <w:rPr>
          <w:rFonts w:hint="cs" w:ascii="Arial" w:hAnsi="Arial"/>
          <w:rtl/>
        </w:rPr>
        <w:t>.</w:t>
      </w:r>
    </w:p>
    <w:p w:rsidR="009340AA" w:rsidP="009340AA" w:rsidRDefault="009340AA">
      <w:pPr>
        <w:pStyle w:val="aa"/>
        <w:numPr>
          <w:ilvl w:val="1"/>
          <w:numId w:val="3"/>
        </w:numPr>
        <w:spacing w:before="120" w:line="400" w:lineRule="atLeast"/>
        <w:contextualSpacing w:val="0"/>
        <w:jc w:val="both"/>
        <w:rPr>
          <w:rFonts w:ascii="Arial" w:hAnsi="Arial"/>
        </w:rPr>
      </w:pPr>
      <w:r>
        <w:rPr>
          <w:rFonts w:hint="cs" w:ascii="Arial" w:hAnsi="Arial"/>
          <w:rtl/>
        </w:rPr>
        <w:t>בדיון ביום 7.3.18</w:t>
      </w:r>
      <w:r w:rsidRPr="009340AA" w:rsidR="005008B1">
        <w:rPr>
          <w:rFonts w:hint="cs" w:ascii="Arial" w:hAnsi="Arial"/>
          <w:rtl/>
        </w:rPr>
        <w:t>,טע</w:t>
      </w:r>
      <w:r>
        <w:rPr>
          <w:rFonts w:hint="cs" w:ascii="Arial" w:hAnsi="Arial"/>
          <w:rtl/>
        </w:rPr>
        <w:t>נו שני הצדדים לבקשה.</w:t>
      </w:r>
    </w:p>
    <w:p w:rsidR="009340AA" w:rsidP="009340AA" w:rsidRDefault="009340AA">
      <w:pPr>
        <w:pStyle w:val="aa"/>
        <w:spacing w:before="120" w:line="400" w:lineRule="atLeast"/>
        <w:contextualSpacing w:val="0"/>
        <w:jc w:val="both"/>
        <w:rPr>
          <w:rFonts w:ascii="Arial" w:hAnsi="Arial"/>
          <w:rtl/>
        </w:rPr>
      </w:pPr>
    </w:p>
    <w:p w:rsidRPr="009340AA" w:rsidR="009340AA" w:rsidP="009340AA" w:rsidRDefault="009340AA">
      <w:pPr>
        <w:pStyle w:val="aa"/>
        <w:spacing w:before="120" w:line="400" w:lineRule="atLeast"/>
        <w:contextualSpacing w:val="0"/>
        <w:jc w:val="both"/>
        <w:rPr>
          <w:rFonts w:ascii="Arial" w:hAnsi="Arial"/>
          <w:b/>
          <w:bCs/>
        </w:rPr>
      </w:pPr>
      <w:r w:rsidRPr="009340AA">
        <w:rPr>
          <w:rFonts w:hint="cs" w:ascii="Arial" w:hAnsi="Arial"/>
          <w:b/>
          <w:bCs/>
          <w:rtl/>
        </w:rPr>
        <w:t>טענות הצדדים</w:t>
      </w:r>
    </w:p>
    <w:p w:rsidR="00432C29" w:rsidP="00432C29" w:rsidRDefault="009340AA">
      <w:pPr>
        <w:pStyle w:val="aa"/>
        <w:numPr>
          <w:ilvl w:val="0"/>
          <w:numId w:val="3"/>
        </w:numPr>
        <w:spacing w:before="120" w:line="400" w:lineRule="atLeast"/>
        <w:contextualSpacing w:val="0"/>
        <w:jc w:val="both"/>
        <w:rPr>
          <w:rFonts w:ascii="Arial" w:hAnsi="Arial"/>
        </w:rPr>
      </w:pPr>
      <w:r>
        <w:rPr>
          <w:rFonts w:hint="cs" w:ascii="Arial" w:hAnsi="Arial"/>
          <w:rtl/>
        </w:rPr>
        <w:t>הנאשם טען כי יש לאפשר לו לחזור בו מהודייתו בשני התיקים, בהתאם ל</w:t>
      </w:r>
      <w:r w:rsidRPr="009340AA">
        <w:rPr>
          <w:rFonts w:hint="cs" w:ascii="Arial" w:hAnsi="Arial"/>
          <w:rtl/>
        </w:rPr>
        <w:t>סעיף 153 לחוק סדר הדין הפלילי [נוסח משולב] התשמ"ב -1982. לטענתו, הודאתו נעשתה מתוך לחץ ולא מתוך שיקול דעת</w:t>
      </w:r>
      <w:r w:rsidR="00432C29">
        <w:rPr>
          <w:rFonts w:hint="cs" w:ascii="Arial" w:hAnsi="Arial"/>
          <w:rtl/>
        </w:rPr>
        <w:t>.</w:t>
      </w:r>
      <w:r w:rsidRPr="009340AA">
        <w:rPr>
          <w:rFonts w:hint="cs" w:ascii="Arial" w:hAnsi="Arial"/>
          <w:rtl/>
        </w:rPr>
        <w:t xml:space="preserve"> הוא </w:t>
      </w:r>
      <w:r w:rsidR="00432C29">
        <w:rPr>
          <w:rFonts w:hint="cs" w:ascii="Arial" w:hAnsi="Arial"/>
          <w:rtl/>
        </w:rPr>
        <w:t xml:space="preserve">חי </w:t>
      </w:r>
      <w:r w:rsidRPr="009340AA">
        <w:rPr>
          <w:rFonts w:hint="cs" w:ascii="Arial" w:hAnsi="Arial"/>
          <w:rtl/>
        </w:rPr>
        <w:t>בתחושה שהודה בדבר שלא עשה</w:t>
      </w:r>
      <w:r w:rsidR="00432C29">
        <w:rPr>
          <w:rFonts w:hint="cs" w:ascii="Arial" w:hAnsi="Arial"/>
          <w:rtl/>
        </w:rPr>
        <w:t>,</w:t>
      </w:r>
      <w:r w:rsidRPr="009340AA">
        <w:rPr>
          <w:rFonts w:hint="cs" w:ascii="Arial" w:hAnsi="Arial"/>
          <w:rtl/>
        </w:rPr>
        <w:t xml:space="preserve"> ומבקש כי בית המשפט ייתן לו את יומו בבית המשפט ות</w:t>
      </w:r>
      <w:r w:rsidR="00432C29">
        <w:rPr>
          <w:rFonts w:hint="cs" w:ascii="Arial" w:hAnsi="Arial"/>
          <w:rtl/>
        </w:rPr>
        <w:t>י</w:t>
      </w:r>
      <w:r w:rsidRPr="009340AA">
        <w:rPr>
          <w:rFonts w:hint="cs" w:ascii="Arial" w:hAnsi="Arial"/>
          <w:rtl/>
        </w:rPr>
        <w:t xml:space="preserve">נתן לו ההזדמנות לעמוד על חפותו. </w:t>
      </w:r>
      <w:r w:rsidR="00432C29">
        <w:rPr>
          <w:rFonts w:hint="cs" w:ascii="Arial" w:hAnsi="Arial"/>
          <w:rtl/>
        </w:rPr>
        <w:t>לטענתו, מדובר ברצון כן ו</w:t>
      </w:r>
      <w:r w:rsidRPr="009340AA">
        <w:rPr>
          <w:rFonts w:hint="cs" w:ascii="Arial" w:hAnsi="Arial"/>
          <w:rtl/>
        </w:rPr>
        <w:t xml:space="preserve">נחוש </w:t>
      </w:r>
      <w:r w:rsidR="00432C29">
        <w:rPr>
          <w:rFonts w:hint="cs" w:ascii="Arial" w:hAnsi="Arial"/>
          <w:rtl/>
        </w:rPr>
        <w:t xml:space="preserve">להוציא לאור את צדקתו, לנוכח </w:t>
      </w:r>
      <w:r w:rsidRPr="009340AA">
        <w:rPr>
          <w:rFonts w:hint="cs" w:ascii="Arial" w:hAnsi="Arial"/>
          <w:rtl/>
        </w:rPr>
        <w:t>ההשלכות של ההרשעה על שמו הטוב ועל עיסוקו</w:t>
      </w:r>
      <w:r w:rsidR="00432C29">
        <w:rPr>
          <w:rFonts w:hint="cs" w:ascii="Arial" w:hAnsi="Arial"/>
          <w:rtl/>
        </w:rPr>
        <w:t xml:space="preserve">, והוא נסמך על ההלכה שניתנה בעניין סמחאת (ע"פ 3754/91 </w:t>
      </w:r>
      <w:r w:rsidRPr="00432C29" w:rsidR="00432C29">
        <w:rPr>
          <w:rFonts w:hint="cs" w:ascii="Arial" w:hAnsi="Arial"/>
          <w:b/>
          <w:bCs/>
          <w:rtl/>
        </w:rPr>
        <w:t xml:space="preserve">מדינת </w:t>
      </w:r>
      <w:r w:rsidRPr="00432C29">
        <w:rPr>
          <w:rFonts w:hint="cs" w:ascii="Arial" w:hAnsi="Arial"/>
          <w:b/>
          <w:bCs/>
          <w:rtl/>
        </w:rPr>
        <w:t>ישראל נ</w:t>
      </w:r>
      <w:r w:rsidRPr="00432C29" w:rsidR="00432C29">
        <w:rPr>
          <w:rFonts w:hint="cs" w:ascii="Arial" w:hAnsi="Arial"/>
          <w:b/>
          <w:bCs/>
          <w:rtl/>
        </w:rPr>
        <w:t>'</w:t>
      </w:r>
      <w:r w:rsidRPr="00432C29">
        <w:rPr>
          <w:rFonts w:hint="cs" w:ascii="Arial" w:hAnsi="Arial"/>
          <w:b/>
          <w:bCs/>
          <w:rtl/>
        </w:rPr>
        <w:t xml:space="preserve"> סמחאת</w:t>
      </w:r>
      <w:r w:rsidRPr="009340AA">
        <w:rPr>
          <w:rFonts w:hint="cs" w:ascii="Arial" w:hAnsi="Arial"/>
          <w:rtl/>
        </w:rPr>
        <w:t>, פ</w:t>
      </w:r>
      <w:r w:rsidR="00432C29">
        <w:rPr>
          <w:rFonts w:hint="cs" w:ascii="Arial" w:hAnsi="Arial"/>
          <w:rtl/>
        </w:rPr>
        <w:t>"ד</w:t>
      </w:r>
      <w:r w:rsidRPr="009340AA">
        <w:rPr>
          <w:rFonts w:hint="cs" w:ascii="Arial" w:hAnsi="Arial"/>
          <w:rtl/>
        </w:rPr>
        <w:t xml:space="preserve"> מ"ה (5) 798, 802-803</w:t>
      </w:r>
      <w:r w:rsidR="00432C29">
        <w:rPr>
          <w:rFonts w:hint="cs" w:ascii="Arial" w:hAnsi="Arial"/>
          <w:rtl/>
        </w:rPr>
        <w:t>).</w:t>
      </w:r>
      <w:r w:rsidRPr="009340AA">
        <w:rPr>
          <w:rFonts w:hint="cs" w:ascii="Arial" w:hAnsi="Arial"/>
          <w:rtl/>
        </w:rPr>
        <w:t xml:space="preserve"> </w:t>
      </w:r>
      <w:r w:rsidR="00432C29">
        <w:rPr>
          <w:rFonts w:ascii="Arial" w:hAnsi="Arial"/>
          <w:rtl/>
        </w:rPr>
        <w:tab/>
      </w:r>
      <w:r w:rsidR="00432C29">
        <w:rPr>
          <w:rFonts w:ascii="Arial" w:hAnsi="Arial"/>
          <w:rtl/>
        </w:rPr>
        <w:br/>
      </w:r>
      <w:r w:rsidR="00432C29">
        <w:rPr>
          <w:rFonts w:hint="cs" w:ascii="Arial" w:hAnsi="Arial"/>
          <w:rtl/>
        </w:rPr>
        <w:t>עוד ט</w:t>
      </w:r>
      <w:r w:rsidRPr="009340AA">
        <w:rPr>
          <w:rFonts w:hint="cs" w:ascii="Arial" w:hAnsi="Arial"/>
          <w:rtl/>
        </w:rPr>
        <w:t>ען הנאשם</w:t>
      </w:r>
      <w:r w:rsidR="00432C29">
        <w:rPr>
          <w:rFonts w:hint="cs" w:ascii="Arial" w:hAnsi="Arial"/>
          <w:rtl/>
        </w:rPr>
        <w:t>,</w:t>
      </w:r>
      <w:r w:rsidRPr="009340AA">
        <w:rPr>
          <w:rFonts w:hint="cs" w:ascii="Arial" w:hAnsi="Arial"/>
          <w:rtl/>
        </w:rPr>
        <w:t xml:space="preserve"> כי עיתוי הגשת הבקשה מהווה שיקול מכריע</w:t>
      </w:r>
      <w:r w:rsidR="00432C29">
        <w:rPr>
          <w:rFonts w:hint="cs" w:ascii="Arial" w:hAnsi="Arial"/>
          <w:rtl/>
        </w:rPr>
        <w:t>.בקשה לחזור מהודייה לפני הטיעונים לעונש, תענה בדרך כלל ברוחב לב</w:t>
      </w:r>
      <w:r w:rsidRPr="009340AA">
        <w:rPr>
          <w:rFonts w:hint="cs" w:ascii="Arial" w:hAnsi="Arial"/>
          <w:rtl/>
        </w:rPr>
        <w:t xml:space="preserve">. </w:t>
      </w:r>
      <w:r w:rsidR="00432C29">
        <w:rPr>
          <w:rFonts w:hint="cs" w:ascii="Arial" w:hAnsi="Arial"/>
          <w:rtl/>
        </w:rPr>
        <w:t xml:space="preserve">לטענתו, דווקא הבקשה למרות התסקיר החיובי, מצדיקה העתרות, ולפי </w:t>
      </w:r>
      <w:r w:rsidRPr="009340AA">
        <w:rPr>
          <w:rFonts w:hint="cs" w:ascii="Arial" w:hAnsi="Arial"/>
          <w:rtl/>
        </w:rPr>
        <w:t>הפסיקה לפיה אין להכביד על נאשם שרצונו לחזור בו מהודיה</w:t>
      </w:r>
      <w:r w:rsidR="00432C29">
        <w:rPr>
          <w:rFonts w:hint="cs" w:ascii="Arial" w:hAnsi="Arial"/>
          <w:rtl/>
        </w:rPr>
        <w:t>.</w:t>
      </w:r>
    </w:p>
    <w:p w:rsidR="005008B1" w:rsidP="00432C29" w:rsidRDefault="00264D12">
      <w:pPr>
        <w:pStyle w:val="aa"/>
        <w:numPr>
          <w:ilvl w:val="0"/>
          <w:numId w:val="3"/>
        </w:numPr>
        <w:spacing w:before="120" w:line="400" w:lineRule="atLeast"/>
        <w:contextualSpacing w:val="0"/>
        <w:jc w:val="both"/>
        <w:rPr>
          <w:rFonts w:ascii="Arial" w:hAnsi="Arial"/>
        </w:rPr>
      </w:pPr>
      <w:r w:rsidRPr="009340AA">
        <w:rPr>
          <w:rFonts w:hint="cs" w:ascii="Arial" w:hAnsi="Arial"/>
          <w:rtl/>
        </w:rPr>
        <w:lastRenderedPageBreak/>
        <w:t xml:space="preserve">ב"כ הנאשם </w:t>
      </w:r>
      <w:r w:rsidR="00432C29">
        <w:rPr>
          <w:rFonts w:hint="cs" w:ascii="Arial" w:hAnsi="Arial"/>
          <w:rtl/>
        </w:rPr>
        <w:t>הוסיפ</w:t>
      </w:r>
      <w:r w:rsidRPr="009340AA">
        <w:rPr>
          <w:rFonts w:hint="cs" w:ascii="Arial" w:hAnsi="Arial"/>
          <w:rtl/>
        </w:rPr>
        <w:t>ה בדיון</w:t>
      </w:r>
      <w:r w:rsidR="00432C29">
        <w:rPr>
          <w:rFonts w:hint="cs" w:ascii="Arial" w:hAnsi="Arial"/>
          <w:rtl/>
        </w:rPr>
        <w:t>,</w:t>
      </w:r>
      <w:r w:rsidRPr="009340AA">
        <w:rPr>
          <w:rFonts w:hint="cs" w:ascii="Arial" w:hAnsi="Arial"/>
          <w:rtl/>
        </w:rPr>
        <w:t xml:space="preserve"> כי בקשת הנאשם באה ממקום פנימי של הנאשם </w:t>
      </w:r>
      <w:r w:rsidR="00432C29">
        <w:rPr>
          <w:rFonts w:hint="cs" w:ascii="Arial" w:hAnsi="Arial"/>
          <w:rtl/>
        </w:rPr>
        <w:t>א</w:t>
      </w:r>
      <w:r w:rsidRPr="009340AA">
        <w:rPr>
          <w:rFonts w:hint="cs" w:ascii="Arial" w:hAnsi="Arial"/>
          <w:rtl/>
        </w:rPr>
        <w:t>ש</w:t>
      </w:r>
      <w:r w:rsidR="00432C29">
        <w:rPr>
          <w:rFonts w:hint="cs" w:ascii="Arial" w:hAnsi="Arial"/>
          <w:rtl/>
        </w:rPr>
        <w:t>ר "</w:t>
      </w:r>
      <w:r w:rsidRPr="009340AA">
        <w:rPr>
          <w:rFonts w:hint="cs" w:ascii="Arial" w:hAnsi="Arial"/>
          <w:rtl/>
        </w:rPr>
        <w:t>בוער בקרבו</w:t>
      </w:r>
      <w:r w:rsidR="00432C29">
        <w:rPr>
          <w:rFonts w:hint="cs" w:ascii="Arial" w:hAnsi="Arial"/>
          <w:rtl/>
        </w:rPr>
        <w:t>"</w:t>
      </w:r>
      <w:r w:rsidRPr="009340AA">
        <w:rPr>
          <w:rFonts w:hint="cs" w:ascii="Arial" w:hAnsi="Arial"/>
          <w:rtl/>
        </w:rPr>
        <w:t xml:space="preserve"> לעמוד על חפותו</w:t>
      </w:r>
      <w:r w:rsidR="00432C29">
        <w:rPr>
          <w:rFonts w:hint="cs" w:ascii="Arial" w:hAnsi="Arial"/>
          <w:rtl/>
        </w:rPr>
        <w:t xml:space="preserve">, ולא </w:t>
      </w:r>
      <w:r w:rsidRPr="009340AA">
        <w:rPr>
          <w:rFonts w:hint="cs" w:ascii="Arial" w:hAnsi="Arial"/>
          <w:rtl/>
        </w:rPr>
        <w:t>משיקולי כדאיות.</w:t>
      </w:r>
    </w:p>
    <w:p w:rsidRPr="009340AA" w:rsidR="00432C29" w:rsidP="005B1C34" w:rsidRDefault="00432C29">
      <w:pPr>
        <w:pStyle w:val="aa"/>
        <w:numPr>
          <w:ilvl w:val="0"/>
          <w:numId w:val="3"/>
        </w:numPr>
        <w:spacing w:before="120" w:line="400" w:lineRule="atLeast"/>
        <w:contextualSpacing w:val="0"/>
        <w:jc w:val="both"/>
        <w:rPr>
          <w:rFonts w:ascii="Arial" w:hAnsi="Arial"/>
        </w:rPr>
      </w:pPr>
      <w:r>
        <w:rPr>
          <w:rFonts w:hint="cs" w:ascii="Arial" w:hAnsi="Arial"/>
          <w:rtl/>
        </w:rPr>
        <w:t>הנאשם עצמו, הודה כי הודה בכתבי האישום לאחר שבית המשפט הסביר לו את משמעותם, אולם למרות זאת, טען לחפותו</w:t>
      </w:r>
      <w:r w:rsidR="005B1C34">
        <w:rPr>
          <w:rFonts w:hint="cs" w:ascii="Arial" w:hAnsi="Arial"/>
          <w:rtl/>
        </w:rPr>
        <w:t xml:space="preserve"> שכן, לטענתו "היתה לו הארה" יותר מאוחר, והכחיש כי הוא מבקש לחזור רק בגלל תסקיר שירות המבחן, אשר נעדר המלצה שלא להרשיעו.</w:t>
      </w:r>
    </w:p>
    <w:p w:rsidR="00264D12" w:rsidP="005B1C34" w:rsidRDefault="00264D12">
      <w:pPr>
        <w:pStyle w:val="aa"/>
        <w:numPr>
          <w:ilvl w:val="0"/>
          <w:numId w:val="3"/>
        </w:numPr>
        <w:spacing w:before="120" w:line="400" w:lineRule="atLeast"/>
        <w:contextualSpacing w:val="0"/>
        <w:jc w:val="both"/>
        <w:rPr>
          <w:rFonts w:ascii="Arial" w:hAnsi="Arial"/>
        </w:rPr>
      </w:pPr>
      <w:r>
        <w:rPr>
          <w:rFonts w:hint="cs" w:ascii="Arial" w:hAnsi="Arial"/>
          <w:rtl/>
        </w:rPr>
        <w:t>ב"כ המאשימה טענה בדיון</w:t>
      </w:r>
      <w:r w:rsidR="005B1C34">
        <w:rPr>
          <w:rFonts w:hint="cs" w:ascii="Arial" w:hAnsi="Arial"/>
          <w:rtl/>
        </w:rPr>
        <w:t>,</w:t>
      </w:r>
      <w:r>
        <w:rPr>
          <w:rFonts w:hint="cs" w:ascii="Arial" w:hAnsi="Arial"/>
          <w:rtl/>
        </w:rPr>
        <w:t xml:space="preserve"> כי</w:t>
      </w:r>
      <w:r w:rsidR="00BE3951">
        <w:rPr>
          <w:rFonts w:hint="cs" w:ascii="Arial" w:hAnsi="Arial"/>
          <w:rtl/>
        </w:rPr>
        <w:t xml:space="preserve"> הפסיקה ברורה </w:t>
      </w:r>
      <w:r w:rsidR="005B1C34">
        <w:rPr>
          <w:rFonts w:hint="cs" w:ascii="Arial" w:hAnsi="Arial"/>
          <w:rtl/>
        </w:rPr>
        <w:t xml:space="preserve">בעניין. יש הכרח בנימוקים מיוחדים כדי לאפשר </w:t>
      </w:r>
      <w:r w:rsidR="00BE3951">
        <w:rPr>
          <w:rFonts w:hint="cs" w:ascii="Arial" w:hAnsi="Arial"/>
          <w:rtl/>
        </w:rPr>
        <w:t xml:space="preserve">חזרה מהודאה. הודאת הנאשם היתה </w:t>
      </w:r>
      <w:r w:rsidR="005B1C34">
        <w:rPr>
          <w:rFonts w:hint="cs" w:ascii="Arial" w:hAnsi="Arial"/>
          <w:rtl/>
        </w:rPr>
        <w:t xml:space="preserve">בגדר </w:t>
      </w:r>
      <w:r w:rsidR="00BE3951">
        <w:rPr>
          <w:rFonts w:hint="cs" w:ascii="Arial" w:hAnsi="Arial"/>
          <w:rtl/>
        </w:rPr>
        <w:t>החלטה מושכלת ולא בחטף</w:t>
      </w:r>
      <w:r w:rsidR="005B1C34">
        <w:rPr>
          <w:rFonts w:hint="cs" w:ascii="Arial" w:hAnsi="Arial"/>
          <w:rtl/>
        </w:rPr>
        <w:t xml:space="preserve">. שמונה חודשים </w:t>
      </w:r>
      <w:r w:rsidR="00BE3951">
        <w:rPr>
          <w:rFonts w:hint="cs" w:ascii="Arial" w:hAnsi="Arial"/>
          <w:rtl/>
        </w:rPr>
        <w:t>חלפו מאז הודאתו</w:t>
      </w:r>
      <w:r w:rsidR="005B1C34">
        <w:rPr>
          <w:rFonts w:hint="cs" w:ascii="Arial" w:hAnsi="Arial"/>
          <w:rtl/>
        </w:rPr>
        <w:t xml:space="preserve"> ללא כל טרוניה. </w:t>
      </w:r>
      <w:r w:rsidR="00BE3951">
        <w:rPr>
          <w:rFonts w:hint="cs" w:ascii="Arial" w:hAnsi="Arial"/>
          <w:rtl/>
        </w:rPr>
        <w:t>בנסיבות אלה אין להתיר לנאשם לחזור בו מהודאתו.</w:t>
      </w:r>
    </w:p>
    <w:p w:rsidRPr="005B1C34" w:rsidR="009340AA" w:rsidP="005B1C34" w:rsidRDefault="00BE3951">
      <w:pPr>
        <w:pStyle w:val="aa"/>
        <w:numPr>
          <w:ilvl w:val="0"/>
          <w:numId w:val="3"/>
        </w:numPr>
        <w:spacing w:before="120" w:line="400" w:lineRule="atLeast"/>
        <w:contextualSpacing w:val="0"/>
        <w:jc w:val="both"/>
        <w:rPr>
          <w:rFonts w:ascii="Arial" w:hAnsi="Arial"/>
        </w:rPr>
      </w:pPr>
      <w:r>
        <w:rPr>
          <w:rFonts w:hint="cs" w:ascii="Arial" w:hAnsi="Arial"/>
          <w:rtl/>
        </w:rPr>
        <w:t>ב"כ הנאשם השיבה לטענות המאשימה</w:t>
      </w:r>
      <w:r w:rsidR="005B1C34">
        <w:rPr>
          <w:rFonts w:hint="cs" w:ascii="Arial" w:hAnsi="Arial"/>
          <w:rtl/>
        </w:rPr>
        <w:t>,</w:t>
      </w:r>
      <w:r>
        <w:rPr>
          <w:rFonts w:hint="cs" w:ascii="Arial" w:hAnsi="Arial"/>
          <w:rtl/>
        </w:rPr>
        <w:t xml:space="preserve"> וטענה כי כבר בתום הדיון מיום 22.1.1</w:t>
      </w:r>
      <w:r w:rsidR="00C06E5C">
        <w:rPr>
          <w:rFonts w:hint="cs" w:ascii="Arial" w:hAnsi="Arial"/>
          <w:rtl/>
        </w:rPr>
        <w:t>8 העלה בפניה הנאשם את השאלה אם יוכל לחזור בו מהודאתו</w:t>
      </w:r>
      <w:r w:rsidR="005B1C34">
        <w:rPr>
          <w:rFonts w:hint="cs" w:ascii="Arial" w:hAnsi="Arial"/>
          <w:rtl/>
        </w:rPr>
        <w:t xml:space="preserve">. הסניגורית </w:t>
      </w:r>
      <w:r w:rsidR="00C06E5C">
        <w:rPr>
          <w:rFonts w:hint="cs" w:ascii="Arial" w:hAnsi="Arial"/>
          <w:rtl/>
        </w:rPr>
        <w:t xml:space="preserve">הסבירה לו </w:t>
      </w:r>
      <w:r w:rsidR="005B1C34">
        <w:rPr>
          <w:rFonts w:hint="cs" w:ascii="Arial" w:hAnsi="Arial"/>
          <w:rtl/>
        </w:rPr>
        <w:t>את ה</w:t>
      </w:r>
      <w:r w:rsidR="00C06E5C">
        <w:rPr>
          <w:rFonts w:hint="cs" w:ascii="Arial" w:hAnsi="Arial"/>
          <w:rtl/>
        </w:rPr>
        <w:t>יתרונות ו</w:t>
      </w:r>
      <w:r w:rsidR="005B1C34">
        <w:rPr>
          <w:rFonts w:hint="cs" w:ascii="Arial" w:hAnsi="Arial"/>
          <w:rtl/>
        </w:rPr>
        <w:t>ה</w:t>
      </w:r>
      <w:r w:rsidR="00C06E5C">
        <w:rPr>
          <w:rFonts w:hint="cs" w:ascii="Arial" w:hAnsi="Arial"/>
          <w:rtl/>
        </w:rPr>
        <w:t xml:space="preserve">חסרונות </w:t>
      </w:r>
      <w:r w:rsidR="005B1C34">
        <w:rPr>
          <w:rFonts w:hint="cs" w:ascii="Arial" w:hAnsi="Arial"/>
          <w:rtl/>
        </w:rPr>
        <w:t xml:space="preserve">בבקשה כזו, </w:t>
      </w:r>
      <w:r w:rsidR="00C06E5C">
        <w:rPr>
          <w:rFonts w:hint="cs" w:ascii="Arial" w:hAnsi="Arial"/>
          <w:rtl/>
        </w:rPr>
        <w:t xml:space="preserve">ואז הוגשה </w:t>
      </w:r>
      <w:r w:rsidR="005B1C34">
        <w:rPr>
          <w:rFonts w:hint="cs" w:ascii="Arial" w:hAnsi="Arial"/>
          <w:rtl/>
        </w:rPr>
        <w:t>ה</w:t>
      </w:r>
      <w:r w:rsidR="00C06E5C">
        <w:rPr>
          <w:rFonts w:hint="cs" w:ascii="Arial" w:hAnsi="Arial"/>
          <w:rtl/>
        </w:rPr>
        <w:t>בקש</w:t>
      </w:r>
      <w:r w:rsidR="005B1C34">
        <w:rPr>
          <w:rFonts w:hint="cs" w:ascii="Arial" w:hAnsi="Arial"/>
          <w:rtl/>
        </w:rPr>
        <w:t>ה. נטען ש</w:t>
      </w:r>
      <w:r w:rsidR="00C06E5C">
        <w:rPr>
          <w:rFonts w:hint="cs" w:ascii="Arial" w:hAnsi="Arial"/>
          <w:rtl/>
        </w:rPr>
        <w:t>אין מבחינת הנאשם כל רווח שניתן להצביע עליו כמגמתי או מניפולטיבי</w:t>
      </w:r>
      <w:r w:rsidR="005B1C34">
        <w:rPr>
          <w:rFonts w:hint="cs" w:ascii="Arial" w:hAnsi="Arial"/>
          <w:rtl/>
        </w:rPr>
        <w:t>,</w:t>
      </w:r>
      <w:r w:rsidR="00C06E5C">
        <w:rPr>
          <w:rFonts w:hint="cs" w:ascii="Arial" w:hAnsi="Arial"/>
          <w:rtl/>
        </w:rPr>
        <w:t xml:space="preserve"> שכן הנאשם יצטרך לנהל שני תיקים ו</w:t>
      </w:r>
      <w:r w:rsidR="005B1C34">
        <w:rPr>
          <w:rFonts w:hint="cs" w:ascii="Arial" w:hAnsi="Arial"/>
          <w:rtl/>
        </w:rPr>
        <w:t xml:space="preserve">הוא </w:t>
      </w:r>
      <w:r w:rsidR="00C06E5C">
        <w:rPr>
          <w:rFonts w:hint="cs" w:ascii="Arial" w:hAnsi="Arial"/>
          <w:rtl/>
        </w:rPr>
        <w:t>מסתכן בשני גזרי ד</w:t>
      </w:r>
      <w:r w:rsidR="005B1C34">
        <w:rPr>
          <w:rFonts w:hint="cs" w:ascii="Arial" w:hAnsi="Arial"/>
          <w:rtl/>
        </w:rPr>
        <w:t>ין</w:t>
      </w:r>
      <w:r w:rsidR="00C06E5C">
        <w:rPr>
          <w:rFonts w:hint="cs" w:ascii="Arial" w:hAnsi="Arial"/>
          <w:rtl/>
        </w:rPr>
        <w:t>.</w:t>
      </w:r>
    </w:p>
    <w:p w:rsidRPr="009340AA" w:rsidR="009C3965" w:rsidP="00214FB9" w:rsidRDefault="009C3965">
      <w:pPr>
        <w:pStyle w:val="aa"/>
        <w:spacing w:before="120" w:line="400" w:lineRule="atLeast"/>
        <w:contextualSpacing w:val="0"/>
        <w:jc w:val="both"/>
        <w:rPr>
          <w:rFonts w:ascii="Arial" w:hAnsi="Arial"/>
        </w:rPr>
      </w:pPr>
    </w:p>
    <w:p w:rsidRPr="009C3965" w:rsidR="00C06E5C" w:rsidP="00214FB9" w:rsidRDefault="009C3965">
      <w:pPr>
        <w:pStyle w:val="aa"/>
        <w:spacing w:before="120" w:line="400" w:lineRule="atLeast"/>
        <w:contextualSpacing w:val="0"/>
        <w:jc w:val="both"/>
        <w:rPr>
          <w:rFonts w:ascii="Arial" w:hAnsi="Arial"/>
          <w:b/>
          <w:bCs/>
        </w:rPr>
      </w:pPr>
      <w:r w:rsidRPr="009C3965">
        <w:rPr>
          <w:rFonts w:hint="cs" w:ascii="Arial" w:hAnsi="Arial"/>
          <w:b/>
          <w:bCs/>
          <w:rtl/>
        </w:rPr>
        <w:t>דיון והכרעה</w:t>
      </w:r>
    </w:p>
    <w:p w:rsidR="009C3965" w:rsidP="005B1C34" w:rsidRDefault="009C3965">
      <w:pPr>
        <w:pStyle w:val="aa"/>
        <w:numPr>
          <w:ilvl w:val="0"/>
          <w:numId w:val="3"/>
        </w:numPr>
        <w:spacing w:before="120" w:line="400" w:lineRule="atLeast"/>
        <w:contextualSpacing w:val="0"/>
        <w:jc w:val="both"/>
        <w:rPr>
          <w:rFonts w:ascii="Arial" w:hAnsi="Arial"/>
        </w:rPr>
      </w:pPr>
      <w:r w:rsidRPr="00F07471">
        <w:rPr>
          <w:rFonts w:hint="cs" w:ascii="Arial" w:hAnsi="Arial"/>
          <w:rtl/>
        </w:rPr>
        <w:t xml:space="preserve">הוראת סע' 153 (א) לחוק סדר הדין הפלילי, התשמ"ב </w:t>
      </w:r>
      <w:r w:rsidRPr="00F07471">
        <w:rPr>
          <w:rFonts w:ascii="Arial" w:hAnsi="Arial"/>
          <w:rtl/>
        </w:rPr>
        <w:t>–</w:t>
      </w:r>
      <w:r w:rsidRPr="00F07471">
        <w:rPr>
          <w:rFonts w:hint="cs" w:ascii="Arial" w:hAnsi="Arial"/>
          <w:rtl/>
        </w:rPr>
        <w:t xml:space="preserve"> 1982, קובעת כדלקמן: </w:t>
      </w:r>
      <w:r w:rsidRPr="00F07471">
        <w:rPr>
          <w:rFonts w:hint="cs" w:ascii="Arial" w:hAnsi="Arial"/>
          <w:b/>
          <w:bCs/>
          <w:rtl/>
        </w:rPr>
        <w:t>"הודה הנאשם בעובדה, אם בהודיה בכתב בפני בית המשפט, ואם במהלך המשפט, רשאי הוא בכל שלב של המשפט לחזור בו מן ההודיה, כולה או מקצתה, אם הרשה זאת ביהמ"ש מנימוקים מיוחדים שיירשמו</w:t>
      </w:r>
      <w:r w:rsidRPr="00F07471">
        <w:rPr>
          <w:rFonts w:hint="cs" w:ascii="Arial" w:hAnsi="Arial"/>
          <w:rtl/>
        </w:rPr>
        <w:t>".</w:t>
      </w:r>
      <w:r w:rsidRPr="00F07471">
        <w:rPr>
          <w:rFonts w:ascii="Arial" w:hAnsi="Arial"/>
          <w:rtl/>
        </w:rPr>
        <w:tab/>
      </w:r>
      <w:r w:rsidRPr="00F07471">
        <w:rPr>
          <w:rFonts w:ascii="Arial" w:hAnsi="Arial"/>
          <w:rtl/>
        </w:rPr>
        <w:br/>
      </w:r>
      <w:r w:rsidR="005B1C34">
        <w:rPr>
          <w:rFonts w:hint="cs" w:ascii="Arial" w:hAnsi="Arial"/>
          <w:rtl/>
        </w:rPr>
        <w:t xml:space="preserve">ההלכה הפסוקה קבעה, </w:t>
      </w:r>
      <w:r w:rsidRPr="00F07471">
        <w:rPr>
          <w:rFonts w:hint="cs" w:ascii="Arial" w:hAnsi="Arial"/>
          <w:rtl/>
        </w:rPr>
        <w:t xml:space="preserve">כי על דרך הכלל, בתי משפט יאפשרו לנאשם לחזור מהודאה </w:t>
      </w:r>
      <w:r w:rsidR="005B1C34">
        <w:rPr>
          <w:rFonts w:hint="cs" w:ascii="Arial" w:hAnsi="Arial"/>
          <w:rtl/>
        </w:rPr>
        <w:t xml:space="preserve">רק </w:t>
      </w:r>
      <w:r w:rsidRPr="00F07471">
        <w:rPr>
          <w:rFonts w:hint="cs" w:ascii="Arial" w:hAnsi="Arial"/>
          <w:rtl/>
        </w:rPr>
        <w:t>במקרים חריגים, רק כאשר התרשמו כי הודאה זו של הנאשם נמסרה בניגוד לרצונו האמיתי, ובניגוד לאמונתו בחפותו.</w:t>
      </w:r>
      <w:r w:rsidRPr="00F07471">
        <w:rPr>
          <w:rFonts w:ascii="Arial" w:hAnsi="Arial"/>
          <w:rtl/>
        </w:rPr>
        <w:tab/>
      </w:r>
      <w:r w:rsidR="005B1C34">
        <w:rPr>
          <w:rFonts w:hint="cs" w:ascii="Arial" w:hAnsi="Arial"/>
          <w:rtl/>
        </w:rPr>
        <w:t xml:space="preserve"> </w:t>
      </w:r>
      <w:r>
        <w:rPr>
          <w:rFonts w:ascii="Arial" w:hAnsi="Arial"/>
          <w:rtl/>
        </w:rPr>
        <w:t>בה</w:t>
      </w:r>
      <w:r w:rsidRPr="00F07471">
        <w:rPr>
          <w:rFonts w:ascii="Arial" w:hAnsi="Arial"/>
          <w:rtl/>
        </w:rPr>
        <w:t>עדר פגם או פסול בהודיה שניתנה במסגרת הסדר טיעון</w:t>
      </w:r>
      <w:r>
        <w:rPr>
          <w:rFonts w:hint="cs" w:ascii="Arial" w:hAnsi="Arial"/>
          <w:rtl/>
        </w:rPr>
        <w:t>,</w:t>
      </w:r>
      <w:r w:rsidRPr="00F07471">
        <w:rPr>
          <w:rFonts w:ascii="Arial" w:hAnsi="Arial"/>
          <w:rtl/>
        </w:rPr>
        <w:t xml:space="preserve"> ירשיע בית-המשפט את הנאשם על-פי הודייתו ויגזור את עונש</w:t>
      </w:r>
      <w:r w:rsidRPr="00F07471">
        <w:rPr>
          <w:rFonts w:hint="cs" w:ascii="Arial" w:hAnsi="Arial"/>
          <w:rtl/>
        </w:rPr>
        <w:t>ו.</w:t>
      </w:r>
    </w:p>
    <w:p w:rsidR="00060422" w:rsidP="005B1C34" w:rsidRDefault="00D46A49">
      <w:pPr>
        <w:pStyle w:val="aa"/>
        <w:numPr>
          <w:ilvl w:val="0"/>
          <w:numId w:val="3"/>
        </w:numPr>
        <w:spacing w:before="120" w:line="400" w:lineRule="atLeast"/>
        <w:contextualSpacing w:val="0"/>
        <w:jc w:val="both"/>
      </w:pPr>
      <w:r>
        <w:rPr>
          <w:rFonts w:hint="cs" w:ascii="Arial" w:hAnsi="Arial"/>
          <w:rtl/>
        </w:rPr>
        <w:t xml:space="preserve">בעניין שיר (מ"ח 5926/15 </w:t>
      </w:r>
      <w:r>
        <w:rPr>
          <w:rFonts w:hint="cs" w:ascii="Arial" w:hAnsi="Arial"/>
          <w:b/>
          <w:bCs/>
          <w:rtl/>
        </w:rPr>
        <w:t>יאיר בן שלמה שיר נ' מדינת ישראל</w:t>
      </w:r>
      <w:r>
        <w:rPr>
          <w:rFonts w:hint="cs" w:ascii="Arial" w:hAnsi="Arial"/>
          <w:rtl/>
        </w:rPr>
        <w:t xml:space="preserve">, (10/12/2015)), ציין בית המשפט כי הדגש המרכזי מושם בראש וראשונה על שאלת רצונו החופשי של הנאשם בשעת ההודיה, ומידת הבנתו את משמעות החלטתו. </w:t>
      </w:r>
      <w:r w:rsidR="005B1C34">
        <w:rPr>
          <w:rFonts w:hint="cs" w:ascii="Arial" w:hAnsi="Arial"/>
          <w:rtl/>
        </w:rPr>
        <w:t>בית המשפט הדגיש</w:t>
      </w:r>
      <w:r>
        <w:rPr>
          <w:rFonts w:hint="cs" w:ascii="Arial" w:hAnsi="Arial"/>
          <w:rtl/>
        </w:rPr>
        <w:t xml:space="preserve"> כי ההליך הפלילי אינו </w:t>
      </w:r>
      <w:r>
        <w:rPr>
          <w:rFonts w:hint="cs" w:ascii="Arial" w:hAnsi="Arial"/>
          <w:rtl/>
        </w:rPr>
        <w:lastRenderedPageBreak/>
        <w:t xml:space="preserve">'תכנית כבקשתך' ואין לאפשר </w:t>
      </w:r>
      <w:r w:rsidR="005B1C34">
        <w:rPr>
          <w:rFonts w:hint="cs" w:ascii="Arial" w:hAnsi="Arial"/>
          <w:rtl/>
        </w:rPr>
        <w:t xml:space="preserve">לנאשם לתעתע בבתי המשפט ובתביעה. </w:t>
      </w:r>
      <w:r>
        <w:rPr>
          <w:rFonts w:hint="cs" w:ascii="Arial" w:hAnsi="Arial"/>
          <w:rtl/>
        </w:rPr>
        <w:t>עם זאת, יש מקום לבדוק כראוי את 'אותות האמת' של החזרה מהודיה, שמא יש בה ממש (שם, פסקה יג' לפסה"ד).</w:t>
      </w:r>
      <w:r>
        <w:rPr>
          <w:rFonts w:hint="cs" w:ascii="Arial" w:hAnsi="Arial"/>
          <w:rtl/>
        </w:rPr>
        <w:tab/>
      </w:r>
      <w:r>
        <w:rPr>
          <w:rFonts w:hint="cs" w:ascii="Arial" w:hAnsi="Arial"/>
          <w:rtl/>
        </w:rPr>
        <w:br/>
        <w:t xml:space="preserve">בעניין עסאלה (ע"פ 3161/17 </w:t>
      </w:r>
      <w:r>
        <w:rPr>
          <w:rFonts w:hint="cs" w:ascii="Arial" w:hAnsi="Arial"/>
          <w:b/>
          <w:bCs/>
          <w:rtl/>
        </w:rPr>
        <w:t>האדי עסאלה נ' מדינת ישראל</w:t>
      </w:r>
      <w:r>
        <w:rPr>
          <w:rFonts w:hint="cs" w:ascii="Arial" w:hAnsi="Arial"/>
          <w:rtl/>
        </w:rPr>
        <w:t>, (23/05/2017)), סוכמה לאחרונה ההלכה במילים הבאות: "</w:t>
      </w:r>
      <w:r>
        <w:rPr>
          <w:rFonts w:hint="cs" w:ascii="Arial" w:hAnsi="Arial"/>
          <w:b/>
          <w:bCs/>
          <w:rtl/>
        </w:rPr>
        <w:t>כידוע, חזרה מהודיה תאושר בנסיבות חריגות, מקום בו מתעורר חשש ממשי, כי נפל פסול בהודית הנאשם, פסול הנובע מפגם ברצונו החופשי או בהבנתו את משמעות ההודיה, או כאשר ההודיה הושגה שלא כדין, באופן המצדיק את פסילתה</w:t>
      </w:r>
      <w:r>
        <w:rPr>
          <w:rFonts w:hint="cs" w:ascii="Arial" w:hAnsi="Arial"/>
          <w:rtl/>
        </w:rPr>
        <w:t>..." (שם, פסקה 10 להחלטה, והפסיקה המאוזכרת).</w:t>
      </w:r>
      <w:r>
        <w:rPr>
          <w:rFonts w:hint="cs" w:ascii="Arial" w:hAnsi="Arial"/>
          <w:rtl/>
        </w:rPr>
        <w:tab/>
      </w:r>
      <w:r>
        <w:rPr>
          <w:rFonts w:hint="cs" w:ascii="Arial" w:hAnsi="Arial"/>
          <w:rtl/>
        </w:rPr>
        <w:br/>
      </w:r>
      <w:r>
        <w:rPr>
          <w:rFonts w:hint="cs"/>
          <w:rtl/>
        </w:rPr>
        <w:t xml:space="preserve">בעניין אבו ראס (ע"פ 8462/15 </w:t>
      </w:r>
      <w:r>
        <w:rPr>
          <w:rFonts w:hint="cs"/>
          <w:b/>
          <w:bCs/>
          <w:rtl/>
        </w:rPr>
        <w:t>מוחמד אבו ראס נ' מדינת ישראל</w:t>
      </w:r>
      <w:r>
        <w:rPr>
          <w:rFonts w:hint="cs"/>
          <w:rtl/>
        </w:rPr>
        <w:t>, (30/11/2016)), לא התאפשרה חזרה מההודיה, כאשר נקבע כי בית המשפט המוצא כי בתסקיר שירות המבחן עולה הכחשה לגבי האחריות לעבירה, אשר עומדת בניגוד להסדר הטיעון אליו הגיעו הצדדים, ראוי כי יידרש לכך, ויעמיד את הנאשם המודה, או המבקש לחזור בו על נפקות הדברים לכאן, או לכאן. ואולם לא בכל מקרה בו נמנע בית המשפט מעשות כן - יגרום הדבר לביטול ההודיה. הדבר תלוי בנסיבות, ובהן במיוחד לוח הזמנים וההתרחשויות הקונקרטיות (שם, פסקה 31 לפסה"ד). בית המשפט הדגיש שם, כי היה מקום לשקול באהדה בקשה לחזור מהודיה – אם משתכנע בית המשפט, כי יש ממש בטענות בדבר ה"לחץ" בו היה הנאשם נתון ואי-הבנתו את מהות ההודיה. ואולם נראה כי החלטתו לבקש לחזור בו מהודייתו, מקורה בכך שלאחר מעשה סבר כי עשה מקח טעות (שם, פסקה 33 לפסה"ד).</w:t>
      </w:r>
      <w:r>
        <w:rPr>
          <w:rFonts w:hint="cs"/>
          <w:rtl/>
        </w:rPr>
        <w:tab/>
      </w:r>
      <w:r>
        <w:rPr>
          <w:rFonts w:hint="cs"/>
          <w:rtl/>
        </w:rPr>
        <w:br/>
        <w:t>ובעניין פלוני (</w:t>
      </w:r>
      <w:r>
        <w:rPr>
          <w:rFonts w:hint="cs" w:ascii="Arial" w:hAnsi="Arial"/>
          <w:rtl/>
        </w:rPr>
        <w:t xml:space="preserve">ע"פ 5864/10 </w:t>
      </w:r>
      <w:r>
        <w:rPr>
          <w:rFonts w:hint="cs" w:ascii="Arial" w:hAnsi="Arial"/>
          <w:b/>
          <w:bCs/>
          <w:rtl/>
        </w:rPr>
        <w:t>פלוני נ' מדינת ישראל</w:t>
      </w:r>
      <w:r>
        <w:rPr>
          <w:rFonts w:hint="cs" w:ascii="Arial" w:hAnsi="Arial"/>
          <w:rtl/>
        </w:rPr>
        <w:t>, (07/02/2011)), נטען שוב, כי העובדה שהנאשם הודה רק באופן חלקי בפני קצין המבחן, איננה מצדיקה כשלעצמה חזרה מהודייה. הודיה חלקית כזו אופיינית למקרים של נאשמים לא מעטים המוסרים לשירות המבחן או למעריך המסוכנות או לגורמים אחרים גרסה הנמצאת "קרוב" לאירועים אך שונה מהם. זהו אינו אחד מאותם מקרים נדירים בהם תתאפשר חזרה מהודיה</w:t>
      </w:r>
      <w:r>
        <w:rPr>
          <w:rFonts w:hint="cs"/>
          <w:rtl/>
        </w:rPr>
        <w:t xml:space="preserve"> (שם, פסקה 12 לפסה"ד).</w:t>
      </w:r>
    </w:p>
    <w:p w:rsidRPr="00DF255D" w:rsidR="00D34CB6" w:rsidP="00B51754" w:rsidRDefault="00DF255D">
      <w:pPr>
        <w:pStyle w:val="aa"/>
        <w:numPr>
          <w:ilvl w:val="0"/>
          <w:numId w:val="3"/>
        </w:numPr>
        <w:spacing w:before="120" w:line="400" w:lineRule="atLeast"/>
        <w:contextualSpacing w:val="0"/>
        <w:jc w:val="both"/>
        <w:rPr>
          <w:rFonts w:ascii="Arial" w:hAnsi="Arial"/>
        </w:rPr>
      </w:pPr>
      <w:r w:rsidRPr="00DF255D">
        <w:rPr>
          <w:rFonts w:hint="cs"/>
          <w:b/>
          <w:bCs/>
          <w:rtl/>
        </w:rPr>
        <w:t>מן הכלל אל הפרט</w:t>
      </w:r>
      <w:r w:rsidRPr="00DF255D">
        <w:rPr>
          <w:rFonts w:hint="cs"/>
          <w:b/>
          <w:bCs/>
          <w:rtl/>
        </w:rPr>
        <w:tab/>
      </w:r>
      <w:r w:rsidRPr="00DF255D">
        <w:rPr>
          <w:b/>
          <w:bCs/>
          <w:rtl/>
        </w:rPr>
        <w:br/>
      </w:r>
      <w:r>
        <w:rPr>
          <w:rFonts w:hint="cs" w:ascii="Arial" w:hAnsi="Arial"/>
          <w:rtl/>
        </w:rPr>
        <w:t>ל</w:t>
      </w:r>
      <w:r w:rsidRPr="00DF255D" w:rsidR="00D34CB6">
        <w:rPr>
          <w:rFonts w:hint="cs" w:ascii="Arial" w:hAnsi="Arial"/>
          <w:rtl/>
        </w:rPr>
        <w:t xml:space="preserve">אחר שעיינתי בטענות הצדדים, בפרוטוקולים ובתסקיר שירות המבחן ובהתאם להלכה ולפסיקה, לא מצאתי </w:t>
      </w:r>
      <w:r>
        <w:rPr>
          <w:rFonts w:hint="cs" w:ascii="Arial" w:hAnsi="Arial"/>
          <w:rtl/>
        </w:rPr>
        <w:t xml:space="preserve">כי בענייננו קיימים נימוקים כבדי משקל המצדיקים </w:t>
      </w:r>
      <w:r w:rsidRPr="00DF255D" w:rsidR="00D34CB6">
        <w:rPr>
          <w:rFonts w:hint="cs" w:ascii="Arial" w:hAnsi="Arial"/>
          <w:rtl/>
        </w:rPr>
        <w:t>לאפשר לנאשם לחזור בו מהודאתו.</w:t>
      </w:r>
    </w:p>
    <w:p w:rsidR="0085221C" w:rsidP="00295F84" w:rsidRDefault="00646D82">
      <w:pPr>
        <w:pStyle w:val="aa"/>
        <w:numPr>
          <w:ilvl w:val="0"/>
          <w:numId w:val="3"/>
        </w:numPr>
        <w:spacing w:before="120" w:line="400" w:lineRule="atLeast"/>
        <w:contextualSpacing w:val="0"/>
        <w:jc w:val="both"/>
        <w:rPr>
          <w:rFonts w:ascii="Arial" w:hAnsi="Arial"/>
        </w:rPr>
      </w:pPr>
      <w:r w:rsidRPr="008A2BB8">
        <w:rPr>
          <w:rFonts w:hint="cs" w:ascii="Arial" w:hAnsi="Arial"/>
          <w:b/>
          <w:bCs/>
          <w:rtl/>
        </w:rPr>
        <w:lastRenderedPageBreak/>
        <w:t>ראשית</w:t>
      </w:r>
      <w:r>
        <w:rPr>
          <w:rFonts w:hint="cs" w:ascii="Arial" w:hAnsi="Arial"/>
          <w:rtl/>
        </w:rPr>
        <w:t xml:space="preserve">, לא אוכל לקבל </w:t>
      </w:r>
      <w:r w:rsidR="0085221C">
        <w:rPr>
          <w:rFonts w:hint="cs" w:ascii="Arial" w:hAnsi="Arial"/>
          <w:rtl/>
        </w:rPr>
        <w:t xml:space="preserve">את </w:t>
      </w:r>
      <w:r w:rsidR="00295F84">
        <w:rPr>
          <w:rFonts w:hint="cs" w:ascii="Arial" w:hAnsi="Arial"/>
          <w:rtl/>
        </w:rPr>
        <w:t>טענתו של הנאשם כי הודיי</w:t>
      </w:r>
      <w:r>
        <w:rPr>
          <w:rFonts w:hint="cs" w:ascii="Arial" w:hAnsi="Arial"/>
          <w:rtl/>
        </w:rPr>
        <w:t>תו נע</w:t>
      </w:r>
      <w:r w:rsidR="00DF255D">
        <w:rPr>
          <w:rFonts w:hint="cs" w:ascii="Arial" w:hAnsi="Arial"/>
          <w:rtl/>
        </w:rPr>
        <w:t xml:space="preserve">שתה מתוך לחץ ולא מתוך שיקול דעת. </w:t>
      </w:r>
      <w:r w:rsidR="0085221C">
        <w:rPr>
          <w:rFonts w:hint="cs" w:ascii="Arial" w:hAnsi="Arial"/>
          <w:rtl/>
        </w:rPr>
        <w:t xml:space="preserve">במהלך הדיון ביום 9.5.17, </w:t>
      </w:r>
      <w:r w:rsidR="00295F84">
        <w:rPr>
          <w:rFonts w:hint="cs" w:ascii="Arial" w:hAnsi="Arial"/>
          <w:rtl/>
        </w:rPr>
        <w:t>נשמעו ההוכחות</w:t>
      </w:r>
      <w:r w:rsidR="00DF255D">
        <w:rPr>
          <w:rFonts w:hint="cs" w:ascii="Arial" w:hAnsi="Arial"/>
          <w:rtl/>
        </w:rPr>
        <w:t xml:space="preserve">. </w:t>
      </w:r>
      <w:r w:rsidR="00295F84">
        <w:rPr>
          <w:rFonts w:hint="cs" w:ascii="Arial" w:hAnsi="Arial"/>
          <w:rtl/>
        </w:rPr>
        <w:t xml:space="preserve">אין מדובר בהודייה קצרה או "חטופה" במסגרת יום עמוס של מענים לכתבי אישום. מדובר היה בתום פרשת התביעה. </w:t>
      </w:r>
      <w:r w:rsidR="00DF255D">
        <w:rPr>
          <w:rFonts w:hint="cs" w:ascii="Arial" w:hAnsi="Arial"/>
          <w:rtl/>
        </w:rPr>
        <w:t>בית המשפט היה נכון לשמוע באותה עת את פרשת ההגנה. בעקבות דברי אמה של המתלוננת ממש בתום עדותה, כי אין להחמיר עימו, נאותה המאשימה</w:t>
      </w:r>
      <w:r>
        <w:rPr>
          <w:rFonts w:hint="cs" w:ascii="Arial" w:hAnsi="Arial"/>
          <w:rtl/>
        </w:rPr>
        <w:t xml:space="preserve"> </w:t>
      </w:r>
      <w:r w:rsidR="00DF255D">
        <w:rPr>
          <w:rFonts w:hint="cs" w:ascii="Arial" w:hAnsi="Arial"/>
          <w:rtl/>
        </w:rPr>
        <w:t xml:space="preserve">לתיקון כתב האישום. הצדדים שוחחו ארוכות עד שהודיעו על ההסדר. הנשאם היה מיוצג. דווקא בגלל שמדובר היה במהלך שמיעת הוכחות - בית המשפט בירר עם הנאשם היטב את משמעות הודייתו, וההרשעה ניתנה רק לאחר </w:t>
      </w:r>
      <w:r w:rsidR="0085221C">
        <w:rPr>
          <w:rFonts w:hint="cs" w:ascii="Arial" w:hAnsi="Arial"/>
          <w:rtl/>
        </w:rPr>
        <w:t>שבית המשפט השתכנע ש</w:t>
      </w:r>
      <w:r>
        <w:rPr>
          <w:rFonts w:hint="cs" w:ascii="Arial" w:hAnsi="Arial"/>
          <w:rtl/>
        </w:rPr>
        <w:t xml:space="preserve">הנאשם הבין </w:t>
      </w:r>
      <w:r w:rsidR="0085221C">
        <w:rPr>
          <w:rFonts w:hint="cs" w:ascii="Arial" w:hAnsi="Arial"/>
          <w:rtl/>
        </w:rPr>
        <w:t xml:space="preserve">את המשמעות של </w:t>
      </w:r>
      <w:r w:rsidR="00C9196F">
        <w:rPr>
          <w:rFonts w:hint="cs" w:ascii="Arial" w:hAnsi="Arial"/>
          <w:rtl/>
        </w:rPr>
        <w:t>הסדר הטיעון</w:t>
      </w:r>
      <w:r w:rsidR="0085221C">
        <w:rPr>
          <w:rFonts w:hint="cs" w:ascii="Arial" w:hAnsi="Arial"/>
          <w:rtl/>
        </w:rPr>
        <w:t>.</w:t>
      </w:r>
    </w:p>
    <w:p w:rsidR="00295F84" w:rsidP="0085221C" w:rsidRDefault="0085221C">
      <w:pPr>
        <w:pStyle w:val="aa"/>
        <w:numPr>
          <w:ilvl w:val="0"/>
          <w:numId w:val="3"/>
        </w:numPr>
        <w:spacing w:before="120" w:line="400" w:lineRule="atLeast"/>
        <w:contextualSpacing w:val="0"/>
        <w:jc w:val="both"/>
        <w:rPr>
          <w:rFonts w:ascii="Arial" w:hAnsi="Arial"/>
        </w:rPr>
      </w:pPr>
      <w:r w:rsidRPr="0085221C">
        <w:rPr>
          <w:rFonts w:hint="cs" w:ascii="Arial" w:hAnsi="Arial"/>
          <w:b/>
          <w:bCs/>
          <w:rtl/>
        </w:rPr>
        <w:t>שנית</w:t>
      </w:r>
      <w:r>
        <w:rPr>
          <w:rFonts w:hint="cs" w:ascii="Arial" w:hAnsi="Arial"/>
          <w:rtl/>
        </w:rPr>
        <w:t>,</w:t>
      </w:r>
      <w:r w:rsidR="00C9196F">
        <w:rPr>
          <w:rFonts w:hint="cs" w:ascii="Arial" w:hAnsi="Arial"/>
          <w:rtl/>
        </w:rPr>
        <w:t xml:space="preserve"> </w:t>
      </w:r>
      <w:r w:rsidR="00295F84">
        <w:rPr>
          <w:rFonts w:hint="cs" w:ascii="Arial" w:hAnsi="Arial"/>
          <w:rtl/>
        </w:rPr>
        <w:t xml:space="preserve">ההודייה בתיק הנוסף ביום 22.1.18 מקשה על טיעוני הנאשם. שמונה חודשים חלפו מאז ההודייה בתיק הראשון וההרשעה. הנאשם לא העלה כל טענה נגד הודייתו. בדיון זה הוא נשאל במפורש אם הוא מבקש לצרף את התיק הנוסף. הנאשם הצהיר כי הוא מעוניים בצירוף התיק הנוסף, ומודה בכתב האישום בו כמות שהוא. </w:t>
      </w:r>
    </w:p>
    <w:p w:rsidR="00F91402" w:rsidP="0094021E" w:rsidRDefault="00F91402">
      <w:pPr>
        <w:pStyle w:val="aa"/>
        <w:numPr>
          <w:ilvl w:val="0"/>
          <w:numId w:val="3"/>
        </w:numPr>
        <w:spacing w:before="120" w:line="400" w:lineRule="atLeast"/>
        <w:contextualSpacing w:val="0"/>
        <w:jc w:val="both"/>
        <w:rPr>
          <w:rFonts w:ascii="Arial" w:hAnsi="Arial"/>
        </w:rPr>
      </w:pPr>
      <w:r w:rsidRPr="0094021E">
        <w:rPr>
          <w:rFonts w:hint="cs" w:ascii="Arial" w:hAnsi="Arial"/>
          <w:b/>
          <w:bCs/>
          <w:rtl/>
        </w:rPr>
        <w:t>ש</w:t>
      </w:r>
      <w:r w:rsidR="0094021E">
        <w:rPr>
          <w:rFonts w:hint="cs" w:ascii="Arial" w:hAnsi="Arial"/>
          <w:b/>
          <w:bCs/>
          <w:rtl/>
        </w:rPr>
        <w:t>ליש</w:t>
      </w:r>
      <w:r w:rsidRPr="0094021E">
        <w:rPr>
          <w:rFonts w:hint="cs" w:ascii="Arial" w:hAnsi="Arial"/>
          <w:b/>
          <w:bCs/>
          <w:rtl/>
        </w:rPr>
        <w:t>ית</w:t>
      </w:r>
      <w:r w:rsidRPr="0094021E">
        <w:rPr>
          <w:rFonts w:hint="cs" w:ascii="Arial" w:hAnsi="Arial"/>
          <w:rtl/>
        </w:rPr>
        <w:t>, העיתוי בו פונה הנאשם לבית המשפט מעורר תהיות</w:t>
      </w:r>
      <w:r w:rsidR="0094021E">
        <w:rPr>
          <w:rFonts w:hint="cs" w:ascii="Arial" w:hAnsi="Arial"/>
          <w:rtl/>
        </w:rPr>
        <w:t xml:space="preserve">. </w:t>
      </w:r>
      <w:r w:rsidRPr="0094021E">
        <w:rPr>
          <w:rFonts w:hint="cs" w:ascii="Arial" w:hAnsi="Arial"/>
          <w:rtl/>
        </w:rPr>
        <w:t xml:space="preserve">הנאשם </w:t>
      </w:r>
      <w:r w:rsidR="0094021E">
        <w:rPr>
          <w:rFonts w:hint="cs" w:ascii="Arial" w:hAnsi="Arial"/>
          <w:rtl/>
        </w:rPr>
        <w:t xml:space="preserve">לא פנה בבקשה לחזור מהודייה, שמונה חודשים תמימים. הנאשם שמע בדיון ביום 22.1.18 טיעונים לעונש הן של המאשימה והם של הסניגוריה, ולא קם לזעוק לחפותו, נהפוך הוא, הוא ביקש לצרף תיק נוסף, והודה גם בו. </w:t>
      </w:r>
      <w:r w:rsidR="004D3D49">
        <w:rPr>
          <w:rFonts w:ascii="Arial" w:hAnsi="Arial"/>
          <w:rtl/>
        </w:rPr>
        <w:tab/>
      </w:r>
      <w:r w:rsidR="004D3D49">
        <w:rPr>
          <w:rFonts w:ascii="Arial" w:hAnsi="Arial"/>
          <w:rtl/>
        </w:rPr>
        <w:br/>
      </w:r>
      <w:r w:rsidR="0094021E">
        <w:rPr>
          <w:rFonts w:hint="cs" w:ascii="Arial" w:hAnsi="Arial"/>
          <w:rtl/>
        </w:rPr>
        <w:t>נכון הוא, שטרם הושלמו הטיעונים לעונש. ואולם, הנאשם הבין במהלך הטיעון לעונש את עמדתה המחמירה של המאשימה (זאת עוד בטרם צורף התיק הנוסף!). הוא הבין כי בית המשפט מבקש לקבל גם חוות דעת של הממונה על עבודות השירות. בנסיבות אלה, העיתוי המאוחר, באופן יחסי, של הבקשה, מקשה על קבלתה.</w:t>
      </w:r>
    </w:p>
    <w:p w:rsidRPr="004D3D49" w:rsidR="002C56CA" w:rsidP="004D3D49" w:rsidRDefault="0094021E">
      <w:pPr>
        <w:pStyle w:val="aa"/>
        <w:numPr>
          <w:ilvl w:val="0"/>
          <w:numId w:val="3"/>
        </w:numPr>
        <w:spacing w:before="120" w:line="400" w:lineRule="atLeast"/>
        <w:contextualSpacing w:val="0"/>
        <w:jc w:val="both"/>
        <w:rPr>
          <w:rFonts w:ascii="Arial" w:hAnsi="Arial"/>
          <w:rtl/>
        </w:rPr>
      </w:pPr>
      <w:r w:rsidRPr="004D3D49">
        <w:rPr>
          <w:rFonts w:hint="cs" w:ascii="Arial" w:hAnsi="Arial"/>
          <w:b/>
          <w:bCs/>
          <w:rtl/>
        </w:rPr>
        <w:t>רביע</w:t>
      </w:r>
      <w:r w:rsidRPr="004D3D49" w:rsidR="00C0418F">
        <w:rPr>
          <w:rFonts w:hint="cs" w:ascii="Arial" w:hAnsi="Arial"/>
          <w:b/>
          <w:bCs/>
          <w:rtl/>
        </w:rPr>
        <w:t>ית</w:t>
      </w:r>
      <w:r w:rsidRPr="004D3D49">
        <w:rPr>
          <w:rFonts w:hint="cs" w:ascii="Arial" w:hAnsi="Arial"/>
          <w:rtl/>
        </w:rPr>
        <w:t>, מתסקיר שירות המבחן ע</w:t>
      </w:r>
      <w:r w:rsidRPr="004D3D49" w:rsidR="00C0418F">
        <w:rPr>
          <w:rFonts w:hint="cs" w:ascii="Arial" w:hAnsi="Arial"/>
          <w:rtl/>
        </w:rPr>
        <w:t>לה כי הנאשם מצמצם מחלקים מהותיים המיוחסים לו בכתבי האישום</w:t>
      </w:r>
      <w:r w:rsidRPr="004D3D49">
        <w:rPr>
          <w:rFonts w:hint="cs" w:ascii="Arial" w:hAnsi="Arial"/>
          <w:rtl/>
        </w:rPr>
        <w:t>,</w:t>
      </w:r>
      <w:r w:rsidRPr="004D3D49" w:rsidR="00C0418F">
        <w:rPr>
          <w:rFonts w:hint="cs" w:ascii="Arial" w:hAnsi="Arial"/>
          <w:rtl/>
        </w:rPr>
        <w:t xml:space="preserve"> </w:t>
      </w:r>
      <w:r w:rsidRPr="004D3D49" w:rsidR="002C56CA">
        <w:rPr>
          <w:rFonts w:hint="cs" w:ascii="Arial" w:hAnsi="Arial"/>
          <w:rtl/>
        </w:rPr>
        <w:t xml:space="preserve">אך </w:t>
      </w:r>
      <w:r w:rsidRPr="004D3D49">
        <w:rPr>
          <w:rFonts w:hint="cs" w:ascii="Arial" w:hAnsi="Arial"/>
          <w:rtl/>
        </w:rPr>
        <w:t xml:space="preserve">עם זאת </w:t>
      </w:r>
      <w:r w:rsidRPr="004D3D49" w:rsidR="002C56CA">
        <w:rPr>
          <w:rFonts w:hint="cs" w:ascii="Arial" w:hAnsi="Arial"/>
          <w:rtl/>
        </w:rPr>
        <w:t xml:space="preserve">הביע חרטה מסוימת לאופן בו פעל. </w:t>
      </w:r>
      <w:r w:rsidRPr="004D3D49">
        <w:rPr>
          <w:rFonts w:hint="cs" w:ascii="Arial" w:hAnsi="Arial"/>
          <w:rtl/>
        </w:rPr>
        <w:t>שירות המבחן נמנע מהמלצה על ביטול ההרשעה</w:t>
      </w:r>
      <w:r w:rsidRPr="004D3D49" w:rsidR="002C56CA">
        <w:rPr>
          <w:rFonts w:hint="cs" w:ascii="Arial" w:hAnsi="Arial"/>
          <w:rtl/>
        </w:rPr>
        <w:t>.</w:t>
      </w:r>
      <w:r w:rsidRPr="004D3D49">
        <w:rPr>
          <w:rFonts w:hint="cs" w:ascii="Arial" w:hAnsi="Arial"/>
          <w:rtl/>
        </w:rPr>
        <w:t xml:space="preserve"> בעניין </w:t>
      </w:r>
      <w:r w:rsidRPr="004D3D49" w:rsidR="004D3D49">
        <w:rPr>
          <w:rFonts w:hint="cs" w:ascii="Arial" w:hAnsi="Arial"/>
          <w:rtl/>
        </w:rPr>
        <w:t>זה, התנהלות הנאשם</w:t>
      </w:r>
      <w:r w:rsidR="004D3D49">
        <w:rPr>
          <w:rFonts w:hint="cs" w:ascii="Arial" w:hAnsi="Arial"/>
          <w:rtl/>
        </w:rPr>
        <w:t xml:space="preserve"> לכל אורל הדרך, מעלה</w:t>
      </w:r>
      <w:r w:rsidRPr="004D3D49" w:rsidR="004D3D49">
        <w:rPr>
          <w:rFonts w:hint="cs" w:ascii="Arial" w:hAnsi="Arial"/>
          <w:rtl/>
        </w:rPr>
        <w:t xml:space="preserve"> חשיבות רבה לשאלת הרשעתו. </w:t>
      </w:r>
      <w:r w:rsidR="004D3D49">
        <w:rPr>
          <w:rFonts w:hint="cs" w:ascii="Arial" w:hAnsi="Arial"/>
          <w:rtl/>
        </w:rPr>
        <w:t xml:space="preserve">במסגרת </w:t>
      </w:r>
      <w:r w:rsidRPr="004D3D49" w:rsidR="004D3D49">
        <w:rPr>
          <w:rFonts w:hint="cs" w:ascii="Arial" w:hAnsi="Arial"/>
          <w:rtl/>
        </w:rPr>
        <w:t xml:space="preserve">הסדר הטיעון </w:t>
      </w:r>
      <w:r w:rsidR="004D3D49">
        <w:rPr>
          <w:rFonts w:hint="cs" w:ascii="Arial" w:hAnsi="Arial"/>
          <w:rtl/>
        </w:rPr>
        <w:t xml:space="preserve">עתר הנאשם כי </w:t>
      </w:r>
      <w:r w:rsidRPr="004D3D49" w:rsidR="004D3D49">
        <w:rPr>
          <w:rFonts w:hint="cs" w:ascii="Arial" w:hAnsi="Arial"/>
          <w:rtl/>
        </w:rPr>
        <w:t>שירות המבחן יבחן גם את שאלת ההרשעה</w:t>
      </w:r>
      <w:r w:rsidR="004D3D49">
        <w:rPr>
          <w:rFonts w:hint="cs" w:ascii="Arial" w:hAnsi="Arial"/>
          <w:rtl/>
        </w:rPr>
        <w:t xml:space="preserve">. </w:t>
      </w:r>
      <w:r w:rsidRPr="004D3D49" w:rsidR="004D3D49">
        <w:rPr>
          <w:rFonts w:hint="cs" w:ascii="Arial" w:hAnsi="Arial"/>
          <w:rtl/>
        </w:rPr>
        <w:t>הנאשם הודה כי: "</w:t>
      </w:r>
      <w:r w:rsidRPr="004D3D49" w:rsidR="004D3D49">
        <w:rPr>
          <w:rFonts w:hint="cs" w:ascii="Arial" w:hAnsi="Arial"/>
          <w:b/>
          <w:bCs/>
          <w:rtl/>
        </w:rPr>
        <w:t>נפתח דף חדש בחיים שלי וראיתי בתסקיר שהם לא ממליצים לבטל את ההרשעה</w:t>
      </w:r>
      <w:r w:rsidRPr="004D3D49" w:rsidR="004D3D49">
        <w:rPr>
          <w:rFonts w:hint="cs" w:ascii="Arial" w:hAnsi="Arial"/>
          <w:rtl/>
        </w:rPr>
        <w:t>" (ע' 40 ש' 24-25 לפרוט'). נכון שהנאשם הוסיף כי איננו מבקש לחזור בו מההרשעה בגלל העדר המלצה זו, אולם הדברים מדברים בעד עצמם.</w:t>
      </w:r>
      <w:r w:rsidRPr="004D3D49" w:rsidR="006312EA">
        <w:rPr>
          <w:rFonts w:hint="cs" w:ascii="Arial" w:hAnsi="Arial"/>
          <w:rtl/>
        </w:rPr>
        <w:t xml:space="preserve"> </w:t>
      </w:r>
    </w:p>
    <w:p w:rsidRPr="00F82E7B" w:rsidR="002C56CA" w:rsidP="002327BD" w:rsidRDefault="008F50A9">
      <w:pPr>
        <w:pStyle w:val="aa"/>
        <w:numPr>
          <w:ilvl w:val="0"/>
          <w:numId w:val="3"/>
        </w:numPr>
        <w:spacing w:before="120" w:line="400" w:lineRule="atLeast"/>
        <w:contextualSpacing w:val="0"/>
        <w:jc w:val="both"/>
        <w:rPr>
          <w:rFonts w:ascii="Arial" w:hAnsi="Arial"/>
        </w:rPr>
      </w:pPr>
      <w:r>
        <w:rPr>
          <w:rFonts w:hint="cs" w:ascii="Arial" w:hAnsi="Arial"/>
          <w:rtl/>
        </w:rPr>
        <w:lastRenderedPageBreak/>
        <w:t>ל</w:t>
      </w:r>
      <w:r w:rsidR="004D3D49">
        <w:rPr>
          <w:rFonts w:hint="cs" w:ascii="Arial" w:hAnsi="Arial"/>
          <w:rtl/>
        </w:rPr>
        <w:t>נוכח</w:t>
      </w:r>
      <w:r>
        <w:rPr>
          <w:rFonts w:hint="cs" w:ascii="Arial" w:hAnsi="Arial"/>
          <w:rtl/>
        </w:rPr>
        <w:t xml:space="preserve"> כל האמור</w:t>
      </w:r>
      <w:r w:rsidR="00295F84">
        <w:rPr>
          <w:rFonts w:hint="cs" w:ascii="Arial" w:hAnsi="Arial"/>
          <w:rtl/>
        </w:rPr>
        <w:t xml:space="preserve"> לעיל, </w:t>
      </w:r>
      <w:r w:rsidR="004D3D49">
        <w:rPr>
          <w:rFonts w:hint="cs" w:ascii="Arial" w:hAnsi="Arial"/>
          <w:rtl/>
        </w:rPr>
        <w:t>שוכנע בית המשפט</w:t>
      </w:r>
      <w:r w:rsidR="00295F84">
        <w:rPr>
          <w:rFonts w:hint="cs" w:ascii="Arial" w:hAnsi="Arial"/>
          <w:rtl/>
        </w:rPr>
        <w:t xml:space="preserve"> כי הודיי</w:t>
      </w:r>
      <w:r w:rsidR="004D3D49">
        <w:rPr>
          <w:rFonts w:hint="cs" w:ascii="Arial" w:hAnsi="Arial"/>
          <w:rtl/>
        </w:rPr>
        <w:t>ת הנאש</w:t>
      </w:r>
      <w:r w:rsidR="002327BD">
        <w:rPr>
          <w:rFonts w:hint="cs" w:ascii="Arial" w:hAnsi="Arial"/>
          <w:rtl/>
        </w:rPr>
        <w:t>ם בשני התיקים,</w:t>
      </w:r>
      <w:r>
        <w:rPr>
          <w:rFonts w:hint="cs" w:ascii="Arial" w:hAnsi="Arial"/>
          <w:rtl/>
        </w:rPr>
        <w:t xml:space="preserve"> </w:t>
      </w:r>
      <w:r w:rsidR="002327BD">
        <w:rPr>
          <w:rFonts w:hint="cs" w:ascii="Arial" w:hAnsi="Arial"/>
          <w:rtl/>
        </w:rPr>
        <w:t xml:space="preserve">ניתנה לאחר שהנאשם הבין היטב את משמעותה. היא </w:t>
      </w:r>
      <w:r>
        <w:rPr>
          <w:rFonts w:hint="cs" w:ascii="Arial" w:hAnsi="Arial"/>
          <w:rtl/>
        </w:rPr>
        <w:t>לא באה עקב פגם כלשהו עת גובש הסדר הטיעון</w:t>
      </w:r>
      <w:r w:rsidR="004D3D49">
        <w:rPr>
          <w:rFonts w:hint="cs" w:ascii="Arial" w:hAnsi="Arial"/>
          <w:rtl/>
        </w:rPr>
        <w:t>,</w:t>
      </w:r>
      <w:r>
        <w:rPr>
          <w:rFonts w:hint="cs" w:ascii="Arial" w:hAnsi="Arial"/>
          <w:rtl/>
        </w:rPr>
        <w:t xml:space="preserve"> </w:t>
      </w:r>
      <w:r w:rsidR="002327BD">
        <w:rPr>
          <w:rFonts w:hint="cs" w:ascii="Arial" w:hAnsi="Arial"/>
          <w:rtl/>
        </w:rPr>
        <w:t>והנאשם לא הצביע על כל פגם בצירוף התיק הנוסף, לאחר טיעון לעונש בו לא ביקש לחזור מן ההודייה</w:t>
      </w:r>
      <w:r w:rsidR="00F82E7B">
        <w:rPr>
          <w:rFonts w:hint="cs" w:ascii="Arial" w:hAnsi="Arial"/>
          <w:rtl/>
        </w:rPr>
        <w:t xml:space="preserve">. </w:t>
      </w:r>
      <w:r w:rsidR="002327BD">
        <w:rPr>
          <w:rFonts w:hint="cs" w:ascii="Arial" w:hAnsi="Arial"/>
          <w:rtl/>
        </w:rPr>
        <w:t xml:space="preserve">נסיבות העניין בכללותו, לרבות </w:t>
      </w:r>
      <w:r w:rsidRPr="00F82E7B">
        <w:rPr>
          <w:rFonts w:hint="cs" w:ascii="Arial" w:hAnsi="Arial"/>
          <w:rtl/>
        </w:rPr>
        <w:t xml:space="preserve">עיתוי הגשת הבקשה, </w:t>
      </w:r>
      <w:r w:rsidR="002327BD">
        <w:rPr>
          <w:rFonts w:hint="cs" w:ascii="Arial" w:hAnsi="Arial"/>
          <w:rtl/>
        </w:rPr>
        <w:t>מלמדים כי לא קמו נסיבות מיוחדות המצדיקות לאפשר לנאשם לחזור בו מהודייתו</w:t>
      </w:r>
      <w:r w:rsidR="00F82E7B">
        <w:rPr>
          <w:rFonts w:hint="cs" w:ascii="Arial" w:hAnsi="Arial"/>
          <w:rtl/>
        </w:rPr>
        <w:t>.</w:t>
      </w:r>
    </w:p>
    <w:p w:rsidRPr="002327BD" w:rsidR="002327BD" w:rsidP="002327BD" w:rsidRDefault="00F82E7B">
      <w:pPr>
        <w:pStyle w:val="aa"/>
        <w:numPr>
          <w:ilvl w:val="0"/>
          <w:numId w:val="3"/>
        </w:numPr>
        <w:spacing w:before="120" w:line="400" w:lineRule="atLeast"/>
        <w:contextualSpacing w:val="0"/>
        <w:jc w:val="both"/>
        <w:rPr>
          <w:rFonts w:ascii="Arial" w:hAnsi="Arial"/>
          <w:rtl/>
        </w:rPr>
      </w:pPr>
      <w:r>
        <w:rPr>
          <w:rFonts w:hint="cs" w:ascii="Arial" w:hAnsi="Arial"/>
          <w:rtl/>
        </w:rPr>
        <w:t>אשר על כן, הבקשה נדחית.</w:t>
      </w:r>
    </w:p>
    <w:p w:rsidRPr="0044611C" w:rsidR="00507694" w:rsidP="00214FB9" w:rsidRDefault="00507694">
      <w:pPr>
        <w:spacing w:before="120" w:line="400" w:lineRule="atLeast"/>
        <w:jc w:val="both"/>
        <w:rPr>
          <w:rtl/>
        </w:rPr>
      </w:pPr>
    </w:p>
    <w:p w:rsidR="00507694" w:rsidRDefault="00507694">
      <w:pPr>
        <w:rPr>
          <w:rFonts w:cs="FrankRuehl"/>
          <w:sz w:val="28"/>
          <w:szCs w:val="28"/>
          <w:rtl/>
        </w:rPr>
      </w:pPr>
    </w:p>
    <w:p w:rsidR="00507694" w:rsidP="00240739" w:rsidRDefault="00684E84">
      <w:pPr>
        <w:spacing w:line="360" w:lineRule="auto"/>
        <w:jc w:val="both"/>
        <w:rPr>
          <w:rFonts w:ascii="Arial" w:hAnsi="Arial"/>
        </w:rPr>
      </w:pPr>
      <w:r>
        <w:rPr>
          <w:rFonts w:ascii="Arial" w:hAnsi="Arial"/>
          <w:rtl/>
        </w:rPr>
        <w:t>ניתן היום</w:t>
      </w:r>
      <w:r w:rsidR="00240739">
        <w:rPr>
          <w:rFonts w:hint="cs" w:ascii="Arial" w:hAnsi="Arial"/>
          <w:rtl/>
        </w:rPr>
        <w:t xml:space="preserve">, </w:t>
      </w:r>
      <w:r w:rsidR="00763C08">
        <w:rPr>
          <w:rFonts w:hint="eastAsia" w:ascii="Arial" w:hAnsi="Arial"/>
          <w:rtl/>
        </w:rPr>
        <w:t>‏</w:t>
      </w:r>
      <w:sdt>
        <w:sdtPr>
          <w:rPr>
            <w:rtl/>
          </w:rPr>
          <w:alias w:val="1455"/>
          <w:tag w:val="1455"/>
          <w:id w:val="-186141856"/>
          <w:text w:multiLine="1"/>
        </w:sdtPr>
        <w:sdtEndPr/>
        <w:sdtContent>
          <w:r>
            <w:rPr>
              <w:rFonts w:ascii="Arial" w:hAnsi="Arial"/>
              <w:rtl/>
            </w:rPr>
            <w:t>כ"ו ניסן תשע"ח</w:t>
          </w:r>
        </w:sdtContent>
      </w:sdt>
      <w:r w:rsidR="00763C08">
        <w:rPr>
          <w:rFonts w:ascii="Arial" w:hAnsi="Arial"/>
          <w:rtl/>
        </w:rPr>
        <w:t>,</w:t>
      </w:r>
      <w:r w:rsidR="00240739">
        <w:rPr>
          <w:rFonts w:hint="cs" w:ascii="Arial" w:hAnsi="Arial"/>
          <w:rtl/>
        </w:rPr>
        <w:t xml:space="preserve"> </w:t>
      </w:r>
      <w:sdt>
        <w:sdtPr>
          <w:rPr>
            <w:rtl/>
          </w:rPr>
          <w:alias w:val="1456"/>
          <w:tag w:val="1456"/>
          <w:id w:val="-788359422"/>
          <w:text w:multiLine="1"/>
        </w:sdtPr>
        <w:sdtEndPr/>
        <w:sdtContent>
          <w:r>
            <w:rPr>
              <w:rFonts w:ascii="Arial" w:hAnsi="Arial"/>
              <w:rtl/>
            </w:rPr>
            <w:t>11 אפריל 2018</w:t>
          </w:r>
        </w:sdtContent>
      </w:sdt>
      <w:r w:rsidR="00763C08">
        <w:rPr>
          <w:rFonts w:ascii="Arial" w:hAnsi="Arial"/>
          <w:rtl/>
        </w:rPr>
        <w:t xml:space="preserve"> </w:t>
      </w:r>
      <w:r w:rsidR="00C52BD2">
        <w:rPr>
          <w:rFonts w:hint="cs" w:ascii="Arial" w:hAnsi="Arial"/>
          <w:rtl/>
        </w:rPr>
        <w:t>במעמד הצדדים</w:t>
      </w:r>
      <w:r>
        <w:rPr>
          <w:rFonts w:ascii="Arial" w:hAnsi="Arial"/>
          <w:rtl/>
        </w:rPr>
        <w:t>.</w:t>
      </w:r>
    </w:p>
    <w:p w:rsidR="00507694" w:rsidRDefault="00507694">
      <w:pPr>
        <w:rPr>
          <w:rFonts w:cs="FrankRuehl"/>
          <w:sz w:val="28"/>
          <w:szCs w:val="28"/>
          <w:rtl/>
        </w:rPr>
      </w:pPr>
    </w:p>
    <w:p w:rsidRPr="00386948" w:rsidR="00507694" w:rsidP="00386948" w:rsidRDefault="00094B73">
      <w:pPr>
        <w:spacing w:line="360" w:lineRule="auto"/>
        <w:ind w:left="5760" w:firstLine="720"/>
        <w:jc w:val="both"/>
        <w:rPr>
          <w:rFonts w:ascii="Arial" w:hAnsi="Arial"/>
          <w:rtl/>
        </w:rPr>
      </w:pPr>
      <w:sdt>
        <w:sdtPr>
          <w:alias w:val="MergeField"/>
          <w:tag w:val="1237"/>
        </w:sdtPr>
        <w:sdtContent>
          <w:p>
            <w:r>
              <w:drawing>
                <wp:inline distT="0" distB="0" distL="0" distR="0" wp14:editId="50D07946">
                  <wp:extent cx="122872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bd7591ad8c44135" cstate="print">
                            <a:extLst>
                              <a:ext uri="{28A0092B-C50C-407E-A947-70E740481C1C}"/>
                            </a:extLst>
                          </a:blip>
                          <a:stretch>
                            <a:fillRect/>
                          </a:stretch>
                        </pic:blipFill>
                        <pic:spPr>
                          <a:xfrm>
                            <a:off x="0" y="0"/>
                            <a:ext cx="1228725" cy="742950"/>
                          </a:xfrm>
                          <a:prstGeom prst="rect">
                            <a:avLst/>
                          </a:prstGeom>
                        </pic:spPr>
                      </pic:pic>
                    </a:graphicData>
                  </a:graphic>
                </wp:inline>
              </w:drawing>
            </w:r>
          </w:p>
        </w:sdtContent>
      </w:sdt>
    </w:p>
    <w:p w:rsidR="00507694" w:rsidRDefault="00507694">
      <w:pPr>
        <w:rPr>
          <w:rFonts w:cs="FrankRuehl"/>
          <w:sz w:val="28"/>
          <w:szCs w:val="28"/>
          <w:rtl/>
        </w:rPr>
      </w:pPr>
    </w:p>
    <w:p w:rsidR="00507694" w:rsidRDefault="00507694">
      <w:pPr>
        <w:pStyle w:val="a3"/>
        <w:jc w:val="center"/>
        <w:rPr>
          <w:rtl/>
        </w:rPr>
      </w:pPr>
    </w:p>
    <w:sectPr w:rsidR="00507694" w:rsidSect="00507694">
      <w:headerReference w:type="default" r:id="rId9"/>
      <w:footerReference w:type="even" r:id="rId10"/>
      <w:footerReference w:type="default" r:id="rId11"/>
      <w:pgSz w:w="11907" w:h="16840" w:code="9"/>
      <w:pgMar w:top="244" w:right="1701" w:bottom="2552" w:left="1701" w:header="187" w:footer="720" w:gutter="0"/>
      <w:cols w:space="720"/>
      <w:bidi/>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694" w:rsidRDefault="00684E84">
      <w:r>
        <w:separator/>
      </w:r>
    </w:p>
  </w:endnote>
  <w:endnote w:type="continuationSeparator" w:id="0">
    <w:p w:rsidR="00507694" w:rsidRDefault="00684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7D46DD" w:rsidRDefault="00223E02">
    <w:pPr>
      <w:pStyle w:val="a4"/>
      <w:framePr w:wrap="around" w:hAnchor="text" w:vAnchor="text" w:y="1"/>
      <w:rPr>
        <w:rStyle w:val="a9"/>
      </w:rPr>
    </w:pPr>
    <w:r>
      <w:rPr>
        <w:rStyle w:val="a9"/>
        <w:rtl/>
      </w:rPr>
      <w:fldChar w:fldCharType="begin"/>
    </w:r>
    <w:r w:rsidR="00BD67E7">
      <w:rPr>
        <w:rStyle w:val="a9"/>
      </w:rPr>
      <w:instrText xml:space="preserve">PAGE  </w:instrText>
    </w:r>
    <w:r>
      <w:rPr>
        <w:rStyle w:val="a9"/>
        <w:rtl/>
      </w:rPr>
      <w:fldChar w:fldCharType="end"/>
    </w:r>
  </w:p>
  <w:p w:rsidR="00BD67E7" w:rsidP="00BD67E7" w:rsidRDefault="00BD67E7">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67E7" w:rsidP="00BD67E7" w:rsidRDefault="00BD67E7">
    <w:pPr>
      <w:pStyle w:val="a4"/>
      <w:ind w:right="360"/>
      <w:jc w:val="center"/>
    </w:pPr>
    <w:r>
      <w:rPr>
        <w:rtl/>
      </w:rPr>
      <w:t>עמוד</w:t>
    </w:r>
    <w:r>
      <w:t xml:space="preserve"> </w:t>
    </w:r>
    <w:r w:rsidR="00223E02">
      <w:fldChar w:fldCharType="begin"/>
    </w:r>
    <w:r>
      <w:instrText xml:space="preserve"> PAGE </w:instrText>
    </w:r>
    <w:r w:rsidR="00223E02">
      <w:fldChar w:fldCharType="separate"/>
    </w:r>
    <w:r w:rsidR="00094B73">
      <w:rPr>
        <w:noProof/>
        <w:rtl/>
      </w:rPr>
      <w:t>1</w:t>
    </w:r>
    <w:r w:rsidR="00223E02">
      <w:fldChar w:fldCharType="end"/>
    </w:r>
    <w:r>
      <w:t xml:space="preserve"> </w:t>
    </w:r>
    <w:r>
      <w:rPr>
        <w:rtl/>
      </w:rPr>
      <w:t>מתוך</w:t>
    </w:r>
    <w:r>
      <w:t xml:space="preserve"> </w:t>
    </w:r>
    <w:r w:rsidR="00223E02">
      <w:fldChar w:fldCharType="begin"/>
    </w:r>
    <w:r>
      <w:instrText xml:space="preserve"> NUMPAGES </w:instrText>
    </w:r>
    <w:r w:rsidR="00223E02">
      <w:fldChar w:fldCharType="separate"/>
    </w:r>
    <w:r w:rsidR="00094B73">
      <w:rPr>
        <w:noProof/>
        <w:rtl/>
      </w:rPr>
      <w:t>6</w:t>
    </w:r>
    <w:r w:rsidR="00223E0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694" w:rsidRDefault="00684E84">
      <w:r>
        <w:separator/>
      </w:r>
    </w:p>
  </w:footnote>
  <w:footnote w:type="continuationSeparator" w:id="0">
    <w:p w:rsidR="00507694" w:rsidRDefault="00684E84">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694" w:rsidRDefault="00094B73">
    <w:pPr>
      <w:pStyle w:val="a3"/>
      <w:jc w:val="center"/>
      <w:rPr>
        <w:rFonts w:cs="FrankRuehl"/>
        <w:sz w:val="28"/>
        <w:szCs w:val="28"/>
        <w:rtl/>
      </w:rPr>
    </w:pPr>
    <w:r>
      <w:rPr>
        <w:rFonts w:cs="FrankRuehl"/>
        <w:noProof/>
        <w:sz w:val="28"/>
        <w:szCs w:val="28"/>
        <w:rtl/>
      </w:rPr>
    </w:r>
    <w:r w:rsidR="000C5CC1">
      <w:rPr>
        <w:rFonts w:cs="FrankRuehl"/>
        <w:noProof/>
        <w:sz w:val="28"/>
        <w:szCs w:val="28"/>
      </w:rPr>
      <w:drawing>
        <wp:inline distT="0" distB="0" distL="0" distR="0" wp14:anchorId="524FB47D" wp14:editId="56CC0CCE">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5386"/>
      <w:gridCol w:w="3119"/>
    </w:tblGrid>
    <w:tr w:rsidR="00507694" w:rsidTr="00BD66B2">
      <w:trPr>
        <w:trHeight w:val="418" w:hRule="exact"/>
        <w:jc w:val="center"/>
      </w:trPr>
      <w:sdt>
        <w:sdtPr>
          <w:rPr>
            <w:sz w:val="26"/>
            <w:szCs w:val="26"/>
          </w:rPr>
          <w:alias w:val="1174"/>
          <w:tag w:val="1174"/>
          <w:id w:val="-53930410"/>
          <w:text/>
        </w:sdtPr>
        <w:sdtEndPr/>
        <w:sdtContent>
          <w:tc>
            <w:tcPr>
              <w:tcW w:w="8505" w:type="dxa"/>
              <w:gridSpan w:val="2"/>
            </w:tcPr>
            <w:p w:rsidR="00507694" w:rsidP="00BD66B2" w:rsidRDefault="00BD66B2">
              <w:pPr>
                <w:pStyle w:val="a3"/>
                <w:bidi w:val="0"/>
                <w:jc w:val="center"/>
                <w:rPr>
                  <w:rFonts w:ascii="Tahoma" w:hAnsi="Tahoma" w:cs="Tahoma"/>
                  <w:color w:val="000080"/>
                  <w:rtl/>
                </w:rPr>
              </w:pPr>
              <w:r w:rsidRPr="00BD66B2">
                <w:rPr>
                  <w:rFonts w:hint="cs" w:ascii="Tahoma" w:hAnsi="Tahoma"/>
                  <w:b/>
                  <w:bCs/>
                  <w:color w:val="000080"/>
                  <w:sz w:val="26"/>
                  <w:szCs w:val="26"/>
                  <w:rtl/>
                </w:rPr>
                <w:t>בית משפט השלום בקריית גת</w:t>
              </w:r>
            </w:p>
          </w:tc>
        </w:sdtContent>
      </w:sdt>
    </w:tr>
    <w:tr w:rsidRPr="00C52BD2" w:rsidR="00507694" w:rsidTr="00BD66B2">
      <w:trPr>
        <w:trHeight w:val="337"/>
        <w:jc w:val="center"/>
      </w:trPr>
      <w:tc>
        <w:tcPr>
          <w:tcW w:w="5386" w:type="dxa"/>
        </w:tcPr>
        <w:p w:rsidRPr="00BD66B2" w:rsidR="00BD66B2" w:rsidRDefault="00BD66B2">
          <w:pPr>
            <w:rPr>
              <w:b/>
              <w:bCs/>
              <w:sz w:val="26"/>
              <w:szCs w:val="26"/>
              <w:rtl/>
            </w:rPr>
          </w:pPr>
          <w:r w:rsidRPr="00BD66B2">
            <w:rPr>
              <w:rFonts w:hint="cs"/>
              <w:b/>
              <w:bCs/>
              <w:sz w:val="26"/>
              <w:szCs w:val="26"/>
              <w:rtl/>
            </w:rPr>
            <w:t>בית משפט השלום קריית גת</w:t>
          </w:r>
        </w:p>
        <w:p w:rsidR="00BD66B2" w:rsidRDefault="00BD66B2">
          <w:pPr>
            <w:rPr>
              <w:rtl/>
            </w:rPr>
          </w:pPr>
        </w:p>
        <w:p w:rsidRPr="00BD66B2" w:rsidR="00507694" w:rsidP="00BD66B2" w:rsidRDefault="00094B73">
          <w:pPr>
            <w:rPr>
              <w:b/>
              <w:bCs/>
              <w:sz w:val="26"/>
              <w:szCs w:val="26"/>
              <w:rtl/>
            </w:rPr>
          </w:pPr>
          <w:sdt>
            <w:sdtPr>
              <w:rPr>
                <w:b/>
                <w:bCs/>
                <w:sz w:val="26"/>
                <w:szCs w:val="26"/>
                <w:rtl/>
              </w:rPr>
              <w:alias w:val="1170"/>
              <w:tag w:val="1170"/>
              <w:id w:val="745991217"/>
              <w:text w:multiLine="1"/>
            </w:sdtPr>
            <w:sdtEndPr/>
            <w:sdtContent>
              <w:r w:rsidR="008F0AAD">
                <w:rPr>
                  <w:b/>
                  <w:bCs/>
                  <w:sz w:val="26"/>
                  <w:szCs w:val="26"/>
                  <w:rtl/>
                </w:rPr>
                <w:t>ת"פ</w:t>
              </w:r>
            </w:sdtContent>
          </w:sdt>
          <w:r w:rsidRPr="00BD66B2" w:rsidR="00684E84">
            <w:rPr>
              <w:rFonts w:hint="cs"/>
              <w:b/>
              <w:bCs/>
              <w:sz w:val="26"/>
              <w:szCs w:val="26"/>
              <w:rtl/>
            </w:rPr>
            <w:t xml:space="preserve"> </w:t>
          </w:r>
          <w:sdt>
            <w:sdtPr>
              <w:rPr>
                <w:b/>
                <w:bCs/>
                <w:sz w:val="26"/>
                <w:szCs w:val="26"/>
                <w:rtl/>
              </w:rPr>
              <w:alias w:val="1171"/>
              <w:tag w:val="1171"/>
              <w:id w:val="1877042823"/>
              <w:text w:multiLine="1"/>
            </w:sdtPr>
            <w:sdtEndPr/>
            <w:sdtContent>
              <w:r w:rsidR="008F0AAD">
                <w:rPr>
                  <w:b/>
                  <w:bCs/>
                  <w:sz w:val="26"/>
                  <w:szCs w:val="26"/>
                  <w:rtl/>
                </w:rPr>
                <w:t>5535-01-15</w:t>
              </w:r>
            </w:sdtContent>
          </w:sdt>
          <w:r w:rsidRPr="00BD66B2" w:rsidR="00684E84">
            <w:rPr>
              <w:rFonts w:hint="cs"/>
              <w:b/>
              <w:bCs/>
              <w:sz w:val="26"/>
              <w:szCs w:val="26"/>
              <w:rtl/>
            </w:rPr>
            <w:t xml:space="preserve"> </w:t>
          </w:r>
          <w:sdt>
            <w:sdtPr>
              <w:rPr>
                <w:b/>
                <w:bCs/>
                <w:sz w:val="26"/>
                <w:szCs w:val="26"/>
                <w:rtl/>
              </w:rPr>
              <w:alias w:val="1172"/>
              <w:tag w:val="1172"/>
              <w:id w:val="-1579903652"/>
              <w:text w:multiLine="1"/>
            </w:sdtPr>
            <w:sdtEndPr/>
            <w:sdtContent>
              <w:r w:rsidR="008F0AAD">
                <w:rPr>
                  <w:b/>
                  <w:bCs/>
                  <w:sz w:val="26"/>
                  <w:szCs w:val="26"/>
                  <w:rtl/>
                </w:rPr>
                <w:t>מדינת ישראל נ' שניידרמן שאק</w:t>
              </w:r>
            </w:sdtContent>
          </w:sdt>
        </w:p>
      </w:tc>
      <w:tc>
        <w:tcPr>
          <w:tcW w:w="3119" w:type="dxa"/>
        </w:tcPr>
        <w:p w:rsidRPr="00C52BD2" w:rsidR="00507694" w:rsidRDefault="00507694">
          <w:pPr>
            <w:pStyle w:val="a3"/>
            <w:jc w:val="right"/>
            <w:rPr>
              <w:sz w:val="28"/>
              <w:szCs w:val="28"/>
              <w:rtl/>
            </w:rPr>
          </w:pPr>
        </w:p>
      </w:tc>
    </w:tr>
  </w:tbl>
  <w:p w:rsidRPr="00C52BD2" w:rsidR="00507694" w:rsidRDefault="00684E84">
    <w:pPr>
      <w:pStyle w:val="a3"/>
      <w:rPr>
        <w:rtl/>
      </w:rPr>
    </w:pPr>
    <w:r w:rsidRPr="00C52BD2">
      <w:rPr>
        <w:rFonts w:hint="cs"/>
        <w:rtl/>
      </w:rPr>
      <w:t xml:space="preserve"> </w:t>
    </w:r>
  </w:p>
  <w:p w:rsidR="00507694" w:rsidRDefault="00684E84">
    <w:pPr>
      <w:pStyle w:val="a3"/>
    </w:pPr>
    <w:r>
      <w:rPr>
        <w:rFonts w:hint="cs" w:cs="Times New Roman"/>
        <w:b/>
        <w:bCs/>
        <w:sz w:val="26"/>
        <w:szCs w:val="28"/>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7536047"/>
    <w:multiLevelType w:val="hybridMultilevel"/>
    <w:tmpl w:val="068A555A"/>
    <w:lvl w:ilvl="0" w:tplc="F8043A9A">
      <w:start w:val="1"/>
      <w:numFmt w:val="decimal"/>
      <w:lvlText w:val="%1."/>
      <w:lvlJc w:val="left"/>
      <w:pPr>
        <w:ind w:left="720" w:hanging="360"/>
      </w:pPr>
      <w:rPr>
        <w:b w:val="0"/>
        <w:bCs w:val="0"/>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B882D72"/>
    <w:multiLevelType w:val="hybridMultilevel"/>
    <w:tmpl w:val="F4B0BD0E"/>
    <w:lvl w:ilvl="0" w:tplc="3CB8BBAA">
      <w:start w:val="1"/>
      <w:numFmt w:val="decimal"/>
      <w:lvlText w:val="%1."/>
      <w:lvlJc w:val="left"/>
      <w:pPr>
        <w:ind w:left="720" w:hanging="360"/>
      </w:pPr>
      <w:rPr>
        <w:rFonts w:cs="Times New Roman"/>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0"/>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91138"/>
    <o:shapelayout v:ext="edit">
      <o:idmap v:ext="edit" data="8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694"/>
    <w:rsid w:val="00014B25"/>
    <w:rsid w:val="00020191"/>
    <w:rsid w:val="000451CA"/>
    <w:rsid w:val="00054FC4"/>
    <w:rsid w:val="00060422"/>
    <w:rsid w:val="00065C42"/>
    <w:rsid w:val="00094B73"/>
    <w:rsid w:val="000C5CC1"/>
    <w:rsid w:val="00100577"/>
    <w:rsid w:val="001121BE"/>
    <w:rsid w:val="001151F8"/>
    <w:rsid w:val="00144FF3"/>
    <w:rsid w:val="00146F8F"/>
    <w:rsid w:val="001A384F"/>
    <w:rsid w:val="001A4ADD"/>
    <w:rsid w:val="001D4523"/>
    <w:rsid w:val="001F2461"/>
    <w:rsid w:val="00212125"/>
    <w:rsid w:val="00214FB9"/>
    <w:rsid w:val="00223E02"/>
    <w:rsid w:val="002327BD"/>
    <w:rsid w:val="00240739"/>
    <w:rsid w:val="00253345"/>
    <w:rsid w:val="00264D12"/>
    <w:rsid w:val="00295F84"/>
    <w:rsid w:val="002B1639"/>
    <w:rsid w:val="002C56CA"/>
    <w:rsid w:val="002D09AE"/>
    <w:rsid w:val="0035001B"/>
    <w:rsid w:val="00367565"/>
    <w:rsid w:val="00386948"/>
    <w:rsid w:val="003A7759"/>
    <w:rsid w:val="003F1F02"/>
    <w:rsid w:val="00432C29"/>
    <w:rsid w:val="0044611C"/>
    <w:rsid w:val="00456D89"/>
    <w:rsid w:val="0049498F"/>
    <w:rsid w:val="004D3D49"/>
    <w:rsid w:val="004D7AAF"/>
    <w:rsid w:val="005008B1"/>
    <w:rsid w:val="00507694"/>
    <w:rsid w:val="00507BA6"/>
    <w:rsid w:val="0051499B"/>
    <w:rsid w:val="0054496C"/>
    <w:rsid w:val="005A3480"/>
    <w:rsid w:val="005B1C34"/>
    <w:rsid w:val="00611C4E"/>
    <w:rsid w:val="006312EA"/>
    <w:rsid w:val="00646D82"/>
    <w:rsid w:val="006665D9"/>
    <w:rsid w:val="00683ABD"/>
    <w:rsid w:val="00684E84"/>
    <w:rsid w:val="00703F86"/>
    <w:rsid w:val="00754D51"/>
    <w:rsid w:val="00757983"/>
    <w:rsid w:val="00763C08"/>
    <w:rsid w:val="007B212E"/>
    <w:rsid w:val="00832D73"/>
    <w:rsid w:val="0085221C"/>
    <w:rsid w:val="008723E4"/>
    <w:rsid w:val="00874748"/>
    <w:rsid w:val="008A2BB8"/>
    <w:rsid w:val="008B0432"/>
    <w:rsid w:val="008F0AAD"/>
    <w:rsid w:val="008F50A9"/>
    <w:rsid w:val="009340AA"/>
    <w:rsid w:val="0094021E"/>
    <w:rsid w:val="0099763C"/>
    <w:rsid w:val="009A45E8"/>
    <w:rsid w:val="009C3965"/>
    <w:rsid w:val="009E35A7"/>
    <w:rsid w:val="009E49A1"/>
    <w:rsid w:val="009F53F1"/>
    <w:rsid w:val="00A126F2"/>
    <w:rsid w:val="00A534C6"/>
    <w:rsid w:val="00AA6666"/>
    <w:rsid w:val="00B05DA9"/>
    <w:rsid w:val="00BD66B2"/>
    <w:rsid w:val="00BD67E7"/>
    <w:rsid w:val="00BE0015"/>
    <w:rsid w:val="00BE3951"/>
    <w:rsid w:val="00BF0CF6"/>
    <w:rsid w:val="00C00EF0"/>
    <w:rsid w:val="00C02463"/>
    <w:rsid w:val="00C0418F"/>
    <w:rsid w:val="00C06E5C"/>
    <w:rsid w:val="00C25C1C"/>
    <w:rsid w:val="00C25E90"/>
    <w:rsid w:val="00C272C4"/>
    <w:rsid w:val="00C43A35"/>
    <w:rsid w:val="00C52BD2"/>
    <w:rsid w:val="00C55E62"/>
    <w:rsid w:val="00C572E8"/>
    <w:rsid w:val="00C67161"/>
    <w:rsid w:val="00C770C4"/>
    <w:rsid w:val="00C822A3"/>
    <w:rsid w:val="00C9196F"/>
    <w:rsid w:val="00CA0D16"/>
    <w:rsid w:val="00D202F4"/>
    <w:rsid w:val="00D3203D"/>
    <w:rsid w:val="00D34CB6"/>
    <w:rsid w:val="00D46A49"/>
    <w:rsid w:val="00DA48D6"/>
    <w:rsid w:val="00DA55CC"/>
    <w:rsid w:val="00DF255D"/>
    <w:rsid w:val="00DF2FE7"/>
    <w:rsid w:val="00E340A9"/>
    <w:rsid w:val="00E70F9C"/>
    <w:rsid w:val="00E96725"/>
    <w:rsid w:val="00EF360F"/>
    <w:rsid w:val="00EF365B"/>
    <w:rsid w:val="00EF4293"/>
    <w:rsid w:val="00F20D80"/>
    <w:rsid w:val="00F612F4"/>
    <w:rsid w:val="00F63AE5"/>
    <w:rsid w:val="00F75889"/>
    <w:rsid w:val="00F82E7B"/>
    <w:rsid w:val="00F91402"/>
    <w:rsid w:val="00FB7BAA"/>
    <w:rsid w:val="00FF6942"/>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15:docId w15:val="{31AE9F9F-6EE1-4FB7-9124-8D62F31B6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B41"/>
    <w:pPr>
      <w:bidi/>
    </w:pPr>
    <w:rPr>
      <w:rFonts w:cs="David"/>
      <w:sz w:val="24"/>
      <w:szCs w:val="24"/>
    </w:rPr>
  </w:style>
  <w:style w:type="paragraph" w:styleId="1">
    <w:name w:val="heading 1"/>
    <w:basedOn w:val="a"/>
    <w:next w:val="a"/>
    <w:qFormat/>
    <w:rsid w:val="003A7B41"/>
    <w:pPr>
      <w:keepNext/>
      <w:spacing w:before="240" w:after="60"/>
      <w:outlineLvl w:val="0"/>
    </w:pPr>
    <w:rPr>
      <w:rFonts w:ascii="Arial" w:hAnsi="Arial" w:cs="Arial"/>
      <w:b/>
      <w:bCs/>
      <w:kern w:val="32"/>
      <w:sz w:val="32"/>
      <w:szCs w:val="32"/>
    </w:rPr>
  </w:style>
  <w:style w:type="paragraph" w:styleId="4">
    <w:name w:val="heading 4"/>
    <w:basedOn w:val="a"/>
    <w:next w:val="a"/>
    <w:qFormat/>
    <w:rsid w:val="003A7B41"/>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A7B41"/>
    <w:pPr>
      <w:tabs>
        <w:tab w:val="center" w:pos="4153"/>
        <w:tab w:val="right" w:pos="8306"/>
      </w:tabs>
    </w:pPr>
  </w:style>
  <w:style w:type="paragraph" w:styleId="a4">
    <w:name w:val="footer"/>
    <w:basedOn w:val="a"/>
    <w:rsid w:val="003A7B41"/>
    <w:pPr>
      <w:tabs>
        <w:tab w:val="center" w:pos="4153"/>
        <w:tab w:val="right" w:pos="8306"/>
      </w:tabs>
    </w:pPr>
  </w:style>
  <w:style w:type="character" w:styleId="a5">
    <w:name w:val="annotation reference"/>
    <w:basedOn w:val="a0"/>
    <w:semiHidden/>
    <w:rsid w:val="003A7B41"/>
    <w:rPr>
      <w:sz w:val="16"/>
      <w:szCs w:val="16"/>
    </w:rPr>
  </w:style>
  <w:style w:type="paragraph" w:styleId="a6">
    <w:name w:val="annotation text"/>
    <w:basedOn w:val="a"/>
    <w:semiHidden/>
    <w:rsid w:val="003A7B41"/>
    <w:rPr>
      <w:rFonts w:cs="Times New Roman"/>
      <w:lang w:eastAsia="he-IL"/>
    </w:rPr>
  </w:style>
  <w:style w:type="paragraph" w:styleId="a7">
    <w:name w:val="Balloon Text"/>
    <w:basedOn w:val="a"/>
    <w:semiHidden/>
    <w:rsid w:val="003A7B41"/>
    <w:rPr>
      <w:rFonts w:ascii="Tahoma" w:hAnsi="Tahoma" w:cs="Tahoma"/>
      <w:sz w:val="16"/>
      <w:szCs w:val="16"/>
    </w:rPr>
  </w:style>
  <w:style w:type="table" w:styleId="a8">
    <w:name w:val="Table Grid"/>
    <w:basedOn w:val="a1"/>
    <w:rsid w:val="003A7B4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BD67E7"/>
  </w:style>
  <w:style w:type="paragraph" w:styleId="aa">
    <w:name w:val="List Paragraph"/>
    <w:basedOn w:val="a"/>
    <w:uiPriority w:val="34"/>
    <w:qFormat/>
    <w:rsid w:val="00AA6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040650">
      <w:bodyDiv w:val="1"/>
      <w:marLeft w:val="0"/>
      <w:marRight w:val="0"/>
      <w:marTop w:val="0"/>
      <w:marBottom w:val="0"/>
      <w:divBdr>
        <w:top w:val="none" w:sz="0" w:space="0" w:color="auto"/>
        <w:left w:val="none" w:sz="0" w:space="0" w:color="auto"/>
        <w:bottom w:val="none" w:sz="0" w:space="0" w:color="auto"/>
        <w:right w:val="none" w:sz="0" w:space="0" w:color="auto"/>
      </w:divBdr>
    </w:div>
    <w:div w:id="1082795873">
      <w:bodyDiv w:val="1"/>
      <w:marLeft w:val="0"/>
      <w:marRight w:val="0"/>
      <w:marTop w:val="0"/>
      <w:marBottom w:val="0"/>
      <w:divBdr>
        <w:top w:val="none" w:sz="0" w:space="0" w:color="auto"/>
        <w:left w:val="none" w:sz="0" w:space="0" w:color="auto"/>
        <w:bottom w:val="none" w:sz="0" w:space="0" w:color="auto"/>
        <w:right w:val="none" w:sz="0" w:space="0" w:color="auto"/>
      </w:divBdr>
    </w:div>
    <w:div w:id="1377268971">
      <w:bodyDiv w:val="1"/>
      <w:marLeft w:val="0"/>
      <w:marRight w:val="0"/>
      <w:marTop w:val="0"/>
      <w:marBottom w:val="0"/>
      <w:divBdr>
        <w:top w:val="none" w:sz="0" w:space="0" w:color="auto"/>
        <w:left w:val="none" w:sz="0" w:space="0" w:color="auto"/>
        <w:bottom w:val="none" w:sz="0" w:space="0" w:color="auto"/>
        <w:right w:val="none" w:sz="0" w:space="0" w:color="auto"/>
      </w:divBdr>
    </w:div>
    <w:div w:id="1667704230">
      <w:bodyDiv w:val="1"/>
      <w:marLeft w:val="0"/>
      <w:marRight w:val="0"/>
      <w:marTop w:val="0"/>
      <w:marBottom w:val="0"/>
      <w:divBdr>
        <w:top w:val="none" w:sz="0" w:space="0" w:color="auto"/>
        <w:left w:val="none" w:sz="0" w:space="0" w:color="auto"/>
        <w:bottom w:val="none" w:sz="0" w:space="0" w:color="auto"/>
        <w:right w:val="none" w:sz="0" w:space="0" w:color="auto"/>
      </w:divBdr>
    </w:div>
    <w:div w:id="174922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4bd7591ad8c4413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Pages>6</Pages>
  <Words>1420</Words>
  <Characters>7105</Characters>
  <Application>Microsoft Office Word</Application>
  <DocSecurity>0</DocSecurity>
  <Lines>59</Lines>
  <Paragraphs>17</Paragraphs>
  <ScaleCrop>false</ScaleCrop>
  <Company>Microsoft Corporation</Company>
  <LinksUpToDate>false</LinksUpToDate>
  <CharactersWithSpaces>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 אדם</cp:lastModifiedBy>
  <cp:revision>81</cp:revision>
  <dcterms:created xsi:type="dcterms:W3CDTF">2012-08-06T05:50:00Z</dcterms:created>
  <dcterms:modified xsi:type="dcterms:W3CDTF">2018-04-11T06:35:00Z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