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94424E" w:rsidRDefault="0094424E">
      <w:pPr>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1800"/>
        <w:gridCol w:w="3771"/>
      </w:tblGrid>
      <w:tr w:rsidR="0094424E">
        <w:trPr>
          <w:trHeight w:val="295"/>
          <w:jc w:val="center"/>
        </w:trPr>
        <w:tc>
          <w:tcPr>
            <w:tcW w:w="5049" w:type="dxa"/>
            <w:gridSpan w:val="3"/>
          </w:tcPr>
          <w:p w:rsidR="0094424E" w:rsidRDefault="0094424E">
            <w:pPr>
              <w:rPr>
                <w:rFonts w:ascii="Arial" w:hAnsi="Arial"/>
                <w:b/>
                <w:bCs/>
                <w:noProof w:val="0"/>
                <w:sz w:val="26"/>
                <w:szCs w:val="26"/>
                <w:rtl/>
              </w:rPr>
            </w:pPr>
          </w:p>
        </w:tc>
        <w:tc>
          <w:tcPr>
            <w:tcW w:w="3771" w:type="dxa"/>
          </w:tcPr>
          <w:p w:rsidR="0094424E" w:rsidP="00896889" w:rsidRDefault="0094424E">
            <w:pPr>
              <w:rPr>
                <w:rFonts w:ascii="Arial" w:hAnsi="Arial"/>
                <w:b/>
                <w:bCs/>
                <w:noProof w:val="0"/>
                <w:sz w:val="26"/>
                <w:szCs w:val="26"/>
                <w:rtl/>
              </w:rPr>
            </w:pPr>
            <w:r>
              <w:rPr>
                <w:rFonts w:ascii="Arial" w:hAnsi="Arial"/>
                <w:b/>
                <w:bCs/>
                <w:noProof w:val="0"/>
                <w:sz w:val="26"/>
                <w:szCs w:val="26"/>
                <w:rtl/>
              </w:rPr>
              <w:t>מספר בקשה:</w:t>
            </w:r>
            <w:sdt>
              <w:sdtPr>
                <w:rPr>
                  <w:rtl/>
                </w:rPr>
                <w:alias w:val="1193"/>
                <w:tag w:val="1193"/>
                <w:id w:val="-636028727"/>
                <w:text w:multiLine="1"/>
              </w:sdtPr>
              <w:sdtEndPr/>
              <w:sdtContent>
                <w:r>
                  <w:rPr>
                    <w:rFonts w:ascii="Arial" w:hAnsi="Arial"/>
                    <w:b/>
                    <w:bCs/>
                    <w:noProof w:val="0"/>
                    <w:sz w:val="32"/>
                    <w:szCs w:val="32"/>
                    <w:rtl/>
                  </w:rPr>
                  <w:t>1</w:t>
                </w:r>
              </w:sdtContent>
            </w:sdt>
          </w:p>
        </w:tc>
      </w:tr>
      <w:tr w:rsidR="0094424E">
        <w:trPr>
          <w:jc w:val="center"/>
        </w:trPr>
        <w:tc>
          <w:tcPr>
            <w:tcW w:w="743" w:type="dxa"/>
          </w:tcPr>
          <w:p w:rsidR="0094424E" w:rsidP="00E962E3" w:rsidRDefault="0094424E">
            <w:pPr>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3"/>
          </w:tcPr>
          <w:p w:rsidR="0094424E" w:rsidRDefault="000529D2">
            <w:pPr>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מנחם רניאל</w:t>
                </w:r>
              </w:sdtContent>
            </w:sdt>
          </w:p>
          <w:p w:rsidR="0094424E" w:rsidRDefault="0094424E">
            <w:pPr>
              <w:rPr>
                <w:rFonts w:ascii="Arial" w:hAnsi="Arial" w:cs="FrankRuehl"/>
                <w:sz w:val="28"/>
                <w:szCs w:val="28"/>
                <w:highlight w:val="yellow"/>
              </w:rPr>
            </w:pPr>
          </w:p>
        </w:tc>
      </w:tr>
      <w:tr w:rsidR="0094424E" w:rsidTr="00465D36">
        <w:trPr>
          <w:jc w:val="center"/>
        </w:trPr>
        <w:tc>
          <w:tcPr>
            <w:tcW w:w="3249" w:type="dxa"/>
            <w:gridSpan w:val="2"/>
          </w:tcPr>
          <w:sdt>
            <w:sdtPr>
              <w:rPr>
                <w:rtl/>
              </w:rPr>
              <w:alias w:val="1180"/>
              <w:tag w:val="1180"/>
              <w:id w:val="637458750"/>
              <w:text w:multiLine="1"/>
            </w:sdtPr>
            <w:sdtEndPr/>
            <w:sdtContent>
              <w:p w:rsidR="00B10623" w:rsidRDefault="00C0170B">
                <w:pPr>
                  <w:rPr>
                    <w:rFonts w:ascii="Arial" w:hAnsi="Arial"/>
                    <w:b/>
                    <w:bCs/>
                    <w:noProof w:val="0"/>
                    <w:sz w:val="26"/>
                    <w:szCs w:val="26"/>
                    <w:rtl/>
                  </w:rPr>
                </w:pPr>
                <w:r>
                  <w:rPr>
                    <w:rFonts w:hint="cs" w:ascii="Arial" w:hAnsi="Arial"/>
                    <w:b/>
                    <w:bCs/>
                    <w:noProof w:val="0"/>
                    <w:sz w:val="26"/>
                    <w:szCs w:val="26"/>
                    <w:rtl/>
                  </w:rPr>
                  <w:t>ה</w:t>
                </w:r>
                <w:r w:rsidR="0053657B">
                  <w:rPr>
                    <w:rFonts w:ascii="Arial" w:hAnsi="Arial"/>
                    <w:b/>
                    <w:bCs/>
                    <w:noProof w:val="0"/>
                    <w:sz w:val="26"/>
                    <w:szCs w:val="26"/>
                    <w:rtl/>
                  </w:rPr>
                  <w:t>מבקשים</w:t>
                </w:r>
                <w:r>
                  <w:rPr>
                    <w:rFonts w:hint="cs" w:ascii="Arial" w:hAnsi="Arial"/>
                    <w:b/>
                    <w:bCs/>
                    <w:noProof w:val="0"/>
                    <w:sz w:val="26"/>
                    <w:szCs w:val="26"/>
                    <w:rtl/>
                  </w:rPr>
                  <w:t>:</w:t>
                </w:r>
              </w:p>
            </w:sdtContent>
          </w:sdt>
        </w:tc>
        <w:tc>
          <w:tcPr>
            <w:tcW w:w="5571" w:type="dxa"/>
            <w:gridSpan w:val="2"/>
          </w:tcPr>
          <w:p w:rsidR="0094424E" w:rsidP="00C0170B" w:rsidRDefault="00795337">
            <w:pPr>
              <w:rPr>
                <w:b/>
                <w:bCs/>
                <w:noProof w:val="0"/>
                <w:sz w:val="26"/>
                <w:szCs w:val="26"/>
              </w:rPr>
            </w:pPr>
            <w:sdt>
              <w:sdtPr>
                <w:rPr>
                  <w:rtl/>
                </w:rPr>
                <w:alias w:val="1462"/>
                <w:tag w:val="1462"/>
                <w:id w:val="-2139489462"/>
                <w:text w:multiLine="1"/>
              </w:sdtPr>
              <w:sdtEndPr/>
              <w:sdtContent>
                <w:r w:rsidR="004D74B1">
                  <w:rPr>
                    <w:rFonts w:ascii="Arial" w:hAnsi="Arial"/>
                    <w:b/>
                    <w:bCs/>
                    <w:noProof w:val="0"/>
                    <w:sz w:val="26"/>
                    <w:szCs w:val="26"/>
                    <w:rtl/>
                  </w:rPr>
                  <w:t>1</w:t>
                </w:r>
              </w:sdtContent>
            </w:sdt>
            <w:r w:rsidR="0094424E">
              <w:rPr>
                <w:b/>
                <w:bCs/>
                <w:noProof w:val="0"/>
                <w:sz w:val="26"/>
                <w:szCs w:val="26"/>
                <w:rtl/>
              </w:rPr>
              <w:t>.</w:t>
            </w:r>
            <w:r w:rsidR="0094424E">
              <w:rPr>
                <w:rFonts w:hint="cs"/>
                <w:b/>
                <w:bCs/>
                <w:noProof w:val="0"/>
                <w:sz w:val="26"/>
                <w:szCs w:val="26"/>
                <w:rtl/>
              </w:rPr>
              <w:t xml:space="preserve"> </w:t>
            </w:r>
            <w:sdt>
              <w:sdtPr>
                <w:rPr>
                  <w:b/>
                  <w:bCs/>
                  <w:sz w:val="26"/>
                  <w:szCs w:val="26"/>
                  <w:rtl/>
                </w:rPr>
                <w:alias w:val="1478"/>
                <w:tag w:val="1478"/>
                <w:id w:val="-2076122985"/>
                <w:text w:multiLine="1"/>
              </w:sdtPr>
              <w:sdtEndPr/>
              <w:sdtContent>
                <w:r w:rsidRPr="003257AC" w:rsidR="00C0170B">
                  <w:rPr>
                    <w:rFonts w:hint="cs" w:ascii="Arial" w:hAnsi="Arial"/>
                    <w:b/>
                    <w:bCs/>
                    <w:noProof w:val="0"/>
                    <w:sz w:val="26"/>
                    <w:szCs w:val="26"/>
                    <w:rtl/>
                  </w:rPr>
                  <w:t xml:space="preserve">מרק </w:t>
                </w:r>
                <w:r w:rsidRPr="003257AC" w:rsidR="004D74B1">
                  <w:rPr>
                    <w:rFonts w:ascii="Arial" w:hAnsi="Arial"/>
                    <w:b/>
                    <w:bCs/>
                    <w:noProof w:val="0"/>
                    <w:sz w:val="26"/>
                    <w:szCs w:val="26"/>
                    <w:rtl/>
                  </w:rPr>
                  <w:t>פייסחוב</w:t>
                </w:r>
                <w:r w:rsidRPr="003257AC" w:rsidR="003257AC">
                  <w:rPr>
                    <w:rFonts w:hint="cs"/>
                    <w:b/>
                    <w:bCs/>
                    <w:sz w:val="26"/>
                    <w:szCs w:val="26"/>
                    <w:rtl/>
                  </w:rPr>
                  <w:t xml:space="preserve"> ת.ז. 303522049</w:t>
                </w:r>
              </w:sdtContent>
            </w:sdt>
          </w:p>
          <w:p w:rsidR="0094424E" w:rsidP="00C0170B" w:rsidRDefault="00795337">
            <w:pPr>
              <w:rPr>
                <w:b/>
                <w:bCs/>
                <w:noProof w:val="0"/>
                <w:sz w:val="26"/>
                <w:szCs w:val="26"/>
              </w:rPr>
            </w:pPr>
            <w:sdt>
              <w:sdtPr>
                <w:rPr>
                  <w:rtl/>
                </w:rPr>
                <w:alias w:val="1462"/>
                <w:tag w:val="1462"/>
                <w:id w:val="1185877131"/>
                <w:text w:multiLine="1"/>
              </w:sdtPr>
              <w:sdtEndPr/>
              <w:sdtContent>
                <w:r w:rsidR="004D74B1">
                  <w:rPr>
                    <w:rFonts w:ascii="Arial" w:hAnsi="Arial"/>
                    <w:b/>
                    <w:bCs/>
                    <w:noProof w:val="0"/>
                    <w:sz w:val="26"/>
                    <w:szCs w:val="26"/>
                    <w:rtl/>
                  </w:rPr>
                  <w:t>2</w:t>
                </w:r>
              </w:sdtContent>
            </w:sdt>
            <w:r w:rsidR="0094424E">
              <w:rPr>
                <w:b/>
                <w:bCs/>
                <w:noProof w:val="0"/>
                <w:sz w:val="26"/>
                <w:szCs w:val="26"/>
                <w:rtl/>
              </w:rPr>
              <w:t>.</w:t>
            </w:r>
            <w:r w:rsidR="0094424E">
              <w:rPr>
                <w:rFonts w:hint="cs"/>
                <w:b/>
                <w:bCs/>
                <w:noProof w:val="0"/>
                <w:sz w:val="26"/>
                <w:szCs w:val="26"/>
                <w:rtl/>
              </w:rPr>
              <w:t xml:space="preserve"> </w:t>
            </w:r>
            <w:sdt>
              <w:sdtPr>
                <w:rPr>
                  <w:b/>
                  <w:bCs/>
                  <w:rtl/>
                </w:rPr>
                <w:alias w:val="1478"/>
                <w:tag w:val="1478"/>
                <w:id w:val="96525134"/>
                <w:text w:multiLine="1"/>
              </w:sdtPr>
              <w:sdtEndPr/>
              <w:sdtContent>
                <w:r w:rsidR="00C0170B">
                  <w:rPr>
                    <w:rFonts w:hint="cs" w:ascii="Arial" w:hAnsi="Arial"/>
                    <w:b/>
                    <w:bCs/>
                    <w:noProof w:val="0"/>
                    <w:sz w:val="26"/>
                    <w:szCs w:val="26"/>
                    <w:rtl/>
                  </w:rPr>
                  <w:t>ללי</w:t>
                </w:r>
                <w:r w:rsidRPr="00C0170B" w:rsidR="004D74B1">
                  <w:rPr>
                    <w:rFonts w:ascii="Arial" w:hAnsi="Arial"/>
                    <w:b/>
                    <w:bCs/>
                    <w:noProof w:val="0"/>
                    <w:sz w:val="26"/>
                    <w:szCs w:val="26"/>
                    <w:rtl/>
                  </w:rPr>
                  <w:t xml:space="preserve"> פייסחוב</w:t>
                </w:r>
                <w:r w:rsidR="003257AC">
                  <w:rPr>
                    <w:rFonts w:hint="cs" w:ascii="Arial" w:hAnsi="Arial"/>
                    <w:b/>
                    <w:bCs/>
                    <w:noProof w:val="0"/>
                    <w:sz w:val="26"/>
                    <w:szCs w:val="26"/>
                    <w:rtl/>
                  </w:rPr>
                  <w:t xml:space="preserve"> ת.ז. 326977253</w:t>
                </w:r>
                <w:r w:rsidRPr="00C0170B" w:rsidR="00C0170B">
                  <w:rPr>
                    <w:rFonts w:ascii="Arial" w:hAnsi="Arial"/>
                    <w:b/>
                    <w:bCs/>
                    <w:noProof w:val="0"/>
                    <w:sz w:val="26"/>
                    <w:szCs w:val="26"/>
                    <w:rtl/>
                  </w:rPr>
                  <w:br/>
                </w:r>
                <w:r w:rsidR="00C0170B">
                  <w:rPr>
                    <w:rFonts w:hint="cs"/>
                    <w:b/>
                    <w:bCs/>
                    <w:rtl/>
                  </w:rPr>
                  <w:t>ע"י ב"כ עו"ד ניר אברמוב</w:t>
                </w:r>
              </w:sdtContent>
            </w:sdt>
          </w:p>
        </w:tc>
      </w:tr>
      <w:tr w:rsidR="0094424E">
        <w:trPr>
          <w:jc w:val="center"/>
        </w:trPr>
        <w:tc>
          <w:tcPr>
            <w:tcW w:w="8820" w:type="dxa"/>
            <w:gridSpan w:val="4"/>
          </w:tcPr>
          <w:p w:rsidR="0094424E" w:rsidRDefault="0094424E">
            <w:pPr>
              <w:rPr>
                <w:rFonts w:ascii="Arial" w:hAnsi="Arial"/>
                <w:b/>
                <w:bCs/>
                <w:noProof w:val="0"/>
                <w:sz w:val="26"/>
                <w:szCs w:val="26"/>
                <w:rtl/>
              </w:rPr>
            </w:pPr>
          </w:p>
          <w:p w:rsidR="0094424E" w:rsidRDefault="0094424E">
            <w:pPr>
              <w:jc w:val="center"/>
              <w:rPr>
                <w:rFonts w:ascii="Arial" w:hAnsi="Arial"/>
                <w:b/>
                <w:bCs/>
                <w:noProof w:val="0"/>
                <w:sz w:val="26"/>
                <w:szCs w:val="26"/>
                <w:rtl/>
              </w:rPr>
            </w:pPr>
            <w:r>
              <w:rPr>
                <w:rFonts w:ascii="Arial" w:hAnsi="Arial"/>
                <w:b/>
                <w:bCs/>
                <w:noProof w:val="0"/>
                <w:sz w:val="26"/>
                <w:szCs w:val="26"/>
                <w:rtl/>
              </w:rPr>
              <w:t>נגד</w:t>
            </w:r>
          </w:p>
          <w:p w:rsidR="0094424E" w:rsidRDefault="0094424E">
            <w:pPr>
              <w:rPr>
                <w:rFonts w:ascii="Arial" w:hAnsi="Arial"/>
                <w:b/>
                <w:bCs/>
                <w:noProof w:val="0"/>
                <w:sz w:val="26"/>
                <w:szCs w:val="26"/>
              </w:rPr>
            </w:pPr>
          </w:p>
        </w:tc>
      </w:tr>
      <w:tr w:rsidR="0094424E">
        <w:trPr>
          <w:jc w:val="center"/>
        </w:trPr>
        <w:tc>
          <w:tcPr>
            <w:tcW w:w="3249" w:type="dxa"/>
            <w:gridSpan w:val="2"/>
          </w:tcPr>
          <w:p w:rsidR="0094424E" w:rsidP="00C0170B" w:rsidRDefault="00795337">
            <w:pPr>
              <w:rPr>
                <w:rFonts w:ascii="Arial" w:hAnsi="Arial"/>
                <w:b/>
                <w:bCs/>
                <w:noProof w:val="0"/>
                <w:sz w:val="26"/>
                <w:szCs w:val="26"/>
              </w:rPr>
            </w:pPr>
            <w:sdt>
              <w:sdtPr>
                <w:rPr>
                  <w:rtl/>
                </w:rPr>
                <w:alias w:val="1184"/>
                <w:tag w:val="1184"/>
                <w:id w:val="-340621022"/>
                <w:text w:multiLine="1"/>
              </w:sdtPr>
              <w:sdtEndPr/>
              <w:sdtContent>
                <w:r w:rsidR="00C0170B">
                  <w:rPr>
                    <w:rFonts w:hint="cs" w:ascii="Arial" w:hAnsi="Arial"/>
                    <w:b/>
                    <w:bCs/>
                    <w:noProof w:val="0"/>
                    <w:sz w:val="26"/>
                    <w:szCs w:val="26"/>
                    <w:rtl/>
                  </w:rPr>
                  <w:t>ה</w:t>
                </w:r>
                <w:r w:rsidR="004D74B1">
                  <w:rPr>
                    <w:rFonts w:ascii="Arial" w:hAnsi="Arial"/>
                    <w:b/>
                    <w:bCs/>
                    <w:noProof w:val="0"/>
                    <w:sz w:val="26"/>
                    <w:szCs w:val="26"/>
                    <w:rtl/>
                  </w:rPr>
                  <w:t>משיב</w:t>
                </w:r>
                <w:r w:rsidR="00C0170B">
                  <w:rPr>
                    <w:rFonts w:hint="cs" w:ascii="Arial" w:hAnsi="Arial"/>
                    <w:b/>
                    <w:bCs/>
                    <w:noProof w:val="0"/>
                    <w:sz w:val="26"/>
                    <w:szCs w:val="26"/>
                    <w:rtl/>
                  </w:rPr>
                  <w:t>ה</w:t>
                </w:r>
                <w:r w:rsidR="00C0170B">
                  <w:rPr>
                    <w:rFonts w:hint="cs"/>
                    <w:rtl/>
                  </w:rPr>
                  <w:t>:</w:t>
                </w:r>
              </w:sdtContent>
            </w:sdt>
          </w:p>
        </w:tc>
        <w:tc>
          <w:tcPr>
            <w:tcW w:w="5571" w:type="dxa"/>
            <w:gridSpan w:val="2"/>
          </w:tcPr>
          <w:p w:rsidRPr="00C0170B" w:rsidR="0094424E" w:rsidP="00C0170B" w:rsidRDefault="00795337">
            <w:pPr>
              <w:rPr>
                <w:bCs/>
                <w:noProof w:val="0"/>
                <w:sz w:val="26"/>
                <w:szCs w:val="26"/>
                <w:rtl/>
              </w:rPr>
            </w:pPr>
            <w:sdt>
              <w:sdtPr>
                <w:rPr>
                  <w:bCs/>
                  <w:rtl/>
                </w:rPr>
                <w:alias w:val="1486"/>
                <w:tag w:val="1486"/>
                <w:id w:val="-309872140"/>
                <w:text w:multiLine="1"/>
              </w:sdtPr>
              <w:sdtEndPr/>
              <w:sdtContent>
                <w:r w:rsidRPr="00C0170B" w:rsidR="004D74B1">
                  <w:rPr>
                    <w:rFonts w:ascii="Arial" w:hAnsi="Arial"/>
                    <w:bCs/>
                    <w:noProof w:val="0"/>
                    <w:sz w:val="26"/>
                    <w:szCs w:val="26"/>
                    <w:rtl/>
                  </w:rPr>
                  <w:t>עירית חדרה</w:t>
                </w:r>
                <w:r w:rsidRPr="00C0170B" w:rsidR="00C0170B">
                  <w:rPr>
                    <w:rFonts w:ascii="Arial" w:hAnsi="Arial"/>
                    <w:bCs/>
                    <w:noProof w:val="0"/>
                    <w:sz w:val="26"/>
                    <w:szCs w:val="26"/>
                    <w:rtl/>
                  </w:rPr>
                  <w:br/>
                </w:r>
                <w:r w:rsidRPr="00C0170B" w:rsidR="00C0170B">
                  <w:rPr>
                    <w:rFonts w:hint="cs"/>
                    <w:bCs/>
                    <w:rtl/>
                  </w:rPr>
                  <w:t>ע"י ב"כ עו"ד עפר שפיר</w:t>
                </w:r>
              </w:sdtContent>
            </w:sdt>
          </w:p>
        </w:tc>
      </w:tr>
      <w:tr w:rsidR="004C17EE" w:rsidTr="00D620FD">
        <w:trPr>
          <w:jc w:val="center"/>
        </w:trPr>
        <w:tc>
          <w:tcPr>
            <w:tcW w:w="8820" w:type="dxa"/>
            <w:gridSpan w:val="4"/>
          </w:tcPr>
          <w:p w:rsidR="00B10623" w:rsidRDefault="00B10623">
            <w:pPr>
              <w:rPr>
                <w:rFonts w:ascii="Arial" w:hAnsi="Arial"/>
                <w:b/>
                <w:bCs/>
                <w:noProof w:val="0"/>
                <w:sz w:val="26"/>
                <w:szCs w:val="26"/>
                <w:rtl/>
              </w:rPr>
            </w:pPr>
          </w:p>
        </w:tc>
      </w:tr>
    </w:tbl>
    <w:p w:rsidR="0094424E" w:rsidP="0094424E" w:rsidRDefault="0094424E">
      <w:pPr>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noProof w:val="0"/>
                <w:sz w:val="28"/>
                <w:szCs w:val="28"/>
                <w:u w:val="single"/>
              </w:rPr>
            </w:pPr>
            <w:r>
              <w:rPr>
                <w:rFonts w:hint="cs" w:ascii="Arial" w:hAnsi="Arial"/>
                <w:b/>
                <w:bCs/>
                <w:noProof w:val="0"/>
                <w:sz w:val="28"/>
                <w:szCs w:val="28"/>
                <w:u w:val="single"/>
                <w:rtl/>
              </w:rPr>
              <w:t>החלטה</w:t>
            </w:r>
          </w:p>
        </w:tc>
      </w:tr>
    </w:tbl>
    <w:p w:rsidR="00694556" w:rsidRDefault="00694556">
      <w:pPr>
        <w:spacing w:line="360" w:lineRule="auto"/>
        <w:jc w:val="both"/>
        <w:rPr>
          <w:rFonts w:ascii="Arial" w:hAnsi="Arial"/>
          <w:noProof w:val="0"/>
          <w:rtl/>
        </w:rPr>
      </w:pPr>
    </w:p>
    <w:p w:rsidR="00C0170B" w:rsidP="003257AC" w:rsidRDefault="00C0170B">
      <w:pPr>
        <w:spacing w:line="360" w:lineRule="auto"/>
        <w:jc w:val="both"/>
        <w:rPr>
          <w:lang w:eastAsia="he-IL"/>
        </w:rPr>
      </w:pPr>
      <w:bookmarkStart w:name="NGCSBookmark" w:id="0"/>
      <w:bookmarkEnd w:id="0"/>
      <w:r>
        <w:rPr>
          <w:rFonts w:hint="cs" w:ascii="Arial" w:hAnsi="Arial"/>
          <w:rtl/>
          <w:lang w:eastAsia="he-IL"/>
        </w:rPr>
        <w:t xml:space="preserve">בפניי בקשה לאישור הגשת תובענה ייצוגית בהתאם </w:t>
      </w:r>
      <w:r>
        <w:rPr>
          <w:rFonts w:hint="cs"/>
          <w:rtl/>
          <w:lang w:eastAsia="he-IL"/>
        </w:rPr>
        <w:t xml:space="preserve">לחוק תובענות ייצוגיות, התשס"ו-2006 (להלן: </w:t>
      </w:r>
      <w:r>
        <w:rPr>
          <w:rFonts w:hint="cs"/>
          <w:b/>
          <w:bCs/>
          <w:rtl/>
          <w:lang w:eastAsia="he-IL"/>
        </w:rPr>
        <w:t>"חוק תובענות ייצוגיות"</w:t>
      </w:r>
      <w:r>
        <w:rPr>
          <w:rFonts w:hint="cs"/>
          <w:rtl/>
          <w:lang w:eastAsia="he-IL"/>
        </w:rPr>
        <w:t xml:space="preserve"> ו-</w:t>
      </w:r>
      <w:r>
        <w:rPr>
          <w:rFonts w:hint="cs"/>
          <w:b/>
          <w:bCs/>
          <w:rtl/>
          <w:lang w:eastAsia="he-IL"/>
        </w:rPr>
        <w:t>"בקשת האישור"</w:t>
      </w:r>
      <w:r>
        <w:rPr>
          <w:rFonts w:hint="cs"/>
          <w:rtl/>
          <w:lang w:eastAsia="he-IL"/>
        </w:rPr>
        <w:t xml:space="preserve">). עניינה של בקשת האישור בהפרת חובה חקוקה על ידי הגדלה מלאכותית של תעריף היטל שמירה, על </w:t>
      </w:r>
      <w:r w:rsidR="003257AC">
        <w:rPr>
          <w:rFonts w:hint="cs"/>
          <w:rtl/>
          <w:lang w:eastAsia="he-IL"/>
        </w:rPr>
        <w:t xml:space="preserve">ידי </w:t>
      </w:r>
      <w:r>
        <w:rPr>
          <w:rFonts w:hint="cs"/>
          <w:rtl/>
          <w:lang w:eastAsia="he-IL"/>
        </w:rPr>
        <w:t xml:space="preserve">חישוב אריתמטי שגוי, על בסיס הקטנה של אחוזי הגבייה בחישוב הכנסות צפויות, והקטנת שטחים בחיוב במכנה התחשיב. </w:t>
      </w:r>
    </w:p>
    <w:p w:rsidRPr="003257AC" w:rsidR="00C0170B" w:rsidP="0007685D" w:rsidRDefault="00C0170B">
      <w:pPr>
        <w:spacing w:line="360" w:lineRule="auto"/>
        <w:jc w:val="both"/>
        <w:rPr>
          <w:b/>
          <w:bCs/>
          <w:u w:val="single"/>
          <w:lang w:eastAsia="he-IL"/>
        </w:rPr>
      </w:pPr>
    </w:p>
    <w:p w:rsidR="00C0170B" w:rsidP="0007685D" w:rsidRDefault="00C0170B">
      <w:pPr>
        <w:spacing w:line="360" w:lineRule="auto"/>
        <w:jc w:val="both"/>
        <w:rPr>
          <w:b/>
          <w:bCs/>
          <w:u w:val="single"/>
          <w:lang w:eastAsia="he-IL"/>
        </w:rPr>
      </w:pPr>
      <w:r>
        <w:rPr>
          <w:rFonts w:hint="cs"/>
          <w:b/>
          <w:bCs/>
          <w:u w:val="single"/>
          <w:rtl/>
          <w:lang w:eastAsia="he-IL"/>
        </w:rPr>
        <w:t xml:space="preserve">רקע ובקשת האישור </w:t>
      </w:r>
    </w:p>
    <w:p w:rsidR="00C0170B" w:rsidP="0007685D" w:rsidRDefault="00C0170B">
      <w:pPr>
        <w:spacing w:line="360" w:lineRule="auto"/>
        <w:jc w:val="both"/>
        <w:rPr>
          <w:b/>
          <w:bCs/>
          <w:rtl/>
          <w:lang w:eastAsia="he-IL"/>
        </w:rPr>
      </w:pPr>
    </w:p>
    <w:p w:rsidR="00C0170B" w:rsidP="00C0170B" w:rsidRDefault="00C0170B">
      <w:pPr>
        <w:spacing w:line="360" w:lineRule="auto"/>
        <w:jc w:val="both"/>
        <w:rPr>
          <w:b/>
          <w:bCs/>
          <w:rtl/>
          <w:lang w:eastAsia="he-IL"/>
        </w:rPr>
      </w:pPr>
      <w:r>
        <w:rPr>
          <w:rFonts w:hint="cs"/>
          <w:rtl/>
          <w:lang w:eastAsia="he-IL"/>
        </w:rPr>
        <w:t>1.</w:t>
      </w:r>
      <w:r>
        <w:rPr>
          <w:rFonts w:hint="cs"/>
          <w:rtl/>
          <w:lang w:eastAsia="he-IL"/>
        </w:rPr>
        <w:tab/>
        <w:t xml:space="preserve">המבקשים מחזיקים בדירת מגורים בתחום שיפוטה של המשיבה, מחויבים על ידה ושילמו לה בגין הדירה תשלומי היטל שמירה בתקופה הרלוונטית. </w:t>
      </w:r>
    </w:p>
    <w:p w:rsidR="00C0170B" w:rsidP="0007685D" w:rsidRDefault="00C0170B">
      <w:pPr>
        <w:spacing w:line="360" w:lineRule="auto"/>
        <w:ind w:left="720"/>
        <w:jc w:val="both"/>
        <w:rPr>
          <w:b/>
          <w:bCs/>
          <w:rtl/>
          <w:lang w:eastAsia="he-IL"/>
        </w:rPr>
      </w:pPr>
    </w:p>
    <w:p w:rsidR="00C0170B" w:rsidP="00C0170B" w:rsidRDefault="00C0170B">
      <w:pPr>
        <w:spacing w:line="360" w:lineRule="auto"/>
        <w:jc w:val="both"/>
        <w:rPr>
          <w:rtl/>
          <w:lang w:eastAsia="he-IL"/>
        </w:rPr>
      </w:pPr>
      <w:r>
        <w:rPr>
          <w:rFonts w:hint="cs"/>
          <w:rtl/>
          <w:lang w:eastAsia="he-IL"/>
        </w:rPr>
        <w:t>2.</w:t>
      </w:r>
      <w:r>
        <w:rPr>
          <w:rFonts w:hint="cs"/>
          <w:rtl/>
          <w:lang w:eastAsia="he-IL"/>
        </w:rPr>
        <w:tab/>
        <w:t xml:space="preserve">המשיבה היא רשות מקומית. </w:t>
      </w:r>
    </w:p>
    <w:p w:rsidR="00C0170B" w:rsidP="00C0170B" w:rsidRDefault="00C0170B">
      <w:pPr>
        <w:spacing w:line="360" w:lineRule="auto"/>
        <w:jc w:val="both"/>
        <w:rPr>
          <w:lang w:eastAsia="he-IL"/>
        </w:rPr>
      </w:pPr>
      <w:r>
        <w:rPr>
          <w:rFonts w:hint="cs"/>
          <w:rtl/>
          <w:lang w:eastAsia="he-IL"/>
        </w:rPr>
        <w:t xml:space="preserve"> </w:t>
      </w:r>
    </w:p>
    <w:p w:rsidR="00C0170B" w:rsidP="00C0170B" w:rsidRDefault="00C0170B">
      <w:pPr>
        <w:spacing w:line="360" w:lineRule="auto"/>
        <w:jc w:val="both"/>
        <w:rPr>
          <w:rtl/>
          <w:lang w:eastAsia="he-IL"/>
        </w:rPr>
      </w:pPr>
      <w:r>
        <w:rPr>
          <w:rFonts w:hint="cs"/>
          <w:rtl/>
          <w:lang w:eastAsia="he-IL"/>
        </w:rPr>
        <w:t>3.</w:t>
      </w:r>
      <w:r>
        <w:rPr>
          <w:rFonts w:hint="cs"/>
          <w:rtl/>
          <w:lang w:eastAsia="he-IL"/>
        </w:rPr>
        <w:tab/>
        <w:t>לפי בקשת האישור, בתחילת שנת הכספים 2017 קיבלו המבקשים חיוב ארנונה שנתי</w:t>
      </w:r>
      <w:r w:rsidR="008773C1">
        <w:rPr>
          <w:rFonts w:hint="cs"/>
          <w:rtl/>
          <w:lang w:eastAsia="he-IL"/>
        </w:rPr>
        <w:t xml:space="preserve"> הכולל תשלום היטל שמירה. המבקשים פנו וביקשו לקבל את התחשיב הכלכלי לצורך אישור חוק העזר לחדרה (שירותי שמירה) תשס"ז-2007, שעל פיו אושר תעריף היטל השמירה בהחלטת מועצת העיר ביום 16.11.16, וקיבלו אותו מהמשיבה. לאחר מכן פנו ביום 30.3.17 בפניה מוקדמת למשיבה באשר לפגמים שנפלו בתחשיב, אך לא קיבלו מענה גם לא כעבור 101 ימים. על כן הוגשה הבקשה ביום 18.7.17. </w:t>
      </w:r>
      <w:r>
        <w:rPr>
          <w:rFonts w:hint="cs"/>
          <w:rtl/>
          <w:lang w:eastAsia="he-IL"/>
        </w:rPr>
        <w:t xml:space="preserve"> </w:t>
      </w:r>
    </w:p>
    <w:p w:rsidR="00C723BC" w:rsidP="00C0170B" w:rsidRDefault="00C723BC">
      <w:pPr>
        <w:spacing w:line="360" w:lineRule="auto"/>
        <w:jc w:val="both"/>
        <w:rPr>
          <w:rtl/>
          <w:lang w:eastAsia="he-IL"/>
        </w:rPr>
      </w:pPr>
    </w:p>
    <w:p w:rsidR="00A44C04" w:rsidP="008773C1" w:rsidRDefault="008773C1">
      <w:pPr>
        <w:spacing w:line="360" w:lineRule="auto"/>
        <w:jc w:val="both"/>
        <w:rPr>
          <w:rtl/>
          <w:lang w:eastAsia="he-IL"/>
        </w:rPr>
      </w:pPr>
      <w:r>
        <w:rPr>
          <w:rFonts w:hint="cs"/>
          <w:rtl/>
          <w:lang w:eastAsia="he-IL"/>
        </w:rPr>
        <w:lastRenderedPageBreak/>
        <w:t>4.</w:t>
      </w:r>
      <w:r>
        <w:rPr>
          <w:rFonts w:hint="cs"/>
          <w:rtl/>
          <w:lang w:eastAsia="he-IL"/>
        </w:rPr>
        <w:tab/>
      </w:r>
      <w:r w:rsidR="00C0170B">
        <w:rPr>
          <w:rFonts w:hint="cs"/>
          <w:rtl/>
          <w:lang w:eastAsia="he-IL"/>
        </w:rPr>
        <w:t>בבקשת האישור טענ</w:t>
      </w:r>
      <w:r>
        <w:rPr>
          <w:rFonts w:hint="cs"/>
          <w:rtl/>
          <w:lang w:eastAsia="he-IL"/>
        </w:rPr>
        <w:t>ו</w:t>
      </w:r>
      <w:r w:rsidR="00C0170B">
        <w:rPr>
          <w:rFonts w:hint="cs"/>
          <w:rtl/>
          <w:lang w:eastAsia="he-IL"/>
        </w:rPr>
        <w:t xml:space="preserve"> המבקש</w:t>
      </w:r>
      <w:r>
        <w:rPr>
          <w:rFonts w:hint="cs"/>
          <w:rtl/>
          <w:lang w:eastAsia="he-IL"/>
        </w:rPr>
        <w:t xml:space="preserve">ים, כי המשיבה רשאית להתקין חוקי עזר כדי לאפשר לה ביצוע דברים שהיא נדרשת או מוסמכת לעשותם, לרבות תשלום אגרות, היטלים או דמי השתתפות, שיכסו את הוצאותיה. ואולם, כפי שנקבע בע"א 2062/02 </w:t>
      </w:r>
      <w:r>
        <w:rPr>
          <w:rFonts w:hint="cs"/>
          <w:b/>
          <w:bCs/>
          <w:rtl/>
          <w:lang w:eastAsia="he-IL"/>
        </w:rPr>
        <w:t>עיריית חולון נ' ארגון הקבלנים והבונים חולון</w:t>
      </w:r>
      <w:r>
        <w:rPr>
          <w:rFonts w:hint="cs"/>
          <w:rtl/>
          <w:lang w:eastAsia="he-IL"/>
        </w:rPr>
        <w:t>, פ"ד נח (5) 933 (להלן: "</w:t>
      </w:r>
      <w:r>
        <w:rPr>
          <w:rFonts w:hint="cs"/>
          <w:b/>
          <w:bCs/>
          <w:rtl/>
          <w:lang w:eastAsia="he-IL"/>
        </w:rPr>
        <w:t>עיריית חולון</w:t>
      </w:r>
      <w:r>
        <w:rPr>
          <w:rFonts w:hint="cs"/>
          <w:rtl/>
          <w:lang w:eastAsia="he-IL"/>
        </w:rPr>
        <w:t xml:space="preserve">"), רשות מקומית המבקשת להטיל היטל חייבת לערוך תחשיב כלכלי שיבטיח שתעריפי ההיטל יאפשרו לרשות לממן את ההוצאות אותן נועד ההיטל לממן, אך ימנע העשרת קופת הרשות, מעבר לסכום ההוצאות הדרוש. </w:t>
      </w:r>
    </w:p>
    <w:p w:rsidR="00A44C04" w:rsidP="008773C1" w:rsidRDefault="00A44C04">
      <w:pPr>
        <w:spacing w:line="360" w:lineRule="auto"/>
        <w:jc w:val="both"/>
        <w:rPr>
          <w:rtl/>
          <w:lang w:eastAsia="he-IL"/>
        </w:rPr>
      </w:pPr>
    </w:p>
    <w:p w:rsidR="00817528" w:rsidP="003257AC" w:rsidRDefault="00A44C04">
      <w:pPr>
        <w:spacing w:line="360" w:lineRule="auto"/>
        <w:jc w:val="both"/>
        <w:rPr>
          <w:rtl/>
          <w:lang w:eastAsia="he-IL"/>
        </w:rPr>
      </w:pPr>
      <w:r>
        <w:rPr>
          <w:rFonts w:hint="cs"/>
          <w:rtl/>
          <w:lang w:eastAsia="he-IL"/>
        </w:rPr>
        <w:t>5.</w:t>
      </w:r>
      <w:r>
        <w:rPr>
          <w:rtl/>
          <w:lang w:eastAsia="he-IL"/>
        </w:rPr>
        <w:tab/>
      </w:r>
      <w:r>
        <w:rPr>
          <w:rFonts w:hint="cs"/>
          <w:rtl/>
          <w:lang w:eastAsia="he-IL"/>
        </w:rPr>
        <w:t>לטענת המבקשים, תעריף ההיטל למ"ר הוא תוצאה של חלוקת סך העלויות למימון ההוצאות, בסך השטחים המחויבים בהיטל. לטענתם, הוטל ההיטל על פי תחשיב הלוקה בשגיאות, הן במונה והן במכנה. רו</w:t>
      </w:r>
      <w:r w:rsidR="003257AC">
        <w:rPr>
          <w:rFonts w:hint="cs"/>
          <w:rtl/>
          <w:lang w:eastAsia="he-IL"/>
        </w:rPr>
        <w:t>"ח</w:t>
      </w:r>
      <w:r>
        <w:rPr>
          <w:rFonts w:hint="cs"/>
          <w:rtl/>
          <w:lang w:eastAsia="he-IL"/>
        </w:rPr>
        <w:t xml:space="preserve"> בוחניק, שערך את התחשיב, התעלם מאחוזי הגבייה בפועל של החיובים השוטפים על פי הדוחות הכספיים של המשיבה, שהיו בפניו, והשתמש באחוזי גבייה נמוכים בכ-14%, כדי להגדיל את מונה התחשיב באופן מלאכותי, ובכך להגדיל את תעריף היטל השמירה. </w:t>
      </w:r>
    </w:p>
    <w:p w:rsidR="00817528" w:rsidP="00A44C04" w:rsidRDefault="00817528">
      <w:pPr>
        <w:spacing w:line="360" w:lineRule="auto"/>
        <w:jc w:val="both"/>
        <w:rPr>
          <w:rtl/>
          <w:lang w:eastAsia="he-IL"/>
        </w:rPr>
      </w:pPr>
    </w:p>
    <w:p w:rsidR="00C0170B" w:rsidP="00A44C04" w:rsidRDefault="00817528">
      <w:pPr>
        <w:spacing w:line="360" w:lineRule="auto"/>
        <w:jc w:val="both"/>
        <w:rPr>
          <w:rtl/>
          <w:lang w:eastAsia="he-IL"/>
        </w:rPr>
      </w:pPr>
      <w:r>
        <w:rPr>
          <w:rFonts w:hint="cs"/>
          <w:rtl/>
          <w:lang w:eastAsia="he-IL"/>
        </w:rPr>
        <w:t>6.</w:t>
      </w:r>
      <w:r>
        <w:rPr>
          <w:rFonts w:hint="cs"/>
          <w:rtl/>
          <w:lang w:eastAsia="he-IL"/>
        </w:rPr>
        <w:tab/>
      </w:r>
      <w:r w:rsidR="00A44C04">
        <w:rPr>
          <w:rFonts w:hint="cs"/>
          <w:rtl/>
          <w:lang w:eastAsia="he-IL"/>
        </w:rPr>
        <w:t xml:space="preserve">בנוסף על כך, </w:t>
      </w:r>
      <w:r>
        <w:rPr>
          <w:rFonts w:hint="cs"/>
          <w:rtl/>
          <w:lang w:eastAsia="he-IL"/>
        </w:rPr>
        <w:t xml:space="preserve">לטענת המבקשים, </w:t>
      </w:r>
      <w:r w:rsidR="00A44C04">
        <w:rPr>
          <w:rFonts w:hint="cs"/>
          <w:rtl/>
          <w:lang w:eastAsia="he-IL"/>
        </w:rPr>
        <w:t>השתמש עורך התחשיב בקובץ ארנונה ונתונים ל-7/15, למרות שערך את התחשיב שנה לאחר מכן, כאשר בלחיצת כפתור ניתן היה להוציא קובץ ארנונה עדכני. סך השטחים</w:t>
      </w:r>
      <w:r w:rsidR="008773C1">
        <w:rPr>
          <w:rFonts w:hint="cs"/>
          <w:rtl/>
          <w:lang w:eastAsia="he-IL"/>
        </w:rPr>
        <w:t xml:space="preserve"> </w:t>
      </w:r>
      <w:r w:rsidR="00A44C04">
        <w:rPr>
          <w:rFonts w:hint="cs"/>
          <w:rtl/>
          <w:lang w:eastAsia="he-IL"/>
        </w:rPr>
        <w:t xml:space="preserve">לחיוב עמד לטענת המבקשים נכון ל-31.12.15 על 5,224,100 מ"ר, 6.6% יותר מסך השטחים שנלקח בחשבון לצורך התחשיב. </w:t>
      </w:r>
      <w:r>
        <w:rPr>
          <w:rFonts w:hint="cs"/>
          <w:rtl/>
          <w:lang w:eastAsia="he-IL"/>
        </w:rPr>
        <w:t xml:space="preserve">בנוסף על כך, התעלם עורך התחשיב מנתוני התחלות וגמר בנייה המשקפים שטחים המתווספים במהלך השנה לחיוב הארנונה. מדי שנה יש גמר בנייה מעל 100,000 מ"ר מגורים, ומעל 16,000 מ"ר בנכסים אחרים, </w:t>
      </w:r>
      <w:r w:rsidR="00281E81">
        <w:rPr>
          <w:rFonts w:hint="cs"/>
          <w:rtl/>
          <w:lang w:eastAsia="he-IL"/>
        </w:rPr>
        <w:t xml:space="preserve">ואלו לא נלקחו </w:t>
      </w:r>
      <w:r w:rsidR="00ED2086">
        <w:rPr>
          <w:rFonts w:hint="cs"/>
          <w:rtl/>
          <w:lang w:eastAsia="he-IL"/>
        </w:rPr>
        <w:t xml:space="preserve">בחשבון, כמו גם שטחי מדינה, </w:t>
      </w:r>
      <w:r>
        <w:rPr>
          <w:rFonts w:hint="cs"/>
          <w:rtl/>
          <w:lang w:eastAsia="he-IL"/>
        </w:rPr>
        <w:t xml:space="preserve">ומכאן שהמשיבה פעלה במכוון להקטנה של סך השטחים, ובכך הוקטן מכנה התחשיב. </w:t>
      </w:r>
    </w:p>
    <w:p w:rsidR="00817528" w:rsidP="00A44C04" w:rsidRDefault="00817528">
      <w:pPr>
        <w:spacing w:line="360" w:lineRule="auto"/>
        <w:jc w:val="both"/>
        <w:rPr>
          <w:rtl/>
          <w:lang w:eastAsia="he-IL"/>
        </w:rPr>
      </w:pPr>
    </w:p>
    <w:p w:rsidR="00817528" w:rsidP="00817528" w:rsidRDefault="00817528">
      <w:pPr>
        <w:spacing w:line="360" w:lineRule="auto"/>
        <w:jc w:val="both"/>
        <w:rPr>
          <w:rtl/>
          <w:lang w:eastAsia="he-IL"/>
        </w:rPr>
      </w:pPr>
      <w:r>
        <w:rPr>
          <w:rFonts w:hint="cs"/>
          <w:rtl/>
          <w:lang w:eastAsia="he-IL"/>
        </w:rPr>
        <w:t>7.</w:t>
      </w:r>
      <w:r>
        <w:rPr>
          <w:rFonts w:hint="cs"/>
          <w:rtl/>
          <w:lang w:eastAsia="he-IL"/>
        </w:rPr>
        <w:tab/>
        <w:t xml:space="preserve">על פי חישובי המבקשים, אילולא החישוב השגוי של אחוזי הגבייה, היה התעריף בפועל צריך להיות 1.41 ₪ למ"ר לשנה (16.31% פחות), ואילולא החישוב השגוי של השטחים לחיוב היה התעריף בפועל צריך להיות 1.20 ₪ למ"ר לשנה, 0.21 ₪ פחות. </w:t>
      </w:r>
    </w:p>
    <w:p w:rsidR="00817528" w:rsidP="00817528" w:rsidRDefault="00817528">
      <w:pPr>
        <w:spacing w:line="360" w:lineRule="auto"/>
        <w:jc w:val="both"/>
        <w:rPr>
          <w:rtl/>
          <w:lang w:eastAsia="he-IL"/>
        </w:rPr>
      </w:pPr>
    </w:p>
    <w:p w:rsidR="00817528" w:rsidP="00817528" w:rsidRDefault="00817528">
      <w:pPr>
        <w:spacing w:line="360" w:lineRule="auto"/>
        <w:jc w:val="both"/>
        <w:rPr>
          <w:rtl/>
          <w:lang w:eastAsia="he-IL"/>
        </w:rPr>
      </w:pPr>
      <w:r>
        <w:rPr>
          <w:rFonts w:hint="cs"/>
          <w:rtl/>
          <w:lang w:eastAsia="he-IL"/>
        </w:rPr>
        <w:t>8.</w:t>
      </w:r>
      <w:r>
        <w:rPr>
          <w:rFonts w:hint="cs"/>
          <w:rtl/>
          <w:lang w:eastAsia="he-IL"/>
        </w:rPr>
        <w:tab/>
        <w:t xml:space="preserve">לטענת המבקשים, על פי הדין יש לבטל חוק עזר המבוסס על תחשיב כלכלי פגום, ואף אם תיטען הטענה בדבר בטלות יחסית, נקבע בפסיקה שיש לדון בנושא זה בשלב הדיון בתובענה הייצוגית ולא בשלב בקשת האישור. </w:t>
      </w:r>
    </w:p>
    <w:p w:rsidR="00A44C04" w:rsidP="00A44C04" w:rsidRDefault="00A44C04">
      <w:pPr>
        <w:spacing w:line="360" w:lineRule="auto"/>
        <w:jc w:val="both"/>
        <w:rPr>
          <w:rtl/>
          <w:lang w:eastAsia="he-IL"/>
        </w:rPr>
      </w:pPr>
    </w:p>
    <w:p w:rsidR="00C0170B" w:rsidP="00613D8F" w:rsidRDefault="00613D8F">
      <w:pPr>
        <w:spacing w:line="360" w:lineRule="auto"/>
        <w:jc w:val="both"/>
        <w:rPr>
          <w:lang w:eastAsia="he-IL"/>
        </w:rPr>
      </w:pPr>
      <w:r>
        <w:rPr>
          <w:rFonts w:hint="cs"/>
          <w:rtl/>
          <w:lang w:eastAsia="he-IL"/>
        </w:rPr>
        <w:t>9.</w:t>
      </w:r>
      <w:r>
        <w:rPr>
          <w:rFonts w:hint="cs"/>
          <w:rtl/>
          <w:lang w:eastAsia="he-IL"/>
        </w:rPr>
        <w:tab/>
      </w:r>
      <w:r w:rsidR="00C0170B">
        <w:rPr>
          <w:rFonts w:hint="cs"/>
          <w:rtl/>
          <w:lang w:eastAsia="he-IL"/>
        </w:rPr>
        <w:t xml:space="preserve">עילות התביעה, כפי שצוינו בבקשת האישור, הן </w:t>
      </w:r>
      <w:r>
        <w:rPr>
          <w:rFonts w:hint="cs"/>
          <w:rtl/>
          <w:lang w:eastAsia="he-IL"/>
        </w:rPr>
        <w:t xml:space="preserve">עשיית עושר ולא במשפט על ידי המשיבה המחייבת השבה לקבוצה, הפרת חובת תום הלב הכללית ומתחום המשפט המנהלי, הפרת חובה חקוקה ו/או רשלנות על פי פקודת הנזיקין. </w:t>
      </w:r>
    </w:p>
    <w:p w:rsidR="00C0170B" w:rsidP="009626C3" w:rsidRDefault="00613D8F">
      <w:pPr>
        <w:spacing w:line="360" w:lineRule="auto"/>
        <w:jc w:val="both"/>
        <w:rPr>
          <w:rtl/>
          <w:lang w:eastAsia="he-IL"/>
        </w:rPr>
      </w:pPr>
      <w:r>
        <w:rPr>
          <w:rFonts w:hint="cs"/>
          <w:rtl/>
          <w:lang w:eastAsia="he-IL"/>
        </w:rPr>
        <w:lastRenderedPageBreak/>
        <w:t>10.</w:t>
      </w:r>
      <w:r>
        <w:rPr>
          <w:rFonts w:hint="cs"/>
          <w:rtl/>
          <w:lang w:eastAsia="he-IL"/>
        </w:rPr>
        <w:tab/>
      </w:r>
      <w:r w:rsidR="007D1CBB">
        <w:rPr>
          <w:rFonts w:hint="cs"/>
          <w:rtl/>
          <w:lang w:eastAsia="he-IL"/>
        </w:rPr>
        <w:t>על פי</w:t>
      </w:r>
      <w:r w:rsidR="009568BF">
        <w:rPr>
          <w:rFonts w:hint="cs"/>
          <w:rtl/>
          <w:lang w:eastAsia="he-IL"/>
        </w:rPr>
        <w:t xml:space="preserve"> סעיף 6 לבקשת האישור, היא</w:t>
      </w:r>
      <w:r w:rsidR="00C0170B">
        <w:rPr>
          <w:rFonts w:hint="cs"/>
          <w:rtl/>
          <w:lang w:eastAsia="he-IL"/>
        </w:rPr>
        <w:t xml:space="preserve"> עוסקת בקבוצה הבאה: </w:t>
      </w:r>
      <w:r>
        <w:rPr>
          <w:rFonts w:hint="cs"/>
          <w:rtl/>
          <w:lang w:eastAsia="he-IL"/>
        </w:rPr>
        <w:t xml:space="preserve">"כל מי שמחזיק בנכס בתחום שיפוטה של עיריית חדרה, ועיריית חדרה גבתה ממנו תשלומי היטל שמירה תוך הגדלה מלאכותית של תעריף היטל שמירה על ידי חישובים אריתמטיים שגויים, בהגדלת מונה התחשיב הכלכלי על ידי הפחתת אחוזי גבייה בחישוב הכנסות צפויות, והקטנה של מכנה התחשיב הכלכלי על ידי הקטנה של שטחים לחישוב, שתוצאה ישירה של חישובים שגויים אלה היא קביעת תעריף היטל שמירה גבוה יותר, ב-24 חודשים שקדמו להגשת התובענה". </w:t>
      </w:r>
      <w:r w:rsidR="009568BF">
        <w:rPr>
          <w:rFonts w:hint="cs"/>
          <w:rtl/>
          <w:lang w:eastAsia="he-IL"/>
        </w:rPr>
        <w:t xml:space="preserve">על פי </w:t>
      </w:r>
      <w:r w:rsidR="009626C3">
        <w:rPr>
          <w:rFonts w:hint="cs"/>
          <w:rtl/>
          <w:lang w:eastAsia="he-IL"/>
        </w:rPr>
        <w:t>סעיף 92</w:t>
      </w:r>
      <w:r w:rsidR="009568BF">
        <w:rPr>
          <w:rFonts w:hint="cs"/>
          <w:rtl/>
          <w:lang w:eastAsia="he-IL"/>
        </w:rPr>
        <w:t xml:space="preserve"> לבקשת האישור, הקבוצה הרלוונטית היא "כלל מחזיקי הנכסים בתחום שיפוט העירייה אשר שילמו היטל שמירה בהתאם לתחשיב הכלכלי החל מיום 21.3.17 ואילך, במהלך חודשים שטרם הגשת בקשה זו".</w:t>
      </w:r>
    </w:p>
    <w:p w:rsidR="00613D8F" w:rsidP="0007685D" w:rsidRDefault="00613D8F">
      <w:pPr>
        <w:spacing w:line="360" w:lineRule="auto"/>
        <w:jc w:val="both"/>
        <w:rPr>
          <w:rtl/>
          <w:lang w:eastAsia="he-IL"/>
        </w:rPr>
      </w:pPr>
    </w:p>
    <w:p w:rsidR="00613D8F" w:rsidP="009568BF" w:rsidRDefault="00613D8F">
      <w:pPr>
        <w:spacing w:line="360" w:lineRule="auto"/>
        <w:jc w:val="both"/>
        <w:rPr>
          <w:rtl/>
          <w:lang w:eastAsia="he-IL"/>
        </w:rPr>
      </w:pPr>
      <w:r>
        <w:rPr>
          <w:rFonts w:hint="cs"/>
          <w:rtl/>
          <w:lang w:eastAsia="he-IL"/>
        </w:rPr>
        <w:t>11.</w:t>
      </w:r>
      <w:r>
        <w:rPr>
          <w:rFonts w:hint="cs"/>
          <w:rtl/>
          <w:lang w:eastAsia="he-IL"/>
        </w:rPr>
        <w:tab/>
        <w:t xml:space="preserve">המבקשים הגישו את בקשתם כשאינם מיוצגים, מתוך טענה שהם מיומנים מספיק לשמש כתובע ייצוגי ראוי, וכשירים לייצג בדרך הולמת את עניינה של הקבוצה. </w:t>
      </w:r>
      <w:r w:rsidR="003257AC">
        <w:rPr>
          <w:rFonts w:hint="cs"/>
          <w:rtl/>
          <w:lang w:eastAsia="he-IL"/>
        </w:rPr>
        <w:t xml:space="preserve">ואולם, </w:t>
      </w:r>
      <w:r>
        <w:rPr>
          <w:rFonts w:hint="cs"/>
          <w:rtl/>
          <w:lang w:eastAsia="he-IL"/>
        </w:rPr>
        <w:t xml:space="preserve">הבקשה כוללת חזרות במקום שאין צורך בחזרה, וחוסרים במקום שיש צורך להשלים, </w:t>
      </w:r>
      <w:r w:rsidR="009568BF">
        <w:rPr>
          <w:rFonts w:hint="cs"/>
          <w:rtl/>
          <w:lang w:eastAsia="he-IL"/>
        </w:rPr>
        <w:t xml:space="preserve">וסתירות, למשל בהגדרת הקבוצה, </w:t>
      </w:r>
      <w:r>
        <w:rPr>
          <w:rFonts w:hint="cs"/>
          <w:rtl/>
          <w:lang w:eastAsia="he-IL"/>
        </w:rPr>
        <w:t>ובין היתר קוראת למבקשים "תובעים</w:t>
      </w:r>
      <w:r w:rsidR="003219F7">
        <w:rPr>
          <w:rFonts w:hint="cs"/>
          <w:rtl/>
          <w:lang w:eastAsia="he-IL"/>
        </w:rPr>
        <w:t xml:space="preserve">" ולמשיבה "נתבעת", תוך אי הבנה שעדיין לא הוגשה תביעה, אלא בקשה לאישור תובענה ייצוגית, שאליה מצורף כאחד הנספחים, נוסח תובענה ייצוגית, שאם תאושר הבקשה לאישור תובענה ייצוגית, תהפוך לתובענה המוגשת כדין. </w:t>
      </w:r>
    </w:p>
    <w:p w:rsidR="00C0170B" w:rsidP="0007685D" w:rsidRDefault="00C0170B">
      <w:pPr>
        <w:spacing w:line="360" w:lineRule="auto"/>
        <w:jc w:val="both"/>
        <w:rPr>
          <w:lang w:eastAsia="he-IL"/>
        </w:rPr>
      </w:pPr>
    </w:p>
    <w:p w:rsidR="00C0170B" w:rsidP="003219F7" w:rsidRDefault="00C0170B">
      <w:pPr>
        <w:spacing w:line="360" w:lineRule="auto"/>
        <w:jc w:val="both"/>
        <w:rPr>
          <w:rtl/>
          <w:lang w:eastAsia="he-IL"/>
        </w:rPr>
      </w:pPr>
      <w:r>
        <w:rPr>
          <w:rFonts w:hint="cs"/>
          <w:rtl/>
          <w:lang w:eastAsia="he-IL"/>
        </w:rPr>
        <w:t>1</w:t>
      </w:r>
      <w:r w:rsidR="003219F7">
        <w:rPr>
          <w:rFonts w:hint="cs"/>
          <w:rtl/>
          <w:lang w:eastAsia="he-IL"/>
        </w:rPr>
        <w:t>2</w:t>
      </w:r>
      <w:r>
        <w:rPr>
          <w:rFonts w:hint="cs"/>
          <w:rtl/>
          <w:lang w:eastAsia="he-IL"/>
        </w:rPr>
        <w:t>.</w:t>
      </w:r>
      <w:r>
        <w:rPr>
          <w:rFonts w:hint="cs"/>
          <w:rtl/>
          <w:lang w:eastAsia="he-IL"/>
        </w:rPr>
        <w:tab/>
        <w:t>בבקשת האישור נטען שלמבקשים וליתר חברי הקבוצה נגרם נזק ממוני</w:t>
      </w:r>
      <w:r w:rsidR="003219F7">
        <w:rPr>
          <w:rFonts w:hint="cs"/>
          <w:rtl/>
          <w:lang w:eastAsia="he-IL"/>
        </w:rPr>
        <w:t xml:space="preserve">, בגביית יתר של היטל השמירה. המבקשים טענו שבתקופה 21.3.17 עד 31.8.17, חויבו ביתר בסך 22.10 ₪, שאותם יש להשיב להם בצירוף הפרשי ריבית והצמדה לפי חוק הרשויות המקומיות (ריבית והפרשי הצמדה על תשלומי חובה), תש"ם-1980. </w:t>
      </w:r>
      <w:r>
        <w:rPr>
          <w:rFonts w:hint="cs"/>
          <w:rtl/>
          <w:lang w:eastAsia="he-IL"/>
        </w:rPr>
        <w:t xml:space="preserve"> </w:t>
      </w:r>
    </w:p>
    <w:p w:rsidR="00C0170B" w:rsidP="0007685D" w:rsidRDefault="00C0170B">
      <w:pPr>
        <w:ind w:left="720"/>
        <w:rPr>
          <w:rtl/>
          <w:lang w:eastAsia="he-IL"/>
        </w:rPr>
      </w:pPr>
    </w:p>
    <w:p w:rsidR="00C0170B" w:rsidP="00B75044" w:rsidRDefault="00C0170B">
      <w:pPr>
        <w:spacing w:line="360" w:lineRule="auto"/>
        <w:jc w:val="both"/>
        <w:rPr>
          <w:rtl/>
          <w:lang w:eastAsia="he-IL"/>
        </w:rPr>
      </w:pPr>
      <w:r>
        <w:rPr>
          <w:rFonts w:hint="cs"/>
          <w:rtl/>
          <w:lang w:eastAsia="he-IL"/>
        </w:rPr>
        <w:t>1</w:t>
      </w:r>
      <w:r w:rsidR="003219F7">
        <w:rPr>
          <w:rFonts w:hint="cs"/>
          <w:rtl/>
          <w:lang w:eastAsia="he-IL"/>
        </w:rPr>
        <w:t>3</w:t>
      </w:r>
      <w:r>
        <w:rPr>
          <w:rFonts w:hint="cs"/>
          <w:rtl/>
          <w:lang w:eastAsia="he-IL"/>
        </w:rPr>
        <w:t>.</w:t>
      </w:r>
      <w:r>
        <w:rPr>
          <w:rFonts w:hint="cs"/>
          <w:rtl/>
          <w:lang w:eastAsia="he-IL"/>
        </w:rPr>
        <w:tab/>
      </w:r>
      <w:r w:rsidR="007D1CBB">
        <w:rPr>
          <w:rFonts w:hint="cs"/>
          <w:rtl/>
          <w:lang w:eastAsia="he-IL"/>
        </w:rPr>
        <w:t xml:space="preserve">המבקשים לא ציינו בבקשתם </w:t>
      </w:r>
      <w:r w:rsidR="003257AC">
        <w:rPr>
          <w:rFonts w:hint="cs"/>
          <w:rtl/>
          <w:lang w:eastAsia="he-IL"/>
        </w:rPr>
        <w:t>את המספר המשוער של חברי הקבוצה, על פי תקנה 2 (א) (6)</w:t>
      </w:r>
      <w:r w:rsidR="00B75044">
        <w:rPr>
          <w:rFonts w:hint="cs"/>
          <w:rtl/>
          <w:lang w:eastAsia="he-IL"/>
        </w:rPr>
        <w:t xml:space="preserve">. בנוסף, </w:t>
      </w:r>
      <w:r w:rsidR="003257AC">
        <w:rPr>
          <w:rFonts w:hint="cs"/>
          <w:rtl/>
          <w:lang w:eastAsia="he-IL"/>
        </w:rPr>
        <w:t xml:space="preserve">לדבריהם, סכום ההשבה המחושב על דרך האומדנא מגיע ל-1,052,013 ₪ לתקופה 21.3.17 ועד 31.8.17. בכך לא עמדו בחובתם לציין בבקשתם את הסכום המשוער של תביעות כל הנמנים על הקבוצה (בכל 24 החודשים הקודמים להגשת הבקשה), והאופן שבו חושב או הוערך סכום התביעה (לכל 24 החודשים הקודמים להגשת הבקשה, ולכל חברי הקבוצה), לפי תקנה 2 (א) (7). </w:t>
      </w:r>
      <w:r w:rsidR="00B75044">
        <w:rPr>
          <w:rFonts w:hint="cs"/>
          <w:rtl/>
          <w:lang w:eastAsia="he-IL"/>
        </w:rPr>
        <w:t xml:space="preserve">כמו כן, לא ציינו </w:t>
      </w:r>
      <w:r w:rsidR="007D1CBB">
        <w:rPr>
          <w:rFonts w:hint="cs"/>
          <w:rtl/>
          <w:lang w:eastAsia="he-IL"/>
        </w:rPr>
        <w:t xml:space="preserve">את השאלות המהותיות של עובדה או משפט המשותפות לקבוצה, והנימוקים המצביעים על כך שקיימת אפשרות סבירה שהשאלות כאמור יוכרעו לטובת הקבוצה, בניגוד לתקנה 2 (א) (9). אפשר שהדבר נובע מכך שהגישו את בקשתם כשאינם מיוצגים. </w:t>
      </w:r>
      <w:r>
        <w:rPr>
          <w:rFonts w:hint="cs"/>
          <w:rtl/>
          <w:lang w:eastAsia="he-IL"/>
        </w:rPr>
        <w:t xml:space="preserve"> </w:t>
      </w:r>
    </w:p>
    <w:p w:rsidR="00C0170B" w:rsidP="0007685D" w:rsidRDefault="00C0170B">
      <w:pPr>
        <w:ind w:left="720"/>
        <w:rPr>
          <w:lang w:eastAsia="he-IL"/>
        </w:rPr>
      </w:pPr>
    </w:p>
    <w:p w:rsidR="009568BF" w:rsidP="00B75044" w:rsidRDefault="00C0170B">
      <w:pPr>
        <w:spacing w:line="360" w:lineRule="auto"/>
        <w:jc w:val="both"/>
        <w:rPr>
          <w:rtl/>
          <w:lang w:eastAsia="he-IL"/>
        </w:rPr>
      </w:pPr>
      <w:r>
        <w:rPr>
          <w:rFonts w:hint="cs"/>
          <w:rtl/>
          <w:lang w:eastAsia="he-IL"/>
        </w:rPr>
        <w:t>1</w:t>
      </w:r>
      <w:r w:rsidR="00B75044">
        <w:rPr>
          <w:rFonts w:hint="cs"/>
          <w:rtl/>
          <w:lang w:eastAsia="he-IL"/>
        </w:rPr>
        <w:t>4</w:t>
      </w:r>
      <w:r>
        <w:rPr>
          <w:rFonts w:hint="cs"/>
          <w:rtl/>
          <w:lang w:eastAsia="he-IL"/>
        </w:rPr>
        <w:t>.</w:t>
      </w:r>
      <w:r>
        <w:rPr>
          <w:rFonts w:hint="cs"/>
          <w:rtl/>
          <w:lang w:eastAsia="he-IL"/>
        </w:rPr>
        <w:tab/>
        <w:t xml:space="preserve">בבקשה לאישור </w:t>
      </w:r>
      <w:r w:rsidR="00B75044">
        <w:rPr>
          <w:rFonts w:hint="cs"/>
          <w:rtl/>
          <w:lang w:eastAsia="he-IL"/>
        </w:rPr>
        <w:t xml:space="preserve">צורפה </w:t>
      </w:r>
      <w:r>
        <w:rPr>
          <w:rFonts w:hint="cs"/>
          <w:rtl/>
          <w:lang w:eastAsia="he-IL"/>
        </w:rPr>
        <w:t>תביעה ייצוגית</w:t>
      </w:r>
      <w:r w:rsidR="009568BF">
        <w:rPr>
          <w:rFonts w:hint="cs"/>
          <w:rtl/>
          <w:lang w:eastAsia="he-IL"/>
        </w:rPr>
        <w:t>, לפיה יושבו לחברי הקבוצה 1,052,013 ₪ בצירוף הפרשי הצמדה וריבית לפי חוק הרשויות המקומיות הנ"ל, ופיצוי הולם למבקשים בשיעור של 15% מהסכום שייפסק.</w:t>
      </w:r>
    </w:p>
    <w:p w:rsidR="009568BF" w:rsidP="00B75044" w:rsidRDefault="009568BF">
      <w:pPr>
        <w:spacing w:line="360" w:lineRule="auto"/>
        <w:jc w:val="both"/>
        <w:rPr>
          <w:rtl/>
          <w:lang w:eastAsia="he-IL"/>
        </w:rPr>
      </w:pPr>
      <w:r>
        <w:rPr>
          <w:rFonts w:hint="cs"/>
          <w:rtl/>
          <w:lang w:eastAsia="he-IL"/>
        </w:rPr>
        <w:lastRenderedPageBreak/>
        <w:t>1</w:t>
      </w:r>
      <w:r w:rsidR="00B75044">
        <w:rPr>
          <w:rFonts w:hint="cs"/>
          <w:rtl/>
          <w:lang w:eastAsia="he-IL"/>
        </w:rPr>
        <w:t>5</w:t>
      </w:r>
      <w:r>
        <w:rPr>
          <w:rFonts w:hint="cs"/>
          <w:rtl/>
          <w:lang w:eastAsia="he-IL"/>
        </w:rPr>
        <w:t>.</w:t>
      </w:r>
      <w:r>
        <w:rPr>
          <w:rtl/>
          <w:lang w:eastAsia="he-IL"/>
        </w:rPr>
        <w:tab/>
      </w:r>
      <w:r>
        <w:rPr>
          <w:rFonts w:hint="cs"/>
          <w:rtl/>
          <w:lang w:eastAsia="he-IL"/>
        </w:rPr>
        <w:t>בתשובה לבקשת האישור נטען שהיא מבוססת על שתי הנחות יסוד שגויות: האחת, כי אחוזי הגבייה בפועל גבוהים מאלה שנלקחו בחשבון במסגרת התחשיב, והשנייה שהשטחים שנלקחו בחשבון קטנים מהשטחים האמיתיים. נטען, כי הלכה למעשה חושבו תעריפי היטל הש</w:t>
      </w:r>
      <w:r w:rsidR="00EC64B1">
        <w:rPr>
          <w:rFonts w:hint="cs"/>
          <w:rtl/>
          <w:lang w:eastAsia="he-IL"/>
        </w:rPr>
        <w:t xml:space="preserve">מירה על בסיס ערכים ריאלים, ואין הם לוקים בחוסר סבירות קיצוני. </w:t>
      </w:r>
    </w:p>
    <w:p w:rsidR="00EC64B1" w:rsidP="009568BF" w:rsidRDefault="00EC64B1">
      <w:pPr>
        <w:spacing w:line="360" w:lineRule="auto"/>
        <w:jc w:val="both"/>
        <w:rPr>
          <w:rtl/>
          <w:lang w:eastAsia="he-IL"/>
        </w:rPr>
      </w:pPr>
    </w:p>
    <w:p w:rsidR="00EC64B1" w:rsidP="00B75044" w:rsidRDefault="00EC64B1">
      <w:pPr>
        <w:spacing w:line="360" w:lineRule="auto"/>
        <w:jc w:val="both"/>
        <w:rPr>
          <w:rtl/>
          <w:lang w:eastAsia="he-IL"/>
        </w:rPr>
      </w:pPr>
      <w:r>
        <w:rPr>
          <w:rFonts w:hint="cs"/>
          <w:rtl/>
          <w:lang w:eastAsia="he-IL"/>
        </w:rPr>
        <w:t>1</w:t>
      </w:r>
      <w:r w:rsidR="00B75044">
        <w:rPr>
          <w:rFonts w:hint="cs"/>
          <w:rtl/>
          <w:lang w:eastAsia="he-IL"/>
        </w:rPr>
        <w:t>6</w:t>
      </w:r>
      <w:r>
        <w:rPr>
          <w:rFonts w:hint="cs"/>
          <w:rtl/>
          <w:lang w:eastAsia="he-IL"/>
        </w:rPr>
        <w:t>.</w:t>
      </w:r>
      <w:r>
        <w:rPr>
          <w:rFonts w:hint="cs"/>
          <w:rtl/>
          <w:lang w:eastAsia="he-IL"/>
        </w:rPr>
        <w:tab/>
        <w:t>על פי תיקון לחוק העזר שפורסם ברשומות ביום 21.3.17 עודכן תעריף היטל השמירה ל-1.64 ₪ לשנה לכל מ"ר בניין. בהתאם לכך נדרש המבקש לשלם סכום זה. נטען, כי על פי תקנות העיריות (שמירה, אבטחה וסדר ציבורי ברשות מקומית) תשע"ב-2011, תקנות העיריות (סכום מרבי של אגרה או היטל בעד שירותי שמירה, אבטחה וסדר מקומי ברשויות המקומיות) תשע"ג-2013, ונוהל עריכת תחשיב לקביעת תעריפי היטל השמירה שפורסם בחוזר מנכ"ל משרד הפנים 3/2013, נערך התחשיב לצורך חוק העזר. לטענת המשיבה, חוק העזר נהנה מחזקת תקינות, וניתן לתקוף אותו רק מחמת היעדר חוקיות או היעדר סבירות קיצוני. לטענת המשיבה, בית המשפט לא יכריע במחלוקת מומחים בקשר לתעריפים ונכונות החישובים, שכן תפקיד זה נתון למועצת העירייה או לשר הפנים</w:t>
      </w:r>
      <w:r w:rsidR="00A8017C">
        <w:rPr>
          <w:rFonts w:hint="cs"/>
          <w:rtl/>
          <w:lang w:eastAsia="he-IL"/>
        </w:rPr>
        <w:t xml:space="preserve">. </w:t>
      </w:r>
    </w:p>
    <w:p w:rsidR="00A8017C" w:rsidP="00EC64B1" w:rsidRDefault="00A8017C">
      <w:pPr>
        <w:spacing w:line="360" w:lineRule="auto"/>
        <w:jc w:val="both"/>
        <w:rPr>
          <w:rtl/>
          <w:lang w:eastAsia="he-IL"/>
        </w:rPr>
      </w:pPr>
    </w:p>
    <w:p w:rsidR="00A8017C" w:rsidP="00B75044" w:rsidRDefault="00A8017C">
      <w:pPr>
        <w:spacing w:line="360" w:lineRule="auto"/>
        <w:jc w:val="both"/>
        <w:rPr>
          <w:rtl/>
          <w:lang w:eastAsia="he-IL"/>
        </w:rPr>
      </w:pPr>
      <w:r>
        <w:rPr>
          <w:rFonts w:hint="cs"/>
          <w:rtl/>
          <w:lang w:eastAsia="he-IL"/>
        </w:rPr>
        <w:t>1</w:t>
      </w:r>
      <w:r w:rsidR="00B75044">
        <w:rPr>
          <w:rFonts w:hint="cs"/>
          <w:rtl/>
          <w:lang w:eastAsia="he-IL"/>
        </w:rPr>
        <w:t>7</w:t>
      </w:r>
      <w:r>
        <w:rPr>
          <w:rFonts w:hint="cs"/>
          <w:rtl/>
          <w:lang w:eastAsia="he-IL"/>
        </w:rPr>
        <w:t>.</w:t>
      </w:r>
      <w:r>
        <w:rPr>
          <w:rFonts w:hint="cs"/>
          <w:rtl/>
          <w:lang w:eastAsia="he-IL"/>
        </w:rPr>
        <w:tab/>
        <w:t xml:space="preserve">אשר למונה התחשיב, אין מחלוקת על סכומי ההוצאות שיש לקחת בחשבון, אלא על אחוזי הגבייה. המבקש הניח, שלפי הדוחות הכספיים השנתיים המבוקרים אחוז הגבייה הוא 87%, ואחוז זה עולה משנה לשנה, כך שבשנת 2015 הוא נעמד בכ-91%. המשיבה אינה חולקת על כך שנגבו למעלה מ-90% מסך החיובים בהיטל שמירה שהנפיקה המשיבה, אך לטענתה סכומי החיוב שביסוד התחשיב הם סכומים הגבוהים מסכומי הדרישות, ומבטאים את סכומי ההיטל המלא שהיה מוטל על מחזיקי הנכסים אילולא הנחות שהם זכאים להן לפי חוק העזר, החופפות את ההנחות בתשלומי ארנונה כללית, על פי תקנות ההסדרים במשק המדינה (הנחות בארנונה), תשנ"ג-1993. </w:t>
      </w:r>
      <w:r w:rsidR="00B75044">
        <w:rPr>
          <w:rFonts w:hint="cs"/>
          <w:rtl/>
          <w:lang w:eastAsia="he-IL"/>
        </w:rPr>
        <w:t>נטען, ש</w:t>
      </w:r>
      <w:r>
        <w:rPr>
          <w:rFonts w:hint="cs"/>
          <w:rtl/>
          <w:lang w:eastAsia="he-IL"/>
        </w:rPr>
        <w:t xml:space="preserve">על פי תחשיב הלוקח בחשבון את ההנחות המוענקות למחזיקי נכסים, אחוז הגבייה 77.95% מבטא את היחס בין הסך שייכנס לקופת העירייה מתקבולי היטל השמירה, לבין סך ההיטל המלא שניתן היה לגבות ממחזיקי נכסים לולא ההנחות, אילו היו החיובים משולמים במלואם מקופת העירייה. על כן, זהו אחוז הגבייה הנכון ולא נפל פגם בחישובו. </w:t>
      </w:r>
    </w:p>
    <w:p w:rsidR="00A8017C" w:rsidP="00EC64B1" w:rsidRDefault="00A8017C">
      <w:pPr>
        <w:spacing w:line="360" w:lineRule="auto"/>
        <w:jc w:val="both"/>
        <w:rPr>
          <w:rtl/>
          <w:lang w:eastAsia="he-IL"/>
        </w:rPr>
      </w:pPr>
    </w:p>
    <w:p w:rsidR="00A8017C" w:rsidP="00B75044" w:rsidRDefault="00A8017C">
      <w:pPr>
        <w:spacing w:line="360" w:lineRule="auto"/>
        <w:jc w:val="both"/>
        <w:rPr>
          <w:rtl/>
          <w:lang w:eastAsia="he-IL"/>
        </w:rPr>
      </w:pPr>
      <w:r>
        <w:rPr>
          <w:rFonts w:hint="cs"/>
          <w:rtl/>
          <w:lang w:eastAsia="he-IL"/>
        </w:rPr>
        <w:t>1</w:t>
      </w:r>
      <w:r w:rsidR="00B75044">
        <w:rPr>
          <w:rFonts w:hint="cs"/>
          <w:rtl/>
          <w:lang w:eastAsia="he-IL"/>
        </w:rPr>
        <w:t>8</w:t>
      </w:r>
      <w:r>
        <w:rPr>
          <w:rFonts w:hint="cs"/>
          <w:rtl/>
          <w:lang w:eastAsia="he-IL"/>
        </w:rPr>
        <w:t>.</w:t>
      </w:r>
      <w:r>
        <w:rPr>
          <w:rFonts w:hint="cs"/>
          <w:rtl/>
          <w:lang w:eastAsia="he-IL"/>
        </w:rPr>
        <w:tab/>
      </w:r>
      <w:r w:rsidR="00281E81">
        <w:rPr>
          <w:rFonts w:hint="cs"/>
          <w:rtl/>
          <w:lang w:eastAsia="he-IL"/>
        </w:rPr>
        <w:t>אשר למכנה התחשיב, טענה המשיבה שבבסיס חישובו של המבקש נפלה טעות בולטת, כשהביא בחשבון את סך השטחים המבונים שנוספו בכל שנת 2016, אך התחשיב נערך ביולי 2016, וברור שמועד חתימתו אינו מועד עריכתו בפועל, אלא נערך במהלך חודשים שקדמו למועד חתימתו. הנתונים הרלוונטיים למועד עריכתו, כך טענה המשיבה, הם נתוני תחילת שנת 2016 במקרה הטוב.</w:t>
      </w:r>
      <w:r w:rsidR="00B75044">
        <w:rPr>
          <w:rFonts w:hint="cs"/>
          <w:rtl/>
          <w:lang w:eastAsia="he-IL"/>
        </w:rPr>
        <w:t xml:space="preserve"> המשיבה לא ציינה בתשובתה מה הנתונים לתחילת 2016. </w:t>
      </w:r>
      <w:r w:rsidR="00281E81">
        <w:rPr>
          <w:rFonts w:hint="cs"/>
          <w:rtl/>
          <w:lang w:eastAsia="he-IL"/>
        </w:rPr>
        <w:t xml:space="preserve">עוד נטען, כי עורך התחשיב אינו נביא ואינו חוזה, ועליו לשקף בתחשיבו את הערכים והנתונים הרלוונטיים במועד הסמוך למועד עריכת התחשיב. </w:t>
      </w:r>
      <w:r w:rsidR="00B75044">
        <w:rPr>
          <w:rFonts w:hint="cs"/>
          <w:rtl/>
          <w:lang w:eastAsia="he-IL"/>
        </w:rPr>
        <w:lastRenderedPageBreak/>
        <w:t>נטען, ש</w:t>
      </w:r>
      <w:r w:rsidR="00281E81">
        <w:rPr>
          <w:rFonts w:hint="cs"/>
          <w:rtl/>
          <w:lang w:eastAsia="he-IL"/>
        </w:rPr>
        <w:t xml:space="preserve">כך נקבע בפסק דין </w:t>
      </w:r>
      <w:r w:rsidR="00281E81">
        <w:rPr>
          <w:rFonts w:hint="cs"/>
          <w:b/>
          <w:bCs/>
          <w:rtl/>
          <w:lang w:eastAsia="he-IL"/>
        </w:rPr>
        <w:t>עיריית חולון</w:t>
      </w:r>
      <w:r w:rsidR="00281E81">
        <w:rPr>
          <w:rFonts w:hint="cs"/>
          <w:rtl/>
          <w:lang w:eastAsia="he-IL"/>
        </w:rPr>
        <w:t xml:space="preserve">, שאמנם נסוב על היטלי פיתוח אך "מה לי היטל פיתוח תשתיות או היטל שמירה". לטענת המשיבה, נהג עורך התחשיב כדין כאשר הציב ביסוד התחשיב נתוני שטחי בניין הנכונים למחצית השנייה של 2015, ואין זה פגם מהותי. עוד נטען, כי קיימת מידה רבה של ליניאריות בין ערכי העלות של השירות הרלוונטי לבין שטחי הנכס מושא אותו היטל, וככל ששטחי הנכסים פתוחים כמבונים מרובים יותר, תידרש השקעה גדולה יותר בשירותי השמירה. </w:t>
      </w:r>
    </w:p>
    <w:p w:rsidR="00281E81" w:rsidP="00EC64B1" w:rsidRDefault="00281E81">
      <w:pPr>
        <w:spacing w:line="360" w:lineRule="auto"/>
        <w:jc w:val="both"/>
        <w:rPr>
          <w:rtl/>
          <w:lang w:eastAsia="he-IL"/>
        </w:rPr>
      </w:pPr>
    </w:p>
    <w:p w:rsidR="00281E81" w:rsidP="00EC64B1" w:rsidRDefault="00ED2086">
      <w:pPr>
        <w:spacing w:line="360" w:lineRule="auto"/>
        <w:jc w:val="both"/>
        <w:rPr>
          <w:rtl/>
          <w:lang w:eastAsia="he-IL"/>
        </w:rPr>
      </w:pPr>
      <w:r>
        <w:rPr>
          <w:rFonts w:hint="cs"/>
          <w:rtl/>
          <w:lang w:eastAsia="he-IL"/>
        </w:rPr>
        <w:t>20.</w:t>
      </w:r>
      <w:r>
        <w:rPr>
          <w:rFonts w:hint="cs"/>
          <w:rtl/>
          <w:lang w:eastAsia="he-IL"/>
        </w:rPr>
        <w:tab/>
        <w:t xml:space="preserve">בניגוד לטענת המבקשים, טענה המשיבה כי שטחי בניין המוחזקים על ידי המדינה נכללו בבסיס התחשיב, וכלולים בשטח הבניין הכולל. </w:t>
      </w:r>
    </w:p>
    <w:p w:rsidR="00ED2086" w:rsidP="00EC64B1" w:rsidRDefault="00ED2086">
      <w:pPr>
        <w:spacing w:line="360" w:lineRule="auto"/>
        <w:jc w:val="both"/>
        <w:rPr>
          <w:rtl/>
          <w:lang w:eastAsia="he-IL"/>
        </w:rPr>
      </w:pPr>
    </w:p>
    <w:p w:rsidR="00ED2086" w:rsidP="00B75044" w:rsidRDefault="00ED2086">
      <w:pPr>
        <w:spacing w:line="360" w:lineRule="auto"/>
        <w:jc w:val="both"/>
        <w:rPr>
          <w:rtl/>
          <w:lang w:eastAsia="he-IL"/>
        </w:rPr>
      </w:pPr>
      <w:r>
        <w:rPr>
          <w:rFonts w:hint="cs"/>
          <w:rtl/>
          <w:lang w:eastAsia="he-IL"/>
        </w:rPr>
        <w:t>21.</w:t>
      </w:r>
      <w:r>
        <w:rPr>
          <w:rFonts w:hint="cs"/>
          <w:rtl/>
          <w:lang w:eastAsia="he-IL"/>
        </w:rPr>
        <w:tab/>
        <w:t xml:space="preserve">על כן, לטענת המשיבה, לא נפל פגם בתחשיב ששימש בסיס לחוק העזר, ואין גביית החיובים מעשירה את קופת המשיבה, ולבטח לא ניתן להצביע על חוסר סבירות קיצוני בו נגועים תעריפים אלה עד כדי ביטולם. על כן התבקש לדחות את הבקשה. </w:t>
      </w:r>
      <w:r w:rsidR="00C723BC">
        <w:rPr>
          <w:rFonts w:hint="cs"/>
          <w:rtl/>
          <w:lang w:eastAsia="he-IL"/>
        </w:rPr>
        <w:t xml:space="preserve">המשיבה צירפה לתגובתה חוות דעת מומחה ערוכה </w:t>
      </w:r>
      <w:r w:rsidR="00847A01">
        <w:rPr>
          <w:rFonts w:hint="cs"/>
          <w:rtl/>
          <w:lang w:eastAsia="he-IL"/>
        </w:rPr>
        <w:t>על ידי רו</w:t>
      </w:r>
      <w:r w:rsidR="00B75044">
        <w:rPr>
          <w:rFonts w:hint="cs"/>
          <w:rtl/>
          <w:lang w:eastAsia="he-IL"/>
        </w:rPr>
        <w:t xml:space="preserve">"ח </w:t>
      </w:r>
      <w:r w:rsidR="00847A01">
        <w:rPr>
          <w:rFonts w:hint="cs"/>
          <w:rtl/>
          <w:lang w:eastAsia="he-IL"/>
        </w:rPr>
        <w:t>אופיר בוחניק, וטענה כמובן</w:t>
      </w:r>
      <w:r w:rsidR="00B75044">
        <w:rPr>
          <w:rFonts w:hint="cs"/>
          <w:rtl/>
          <w:lang w:eastAsia="he-IL"/>
        </w:rPr>
        <w:t>,</w:t>
      </w:r>
      <w:r w:rsidR="00847A01">
        <w:rPr>
          <w:rFonts w:hint="cs"/>
          <w:rtl/>
          <w:lang w:eastAsia="he-IL"/>
        </w:rPr>
        <w:t xml:space="preserve"> שיש לדחות את הבקשה מכיוון שאינה מסתמכת על חוות דעת מומחה. </w:t>
      </w:r>
    </w:p>
    <w:p w:rsidR="00ED2086" w:rsidP="00EC64B1" w:rsidRDefault="00ED2086">
      <w:pPr>
        <w:spacing w:line="360" w:lineRule="auto"/>
        <w:jc w:val="both"/>
        <w:rPr>
          <w:rtl/>
          <w:lang w:eastAsia="he-IL"/>
        </w:rPr>
      </w:pPr>
    </w:p>
    <w:p w:rsidR="00847A01" w:rsidP="00B75044" w:rsidRDefault="00ED2086">
      <w:pPr>
        <w:spacing w:line="360" w:lineRule="auto"/>
        <w:jc w:val="both"/>
        <w:rPr>
          <w:rtl/>
          <w:lang w:eastAsia="he-IL"/>
        </w:rPr>
      </w:pPr>
      <w:r>
        <w:rPr>
          <w:rFonts w:hint="cs"/>
          <w:rtl/>
          <w:lang w:eastAsia="he-IL"/>
        </w:rPr>
        <w:t>22.</w:t>
      </w:r>
      <w:r>
        <w:rPr>
          <w:rFonts w:hint="cs"/>
          <w:rtl/>
          <w:lang w:eastAsia="he-IL"/>
        </w:rPr>
        <w:tab/>
        <w:t xml:space="preserve">בתשובה לתשובת המשיבה, טענו המבקשים, כי אחוזי הגבייה הנטענים על ידם הם על פי הדוחות הכספיים של המשיבה, לאחר מתן הנחות ופטורים. </w:t>
      </w:r>
      <w:r w:rsidR="00B6749E">
        <w:rPr>
          <w:rFonts w:hint="cs"/>
          <w:rtl/>
          <w:lang w:eastAsia="he-IL"/>
        </w:rPr>
        <w:t xml:space="preserve">לפי דו"חות אלה, </w:t>
      </w:r>
      <w:r>
        <w:rPr>
          <w:rFonts w:hint="cs"/>
          <w:rtl/>
          <w:lang w:eastAsia="he-IL"/>
        </w:rPr>
        <w:t>בשנת 2013, החיוב השנתי ברוטו היה 327,637 אש"ח, ולאחר הנחות ופטורים של 40,139 אש"ח, סך החיוב לגבייה היה 287,345 אש"ח, ונגבו בפועל 250,408</w:t>
      </w:r>
      <w:r w:rsidR="0053657B">
        <w:rPr>
          <w:rFonts w:hint="cs"/>
          <w:rtl/>
          <w:lang w:eastAsia="he-IL"/>
        </w:rPr>
        <w:t xml:space="preserve"> אש"ח, דהיינו 87.15%. בשנת 201</w:t>
      </w:r>
      <w:r w:rsidR="00847A01">
        <w:rPr>
          <w:rFonts w:hint="cs"/>
          <w:rtl/>
          <w:lang w:eastAsia="he-IL"/>
        </w:rPr>
        <w:t>4 החיוב השנתי ברוטו היה 338,450 אש"ח, ולאחר הנחות ופטורים של 43,844 אש"ח, סך החיוב לגבייה היה 299,508 אש"ח, ונגבו בפועל 266,218 אש"ח, דהיינו 88.89%. בשנת 2015 החיוב השנתי ברוטו היה 348,585 אש"ח, ולאחר הנחות ופטורים של 45,165 אש"ח, סך החיוב לגבייה היה 302,379 אש"ח, ונגבו בפועל 2</w:t>
      </w:r>
      <w:r w:rsidR="00B6749E">
        <w:rPr>
          <w:rFonts w:hint="cs"/>
          <w:rtl/>
          <w:lang w:eastAsia="he-IL"/>
        </w:rPr>
        <w:t>73</w:t>
      </w:r>
      <w:r w:rsidR="00847A01">
        <w:rPr>
          <w:rFonts w:hint="cs"/>
          <w:rtl/>
          <w:lang w:eastAsia="he-IL"/>
        </w:rPr>
        <w:t>,</w:t>
      </w:r>
      <w:r w:rsidR="00B6749E">
        <w:rPr>
          <w:rFonts w:hint="cs"/>
          <w:rtl/>
          <w:lang w:eastAsia="he-IL"/>
        </w:rPr>
        <w:t>923</w:t>
      </w:r>
      <w:r w:rsidR="00847A01">
        <w:rPr>
          <w:rFonts w:hint="cs"/>
          <w:rtl/>
          <w:lang w:eastAsia="he-IL"/>
        </w:rPr>
        <w:t xml:space="preserve"> אש"ח, דהיינו </w:t>
      </w:r>
      <w:r w:rsidR="00B6749E">
        <w:rPr>
          <w:rFonts w:hint="cs"/>
          <w:rtl/>
          <w:lang w:eastAsia="he-IL"/>
        </w:rPr>
        <w:t>90.59</w:t>
      </w:r>
      <w:r w:rsidR="00847A01">
        <w:rPr>
          <w:rFonts w:hint="cs"/>
          <w:rtl/>
          <w:lang w:eastAsia="he-IL"/>
        </w:rPr>
        <w:t xml:space="preserve">%. </w:t>
      </w:r>
      <w:r w:rsidR="00B6749E">
        <w:rPr>
          <w:rFonts w:hint="cs"/>
          <w:rtl/>
          <w:lang w:eastAsia="he-IL"/>
        </w:rPr>
        <w:t xml:space="preserve">לטענת המבקשים, הנתונים המצוטטים בחוות הדעת מטעם המשיבה אינם זהים </w:t>
      </w:r>
      <w:r w:rsidR="00B75044">
        <w:rPr>
          <w:rFonts w:hint="cs"/>
          <w:rtl/>
          <w:lang w:eastAsia="he-IL"/>
        </w:rPr>
        <w:t>ל</w:t>
      </w:r>
      <w:r w:rsidR="00B6749E">
        <w:rPr>
          <w:rFonts w:hint="cs"/>
          <w:rtl/>
          <w:lang w:eastAsia="he-IL"/>
        </w:rPr>
        <w:t xml:space="preserve">נתוני הדו"חות הכספיים. </w:t>
      </w:r>
    </w:p>
    <w:p w:rsidR="00B6749E" w:rsidP="00B6749E" w:rsidRDefault="00B6749E">
      <w:pPr>
        <w:spacing w:line="360" w:lineRule="auto"/>
        <w:jc w:val="both"/>
        <w:rPr>
          <w:rtl/>
          <w:lang w:eastAsia="he-IL"/>
        </w:rPr>
      </w:pPr>
    </w:p>
    <w:p w:rsidRPr="00281E81" w:rsidR="00B6749E" w:rsidP="00B6749E" w:rsidRDefault="00B6749E">
      <w:pPr>
        <w:spacing w:line="360" w:lineRule="auto"/>
        <w:jc w:val="both"/>
        <w:rPr>
          <w:rtl/>
          <w:lang w:eastAsia="he-IL"/>
        </w:rPr>
      </w:pPr>
      <w:r>
        <w:rPr>
          <w:rFonts w:hint="cs"/>
          <w:rtl/>
          <w:lang w:eastAsia="he-IL"/>
        </w:rPr>
        <w:t>23.</w:t>
      </w:r>
      <w:r>
        <w:rPr>
          <w:rFonts w:hint="cs"/>
          <w:rtl/>
          <w:lang w:eastAsia="he-IL"/>
        </w:rPr>
        <w:tab/>
        <w:t>אשר לחישוב השטחים, טענו המבקשים כי בעוד שבתגובת המשיבה נטען שנתוני השטחים בחוות דעת המומחה הם ל-7/15, נאמר בחוות הדעת עצמה, שהנתונים הם ליום 1.1.15. נטען, כי אין סימולטניות בין עלות שירותי השמירה לנתוני שטחי הבניין.</w:t>
      </w:r>
    </w:p>
    <w:p w:rsidRPr="00281E81" w:rsidR="00ED2086" w:rsidP="00847A01" w:rsidRDefault="00ED2086">
      <w:pPr>
        <w:spacing w:line="360" w:lineRule="auto"/>
        <w:jc w:val="both"/>
        <w:rPr>
          <w:rtl/>
          <w:lang w:eastAsia="he-IL"/>
        </w:rPr>
      </w:pPr>
    </w:p>
    <w:p w:rsidR="00C0170B" w:rsidP="00B75044" w:rsidRDefault="008F1122">
      <w:pPr>
        <w:spacing w:line="360" w:lineRule="auto"/>
        <w:jc w:val="both"/>
        <w:rPr>
          <w:rtl/>
          <w:lang w:eastAsia="he-IL"/>
        </w:rPr>
      </w:pPr>
      <w:r>
        <w:rPr>
          <w:rFonts w:hint="cs"/>
          <w:rtl/>
          <w:lang w:eastAsia="he-IL"/>
        </w:rPr>
        <w:t>24.</w:t>
      </w:r>
      <w:r>
        <w:rPr>
          <w:rFonts w:hint="cs"/>
          <w:rtl/>
          <w:lang w:eastAsia="he-IL"/>
        </w:rPr>
        <w:tab/>
        <w:t xml:space="preserve">הבקשה נקבעה על ידי לחקירת המצהירים. לקראת חקירת המצהירים, דאגו המבקשים לייצוג על ידי עורך דין, ששמו מופיע לעיל. הבקשה לאישור אינה כוללת בקשה לפסיקת שכר טרחה לבא כח התובע המייצג, ולא נטען בבקשה שיש בא כח מייצג. </w:t>
      </w:r>
      <w:r w:rsidR="00C0170B">
        <w:rPr>
          <w:rFonts w:hint="cs"/>
          <w:rtl/>
          <w:lang w:eastAsia="he-IL"/>
        </w:rPr>
        <w:t xml:space="preserve"> </w:t>
      </w:r>
    </w:p>
    <w:p w:rsidR="00C0170B" w:rsidP="0007685D" w:rsidRDefault="00C0170B">
      <w:pPr>
        <w:ind w:left="720"/>
        <w:rPr>
          <w:lang w:eastAsia="he-IL"/>
        </w:rPr>
      </w:pPr>
    </w:p>
    <w:p w:rsidR="00C0170B" w:rsidP="0007685D" w:rsidRDefault="00C0170B">
      <w:pPr>
        <w:spacing w:line="360" w:lineRule="auto"/>
        <w:jc w:val="both"/>
        <w:rPr>
          <w:b/>
          <w:bCs/>
          <w:u w:val="single"/>
          <w:rtl/>
          <w:lang w:eastAsia="he-IL"/>
        </w:rPr>
      </w:pPr>
      <w:r>
        <w:rPr>
          <w:rFonts w:hint="cs"/>
          <w:b/>
          <w:bCs/>
          <w:u w:val="single"/>
          <w:rtl/>
          <w:lang w:eastAsia="he-IL"/>
        </w:rPr>
        <w:t>דיון והכרעה</w:t>
      </w:r>
    </w:p>
    <w:p w:rsidR="00C0170B" w:rsidP="0007685D" w:rsidRDefault="00C0170B">
      <w:pPr>
        <w:spacing w:line="360" w:lineRule="auto"/>
        <w:jc w:val="both"/>
        <w:rPr>
          <w:lang w:eastAsia="he-IL"/>
        </w:rPr>
      </w:pPr>
    </w:p>
    <w:p w:rsidR="00C0170B" w:rsidP="0007685D" w:rsidRDefault="008F1122">
      <w:pPr>
        <w:spacing w:line="360" w:lineRule="auto"/>
        <w:jc w:val="both"/>
        <w:rPr>
          <w:b/>
          <w:bCs/>
          <w:rtl/>
          <w:lang w:eastAsia="he-IL"/>
        </w:rPr>
      </w:pPr>
      <w:r>
        <w:rPr>
          <w:rFonts w:hint="cs"/>
          <w:rtl/>
          <w:lang w:eastAsia="he-IL"/>
        </w:rPr>
        <w:t>25</w:t>
      </w:r>
      <w:r w:rsidR="00C0170B">
        <w:rPr>
          <w:rFonts w:hint="cs"/>
          <w:rtl/>
          <w:lang w:eastAsia="he-IL"/>
        </w:rPr>
        <w:t>.</w:t>
      </w:r>
      <w:r w:rsidR="00C0170B">
        <w:rPr>
          <w:rFonts w:hint="cs"/>
          <w:rtl/>
          <w:lang w:eastAsia="he-IL"/>
        </w:rPr>
        <w:tab/>
        <w:t xml:space="preserve">הדיון בבקשה לאישור תובענה כייצוגית הוא שלב מקדמי לדיון בתובענה גופה. בגדר הליך מקדמי זה די בכך שבית המשפט ישתכנע, במידה הסבירות הראויה, כי המבקש ממלא לכאורה אחרי דרישות סעיפי החוק הנוגעים לאישור התובענה הייצוגית (ראו: ע"א 2967/95 </w:t>
      </w:r>
      <w:r w:rsidR="00C0170B">
        <w:rPr>
          <w:rFonts w:hint="cs"/>
          <w:b/>
          <w:bCs/>
          <w:rtl/>
          <w:lang w:eastAsia="he-IL"/>
        </w:rPr>
        <w:t>מגן וקשת בע"מ נ' טמפו תעשיות</w:t>
      </w:r>
      <w:r w:rsidR="00C0170B">
        <w:rPr>
          <w:rFonts w:hint="cs"/>
          <w:rtl/>
          <w:lang w:eastAsia="he-IL"/>
        </w:rPr>
        <w:t xml:space="preserve"> בירה בע"מ, פ"ד נא (2) 312, 329 (1997)).</w:t>
      </w:r>
      <w:r w:rsidR="00C0170B">
        <w:rPr>
          <w:rFonts w:hint="cs"/>
          <w:b/>
          <w:bCs/>
          <w:rtl/>
          <w:lang w:eastAsia="he-IL"/>
        </w:rPr>
        <w:t xml:space="preserve"> </w:t>
      </w:r>
      <w:r w:rsidR="00C0170B">
        <w:rPr>
          <w:rFonts w:hint="cs"/>
          <w:rtl/>
          <w:lang w:eastAsia="he-IL"/>
        </w:rPr>
        <w:t xml:space="preserve">עם זאת, </w:t>
      </w:r>
      <w:r w:rsidR="00C0170B">
        <w:rPr>
          <w:rFonts w:hint="cs" w:ascii="Arial" w:hAnsi="Arial"/>
          <w:rtl/>
          <w:lang w:eastAsia="he-IL"/>
        </w:rPr>
        <w:t xml:space="preserve">ראוי לעבור פרוזדור זה בזהירות מרובה וליתן את האישור רק במקרים מתאימים, העונים על כל התנאים הדרושים, לבל תתבררנה תביעות סרק ייצוגיות שאינן ראויות להתברר ככאלה על כל המורכבות והבעייתיות הכרוכות בהן (רע"א 6567/97 </w:t>
      </w:r>
      <w:r w:rsidR="00C0170B">
        <w:rPr>
          <w:rFonts w:hint="cs" w:ascii="Arial" w:hAnsi="Arial"/>
          <w:b/>
          <w:bCs/>
          <w:rtl/>
          <w:lang w:eastAsia="he-IL"/>
        </w:rPr>
        <w:t>בזק - החברה הישראלית לתקשורת בעמ נ' עיזבון המנוח אליהו גת</w:t>
      </w:r>
      <w:r w:rsidR="00C0170B">
        <w:rPr>
          <w:rFonts w:hint="cs" w:ascii="Arial" w:hAnsi="Arial"/>
          <w:rtl/>
          <w:lang w:eastAsia="he-IL"/>
        </w:rPr>
        <w:t xml:space="preserve"> </w:t>
      </w:r>
      <w:r w:rsidR="00C0170B">
        <w:rPr>
          <w:rFonts w:hint="cs" w:ascii="Arial" w:hAnsi="Arial"/>
          <w:b/>
          <w:bCs/>
          <w:rtl/>
          <w:lang w:eastAsia="he-IL"/>
        </w:rPr>
        <w:t>ז"ל</w:t>
      </w:r>
      <w:r w:rsidR="00C0170B">
        <w:rPr>
          <w:rFonts w:hint="cs" w:ascii="Arial" w:hAnsi="Arial"/>
          <w:rtl/>
          <w:lang w:eastAsia="he-IL"/>
        </w:rPr>
        <w:t xml:space="preserve">, פ"ד נ"ב  (2) 713 (1998)). </w:t>
      </w:r>
    </w:p>
    <w:p w:rsidR="00C0170B" w:rsidP="0007685D" w:rsidRDefault="00C0170B">
      <w:pPr>
        <w:ind w:left="720"/>
        <w:rPr>
          <w:rFonts w:ascii="Arial" w:hAnsi="Arial"/>
          <w:rtl/>
          <w:lang w:eastAsia="he-IL"/>
        </w:rPr>
      </w:pPr>
    </w:p>
    <w:p w:rsidR="00C0170B" w:rsidP="008F1122" w:rsidRDefault="008F1122">
      <w:pPr>
        <w:spacing w:line="360" w:lineRule="auto"/>
        <w:jc w:val="both"/>
        <w:rPr>
          <w:b/>
          <w:bCs/>
          <w:rtl/>
          <w:lang w:eastAsia="he-IL"/>
        </w:rPr>
      </w:pPr>
      <w:r>
        <w:rPr>
          <w:rFonts w:hint="cs" w:ascii="Arial" w:hAnsi="Arial"/>
          <w:rtl/>
          <w:lang w:eastAsia="he-IL"/>
        </w:rPr>
        <w:t>26</w:t>
      </w:r>
      <w:r w:rsidR="00C0170B">
        <w:rPr>
          <w:rFonts w:hint="cs" w:ascii="Arial" w:hAnsi="Arial"/>
          <w:rtl/>
          <w:lang w:eastAsia="he-IL"/>
        </w:rPr>
        <w:t>.</w:t>
      </w:r>
      <w:r w:rsidR="00C0170B">
        <w:rPr>
          <w:rFonts w:hint="cs" w:ascii="Arial" w:hAnsi="Arial"/>
          <w:rtl/>
          <w:lang w:eastAsia="he-IL"/>
        </w:rPr>
        <w:tab/>
        <w:t xml:space="preserve">על כן, יש להידרש לבחינת התנאים לאישור התובענה כייצוגית בהתאם לקריטריונים הקבועים בחוק תובענות ייצוגיות. </w:t>
      </w:r>
      <w:r>
        <w:rPr>
          <w:rFonts w:hint="cs"/>
          <w:rtl/>
          <w:lang w:eastAsia="he-IL"/>
        </w:rPr>
        <w:t xml:space="preserve"> </w:t>
      </w:r>
      <w:r w:rsidR="00C0170B">
        <w:rPr>
          <w:rFonts w:hint="cs"/>
          <w:rtl/>
          <w:lang w:eastAsia="he-IL"/>
        </w:rPr>
        <w:t>לפי סעיף 4(א)(1) לחוק תובענות ייצוגיות,</w:t>
      </w:r>
      <w:r w:rsidR="00C0170B">
        <w:rPr>
          <w:rFonts w:hint="cs"/>
          <w:b/>
          <w:bCs/>
          <w:rtl/>
          <w:lang w:eastAsia="he-IL"/>
        </w:rPr>
        <w:t xml:space="preserve"> </w:t>
      </w:r>
      <w:r w:rsidR="00C0170B">
        <w:rPr>
          <w:rFonts w:hint="cs" w:ascii="Garamond" w:hAnsi="Garamond"/>
          <w:b/>
          <w:bCs/>
          <w:rtl/>
          <w:lang w:eastAsia="he-IL"/>
        </w:rPr>
        <w:t>"אדם שיש לו עילה בתביעה או בעניין כאמור בסעיף 3(א), המעוררת שאלות מהותיות של עובדה או משפט המשותפות לכלל החברים הנמנים עם קבוצת בני אדם – בשם אותה קבוצה[...]''</w:t>
      </w:r>
      <w:r w:rsidR="00C0170B">
        <w:rPr>
          <w:rFonts w:hint="cs" w:ascii="Garamond" w:hAnsi="Garamond"/>
          <w:rtl/>
          <w:lang w:eastAsia="he-IL"/>
        </w:rPr>
        <w:t xml:space="preserve">, הוא אחד הרשאים להגיש בקשת אישור. </w:t>
      </w:r>
      <w:r w:rsidR="00C0170B">
        <w:rPr>
          <w:rFonts w:hint="cs"/>
          <w:rtl/>
          <w:lang w:eastAsia="he-IL"/>
        </w:rPr>
        <w:t xml:space="preserve">על המבקש לאשר תביעה כתובענה ייצוגית לעמוד בתנאים המפורטים בסעיף 8(א) לחוק התובענות הייצוגיות: </w:t>
      </w:r>
    </w:p>
    <w:p w:rsidR="00C0170B" w:rsidP="0007685D" w:rsidRDefault="00C0170B">
      <w:pPr>
        <w:spacing w:line="360" w:lineRule="auto"/>
        <w:ind w:right="425"/>
        <w:jc w:val="both"/>
        <w:rPr>
          <w:rFonts w:ascii="Arial" w:hAnsi="Arial"/>
          <w:b/>
          <w:bCs/>
          <w:lang w:eastAsia="he-IL"/>
        </w:rPr>
      </w:pPr>
      <w:r>
        <w:rPr>
          <w:rFonts w:hint="cs" w:ascii="Arial" w:hAnsi="Arial"/>
          <w:b/>
          <w:bCs/>
          <w:rtl/>
          <w:lang w:eastAsia="he-IL"/>
        </w:rPr>
        <w:t>"(1) התובענה מעוררת שאלות מהותיות של עובדה או משפט המשותפות לכלל חברי הקבוצה, ויש אפשרות סבירה שהן יוכרעו בתובענה לטובת הקבוצה;</w:t>
      </w:r>
    </w:p>
    <w:p w:rsidR="00C0170B" w:rsidP="0007685D" w:rsidRDefault="00C0170B">
      <w:pPr>
        <w:spacing w:line="360" w:lineRule="auto"/>
        <w:ind w:right="425"/>
        <w:jc w:val="both"/>
        <w:rPr>
          <w:rFonts w:ascii="Arial" w:hAnsi="Arial"/>
          <w:b/>
          <w:bCs/>
          <w:rtl/>
          <w:lang w:eastAsia="he-IL"/>
        </w:rPr>
      </w:pPr>
      <w:r>
        <w:rPr>
          <w:rFonts w:hint="cs" w:ascii="Arial" w:hAnsi="Arial"/>
          <w:b/>
          <w:bCs/>
          <w:rtl/>
          <w:lang w:eastAsia="he-IL"/>
        </w:rPr>
        <w:t>(2) תובענה ייצוגית היא הדרך היעילה וההוגנת להכרעה במחלוקת בנסיבות העניין;</w:t>
      </w:r>
    </w:p>
    <w:p w:rsidR="00C0170B" w:rsidP="0007685D" w:rsidRDefault="00C0170B">
      <w:pPr>
        <w:spacing w:line="360" w:lineRule="auto"/>
        <w:ind w:right="425"/>
        <w:jc w:val="both"/>
        <w:rPr>
          <w:rFonts w:ascii="Arial" w:hAnsi="Arial"/>
          <w:b/>
          <w:bCs/>
          <w:lang w:eastAsia="he-IL"/>
        </w:rPr>
      </w:pPr>
      <w:r>
        <w:rPr>
          <w:rFonts w:hint="cs" w:ascii="Arial" w:hAnsi="Arial"/>
          <w:b/>
          <w:bCs/>
          <w:rtl/>
          <w:lang w:eastAsia="he-IL"/>
        </w:rPr>
        <w:t>(3) קיים יסוד סביר להניח כי עניינם של כלל חברי הקבוצה ייוצג וינוהל בדרך הולמת; הנתבע לא רשאי לערער או לבקש לערער על החלטה בעניין זה;</w:t>
      </w:r>
    </w:p>
    <w:p w:rsidR="00C0170B" w:rsidP="0007685D" w:rsidRDefault="00C0170B">
      <w:pPr>
        <w:spacing w:line="360" w:lineRule="auto"/>
        <w:ind w:right="425"/>
        <w:jc w:val="both"/>
        <w:rPr>
          <w:rFonts w:ascii="Arial" w:hAnsi="Arial"/>
          <w:b/>
          <w:bCs/>
          <w:rtl/>
          <w:lang w:eastAsia="he-IL"/>
        </w:rPr>
      </w:pPr>
      <w:r>
        <w:rPr>
          <w:rFonts w:hint="cs" w:ascii="Arial" w:hAnsi="Arial"/>
          <w:b/>
          <w:bCs/>
          <w:rtl/>
          <w:lang w:eastAsia="he-IL"/>
        </w:rPr>
        <w:t>(4)</w:t>
      </w:r>
      <w:r>
        <w:rPr>
          <w:rFonts w:hint="cs" w:ascii="Arial" w:hAnsi="Arial"/>
          <w:b/>
          <w:bCs/>
          <w:rtl/>
          <w:lang w:eastAsia="he-IL"/>
        </w:rPr>
        <w:tab/>
        <w:t xml:space="preserve">קיים יסוד סביר להניח כי עניינם של כלל חברי הקבוצה ייוצג וינוהל בתום לב". </w:t>
      </w:r>
    </w:p>
    <w:p w:rsidR="00C0170B" w:rsidP="0007685D" w:rsidRDefault="00C0170B">
      <w:pPr>
        <w:ind w:left="720"/>
        <w:rPr>
          <w:rtl/>
          <w:lang w:eastAsia="he-IL"/>
        </w:rPr>
      </w:pPr>
    </w:p>
    <w:p w:rsidR="00C0170B" w:rsidP="0007685D" w:rsidRDefault="008F1122">
      <w:pPr>
        <w:spacing w:line="360" w:lineRule="auto"/>
        <w:jc w:val="both"/>
        <w:rPr>
          <w:rtl/>
          <w:lang w:eastAsia="he-IL"/>
        </w:rPr>
      </w:pPr>
      <w:r>
        <w:rPr>
          <w:rFonts w:hint="cs" w:ascii="Calibri" w:hAnsi="Calibri"/>
          <w:rtl/>
          <w:lang w:eastAsia="he-IL"/>
        </w:rPr>
        <w:t>2</w:t>
      </w:r>
      <w:r w:rsidR="00C0170B">
        <w:rPr>
          <w:rFonts w:hint="cs" w:ascii="Calibri" w:hAnsi="Calibri"/>
          <w:rtl/>
          <w:lang w:eastAsia="he-IL"/>
        </w:rPr>
        <w:t>7.</w:t>
      </w:r>
      <w:r w:rsidR="00C0170B">
        <w:rPr>
          <w:rFonts w:hint="cs" w:ascii="Calibri" w:hAnsi="Calibri"/>
          <w:rtl/>
          <w:lang w:eastAsia="he-IL"/>
        </w:rPr>
        <w:tab/>
        <w:t xml:space="preserve">כלומר, בנוסף על הוכחת העילה האישית, על בית המשפט להגיע למסקנה כי קיימת אפשרות סבירה שהתובענה הייצוגית תתקבל, במובן זה שהשאלות המהותיות של עובדה ומשפט יוכרעו לטובת הקבוצה. בעניין זה נקבע, כי יש ליצור איזון בשאלת נטל ומידת ההוכחה הנדרשים מהתובע המייצג, על מנת שלא להטיל עליו נטל כבד מדי מחד גיסא, אך לא לפטור אותו מחובת השכנוע מאידך גיסא. וכפי שנקבע בעע"מ 980/08 </w:t>
      </w:r>
      <w:r w:rsidR="00C0170B">
        <w:rPr>
          <w:rFonts w:hint="cs" w:ascii="Calibri" w:hAnsi="Calibri"/>
          <w:b/>
          <w:bCs/>
          <w:rtl/>
          <w:lang w:eastAsia="he-IL"/>
        </w:rPr>
        <w:t>מנירב- רו"ח נ' מדינת ישראל- משרד האוצר</w:t>
      </w:r>
      <w:r w:rsidR="00C0170B">
        <w:rPr>
          <w:rFonts w:hint="cs" w:ascii="Calibri" w:hAnsi="Calibri"/>
          <w:rtl/>
          <w:lang w:eastAsia="he-IL"/>
        </w:rPr>
        <w:t xml:space="preserve"> [פורסם בנבו] (6.9.2011): </w:t>
      </w:r>
    </w:p>
    <w:p w:rsidR="00C0170B" w:rsidP="0007685D" w:rsidRDefault="00C0170B">
      <w:pPr>
        <w:spacing w:before="240" w:after="160" w:line="360" w:lineRule="auto"/>
        <w:ind w:right="425"/>
        <w:contextualSpacing/>
        <w:jc w:val="both"/>
        <w:rPr>
          <w:rFonts w:ascii="Calibri" w:hAnsi="Calibri"/>
          <w:lang w:eastAsia="he-IL"/>
        </w:rPr>
      </w:pPr>
      <w:r>
        <w:rPr>
          <w:rFonts w:hint="cs" w:ascii="Calibri" w:hAnsi="Calibri"/>
          <w:b/>
          <w:bCs/>
          <w:rtl/>
          <w:lang w:eastAsia="he-IL"/>
        </w:rPr>
        <w:t xml:space="preserve">"אין להעמיד דרישות מחמירות מדי לעניין מידת השכנוע, משום שאלה עלולות להטיל על הצדדים ועל בית המשפט עומס יתר בבירור הנושא המקדמי, דבר העלול לגרום להתמשכות המשפט, לכפילות בהתדיינות ולרפיון ידיים של תובעים ייצוגים פוטנציאליים. מאידך, מידת </w:t>
      </w:r>
      <w:r>
        <w:rPr>
          <w:rFonts w:hint="cs" w:ascii="Calibri" w:hAnsi="Calibri"/>
          <w:b/>
          <w:bCs/>
          <w:rtl/>
          <w:lang w:eastAsia="he-IL"/>
        </w:rPr>
        <w:lastRenderedPageBreak/>
        <w:t xml:space="preserve">הוכחה קלה מדי עלולה לפגוע בנתבע שייאלץ לעמוד בהוצאות כבדות של ההליך, ואף להביאו להסכם פשרה גם בתביעה אשר אין בה ממש. כך גם עלולים להיפגע הפרטים שייוצגו על ידי הקבוצה ואשר דחיית התביעה תיצור מעשה בית בית דין לגביהם ותחסום אותם מלהגיש את תביעתם האישית באופן מבוסס יותר [...]" </w:t>
      </w:r>
    </w:p>
    <w:p w:rsidR="00C0170B" w:rsidP="0007685D" w:rsidRDefault="00C0170B">
      <w:pPr>
        <w:spacing w:before="240" w:after="160" w:line="360" w:lineRule="auto"/>
        <w:ind w:left="1077" w:right="425"/>
        <w:contextualSpacing/>
        <w:jc w:val="both"/>
        <w:rPr>
          <w:rFonts w:ascii="Calibri" w:hAnsi="Calibri"/>
          <w:rtl/>
          <w:lang w:eastAsia="he-IL"/>
        </w:rPr>
      </w:pPr>
    </w:p>
    <w:p w:rsidR="00C0170B" w:rsidP="0007685D" w:rsidRDefault="008F1122">
      <w:pPr>
        <w:spacing w:line="360" w:lineRule="auto"/>
        <w:jc w:val="both"/>
        <w:rPr>
          <w:lang w:eastAsia="he-IL"/>
        </w:rPr>
      </w:pPr>
      <w:r>
        <w:rPr>
          <w:rFonts w:hint="cs" w:ascii="Calibri" w:hAnsi="Calibri"/>
          <w:rtl/>
          <w:lang w:eastAsia="he-IL"/>
        </w:rPr>
        <w:t>2</w:t>
      </w:r>
      <w:r w:rsidR="00C0170B">
        <w:rPr>
          <w:rFonts w:hint="cs" w:ascii="Calibri" w:hAnsi="Calibri"/>
          <w:rtl/>
          <w:lang w:eastAsia="he-IL"/>
        </w:rPr>
        <w:t>8.</w:t>
      </w:r>
      <w:r w:rsidR="00C0170B">
        <w:rPr>
          <w:rFonts w:hint="cs" w:ascii="Calibri" w:hAnsi="Calibri"/>
          <w:rtl/>
          <w:lang w:eastAsia="he-IL"/>
        </w:rPr>
        <w:tab/>
        <w:t xml:space="preserve">על מנת להשתכנע כי קיימת אפשרות סבירה ששאלות מהותיות של עובדה ומשפט יוכרעו בתובענה לטובת הקבוצה, נדרש בית המשפט להיכנס לעובי הקורה ולבחון את התובענה היטב – משפטית ועובדתית, האם מתקיימים התנאים לאישור תובענה ייצוגית, האם היא מגלה עילה טובה והאם יש סיכוי סביר להכרעה לטובת התובעים. </w:t>
      </w:r>
    </w:p>
    <w:p w:rsidR="00C0170B" w:rsidP="0007685D" w:rsidRDefault="00C0170B">
      <w:pPr>
        <w:spacing w:line="360" w:lineRule="auto"/>
        <w:ind w:left="720"/>
        <w:jc w:val="both"/>
        <w:rPr>
          <w:rtl/>
          <w:lang w:eastAsia="he-IL"/>
        </w:rPr>
      </w:pPr>
    </w:p>
    <w:p w:rsidR="00C0170B" w:rsidP="00087A8C" w:rsidRDefault="008F1122">
      <w:pPr>
        <w:spacing w:line="360" w:lineRule="auto"/>
        <w:jc w:val="both"/>
        <w:rPr>
          <w:rtl/>
          <w:lang w:eastAsia="he-IL"/>
        </w:rPr>
      </w:pPr>
      <w:r>
        <w:rPr>
          <w:rFonts w:hint="cs"/>
          <w:rtl/>
          <w:lang w:eastAsia="he-IL"/>
        </w:rPr>
        <w:t>29.</w:t>
      </w:r>
      <w:r>
        <w:rPr>
          <w:rFonts w:hint="cs"/>
          <w:rtl/>
          <w:lang w:eastAsia="he-IL"/>
        </w:rPr>
        <w:tab/>
      </w:r>
      <w:r w:rsidR="00B75044">
        <w:rPr>
          <w:rFonts w:hint="cs"/>
          <w:rtl/>
          <w:lang w:eastAsia="he-IL"/>
        </w:rPr>
        <w:t xml:space="preserve">אני דוחה את טענת המשיה, </w:t>
      </w:r>
      <w:r w:rsidR="008574E4">
        <w:rPr>
          <w:rFonts w:hint="cs"/>
          <w:rtl/>
          <w:lang w:eastAsia="he-IL"/>
        </w:rPr>
        <w:t>שיש לדחות את הבקשה לאישור מכיוון שלא נתמכה בחוות דעת מומחה. לעניין זה יש לומר את מה שאמרתי גם בעת הדיון בפניי, ש</w:t>
      </w:r>
      <w:r w:rsidR="00B75044">
        <w:rPr>
          <w:rFonts w:hint="cs"/>
          <w:rtl/>
          <w:lang w:eastAsia="he-IL"/>
        </w:rPr>
        <w:t xml:space="preserve">אכן </w:t>
      </w:r>
      <w:r w:rsidR="008574E4">
        <w:rPr>
          <w:rFonts w:hint="cs"/>
          <w:rtl/>
          <w:lang w:eastAsia="he-IL"/>
        </w:rPr>
        <w:t>אין בפניי חוות דעת מומחה מטעם המבקשים. אמנם, המבקש טוען שהוא עצמו מומחה, ו</w:t>
      </w:r>
      <w:r w:rsidR="00087A8C">
        <w:rPr>
          <w:rFonts w:hint="cs"/>
          <w:rtl/>
          <w:lang w:eastAsia="he-IL"/>
        </w:rPr>
        <w:t>כי ב</w:t>
      </w:r>
      <w:r w:rsidR="008574E4">
        <w:rPr>
          <w:rFonts w:hint="cs"/>
          <w:rtl/>
          <w:lang w:eastAsia="he-IL"/>
        </w:rPr>
        <w:t>תיקים אחרים נתן חוות דעת מומחה בעניינים דומים, אך בתיק זה לא נתן חוות דעת מומחה אלא תצהיר מבקש, ויש הבדל מהותי בין שני הדברים. תצהיר, כאמור בתקנה 521, ניתן מתוך ידיעתו האישית של אדם, או, בבקשות ביניים, כמו הבקשה לאישור, לפי מיטב אמונתו של המצהיר, המציין את הנימוקים לכך. זאת אומרת</w:t>
      </w:r>
      <w:r w:rsidR="00087A8C">
        <w:rPr>
          <w:rFonts w:hint="cs"/>
          <w:rtl/>
          <w:lang w:eastAsia="he-IL"/>
        </w:rPr>
        <w:t>, ש</w:t>
      </w:r>
      <w:r w:rsidR="008574E4">
        <w:rPr>
          <w:rFonts w:hint="cs"/>
          <w:rtl/>
          <w:lang w:eastAsia="he-IL"/>
        </w:rPr>
        <w:t xml:space="preserve">מדובר בעדות מידיעה אישית ועדות שמיעה. לעומת זאת, חוות דעת מומחה, המוגשת לפי תקנה 129, היא עדות סברה, הנסמכת על עובדות המוכחות בדרך אחרת. המבקשים לא הגישו חוות דעת לתמיכה בבקשתם, גם לא לאחר שנטען בתשובה לבקשה שהיא חסרה חוות דעת מומחה. </w:t>
      </w:r>
    </w:p>
    <w:p w:rsidR="008574E4" w:rsidP="008574E4" w:rsidRDefault="008574E4">
      <w:pPr>
        <w:spacing w:line="360" w:lineRule="auto"/>
        <w:jc w:val="both"/>
        <w:rPr>
          <w:rtl/>
          <w:lang w:eastAsia="he-IL"/>
        </w:rPr>
      </w:pPr>
    </w:p>
    <w:p w:rsidR="00E76AE1" w:rsidP="00087A8C" w:rsidRDefault="008574E4">
      <w:pPr>
        <w:spacing w:line="360" w:lineRule="auto"/>
        <w:jc w:val="both"/>
        <w:rPr>
          <w:noProof w:val="0"/>
          <w:rtl/>
        </w:rPr>
      </w:pPr>
      <w:r>
        <w:rPr>
          <w:rFonts w:hint="cs"/>
          <w:rtl/>
          <w:lang w:eastAsia="he-IL"/>
        </w:rPr>
        <w:t>30.</w:t>
      </w:r>
      <w:r>
        <w:rPr>
          <w:rFonts w:hint="cs"/>
          <w:rtl/>
          <w:lang w:eastAsia="he-IL"/>
        </w:rPr>
        <w:tab/>
        <w:t>גם המשיבה לא הגישה חוות דעת של ממש. אמנם, צירפה לתשובתה מסמך הנקרא "חוות דעת", אך זהו מסמך הערוך על ידי רו</w:t>
      </w:r>
      <w:r w:rsidR="00087A8C">
        <w:rPr>
          <w:rFonts w:hint="cs"/>
          <w:rtl/>
          <w:lang w:eastAsia="he-IL"/>
        </w:rPr>
        <w:t xml:space="preserve">"ח </w:t>
      </w:r>
      <w:r>
        <w:rPr>
          <w:rFonts w:hint="cs"/>
          <w:rtl/>
          <w:lang w:eastAsia="he-IL"/>
        </w:rPr>
        <w:t>אופיר בוחניק, ובוחן את התחשיב הכלכלי שנערך על ידי רו</w:t>
      </w:r>
      <w:r w:rsidR="00087A8C">
        <w:rPr>
          <w:rFonts w:hint="cs"/>
          <w:rtl/>
          <w:lang w:eastAsia="he-IL"/>
        </w:rPr>
        <w:t xml:space="preserve">"ח </w:t>
      </w:r>
      <w:r>
        <w:rPr>
          <w:rFonts w:hint="cs"/>
          <w:rtl/>
          <w:lang w:eastAsia="he-IL"/>
        </w:rPr>
        <w:t xml:space="preserve">אופיר בוחניק. מומחה, גם מטעם צד כלשהו, </w:t>
      </w:r>
      <w:r w:rsidR="00087A8C">
        <w:rPr>
          <w:rFonts w:hint="cs"/>
          <w:rtl/>
          <w:lang w:eastAsia="he-IL"/>
        </w:rPr>
        <w:t xml:space="preserve">צריך להיות </w:t>
      </w:r>
      <w:r>
        <w:rPr>
          <w:rFonts w:hint="cs"/>
          <w:rtl/>
          <w:lang w:eastAsia="he-IL"/>
        </w:rPr>
        <w:t>מומחה אובייקטיבי שאינו מעורב באופן אישי בעובדות נשוא הדיון</w:t>
      </w:r>
      <w:r w:rsidR="00E76AE1">
        <w:rPr>
          <w:rFonts w:hint="cs"/>
          <w:rtl/>
          <w:lang w:eastAsia="he-IL"/>
        </w:rPr>
        <w:t xml:space="preserve"> (וראו פסק דיני ב</w:t>
      </w:r>
      <w:r w:rsidRPr="00726B7F" w:rsidR="00E76AE1">
        <w:rPr>
          <w:noProof w:val="0"/>
          <w:rtl/>
        </w:rPr>
        <w:t>ת</w:t>
      </w:r>
      <w:r w:rsidRPr="00726B7F" w:rsidR="00E76AE1">
        <w:rPr>
          <w:noProof w:val="0"/>
        </w:rPr>
        <w:t>"</w:t>
      </w:r>
      <w:r w:rsidRPr="00726B7F" w:rsidR="00E76AE1">
        <w:rPr>
          <w:noProof w:val="0"/>
          <w:rtl/>
        </w:rPr>
        <w:t>א</w:t>
      </w:r>
      <w:r w:rsidRPr="00726B7F" w:rsidR="00E76AE1">
        <w:rPr>
          <w:noProof w:val="0"/>
        </w:rPr>
        <w:t xml:space="preserve"> 6992-06-13 </w:t>
      </w:r>
      <w:r w:rsidRPr="00726B7F" w:rsidR="00E76AE1">
        <w:rPr>
          <w:b/>
          <w:bCs/>
          <w:noProof w:val="0"/>
          <w:rtl/>
        </w:rPr>
        <w:t>קהילת</w:t>
      </w:r>
      <w:r w:rsidRPr="00726B7F" w:rsidR="00E76AE1">
        <w:rPr>
          <w:b/>
          <w:bCs/>
          <w:noProof w:val="0"/>
        </w:rPr>
        <w:t xml:space="preserve"> </w:t>
      </w:r>
      <w:r w:rsidRPr="00726B7F" w:rsidR="00E76AE1">
        <w:rPr>
          <w:b/>
          <w:bCs/>
          <w:noProof w:val="0"/>
          <w:rtl/>
        </w:rPr>
        <w:t>ציון</w:t>
      </w:r>
      <w:r w:rsidRPr="00726B7F" w:rsidR="00E76AE1">
        <w:rPr>
          <w:b/>
          <w:bCs/>
          <w:noProof w:val="0"/>
        </w:rPr>
        <w:t xml:space="preserve"> </w:t>
      </w:r>
      <w:r w:rsidRPr="00726B7F" w:rsidR="00E76AE1">
        <w:rPr>
          <w:b/>
          <w:bCs/>
          <w:noProof w:val="0"/>
          <w:rtl/>
        </w:rPr>
        <w:t>אמריקאית</w:t>
      </w:r>
      <w:r w:rsidRPr="00726B7F" w:rsidR="00E76AE1">
        <w:rPr>
          <w:b/>
          <w:bCs/>
          <w:noProof w:val="0"/>
        </w:rPr>
        <w:t xml:space="preserve"> </w:t>
      </w:r>
      <w:r w:rsidRPr="00726B7F" w:rsidR="00E76AE1">
        <w:rPr>
          <w:b/>
          <w:bCs/>
          <w:noProof w:val="0"/>
          <w:rtl/>
        </w:rPr>
        <w:t>וא</w:t>
      </w:r>
      <w:r w:rsidR="00726B7F">
        <w:rPr>
          <w:rFonts w:hint="cs"/>
          <w:b/>
          <w:bCs/>
          <w:noProof w:val="0"/>
          <w:rtl/>
        </w:rPr>
        <w:t>ח' נ'</w:t>
      </w:r>
      <w:r w:rsidRPr="00726B7F" w:rsidR="00E76AE1">
        <w:rPr>
          <w:b/>
          <w:bCs/>
          <w:noProof w:val="0"/>
        </w:rPr>
        <w:t xml:space="preserve"> </w:t>
      </w:r>
      <w:r w:rsidRPr="00726B7F" w:rsidR="00E76AE1">
        <w:rPr>
          <w:b/>
          <w:bCs/>
          <w:noProof w:val="0"/>
          <w:rtl/>
        </w:rPr>
        <w:t>עיריית</w:t>
      </w:r>
      <w:r w:rsidRPr="00726B7F" w:rsidR="00E76AE1">
        <w:rPr>
          <w:b/>
          <w:bCs/>
          <w:noProof w:val="0"/>
        </w:rPr>
        <w:t xml:space="preserve"> </w:t>
      </w:r>
      <w:r w:rsidRPr="00726B7F" w:rsidR="00E76AE1">
        <w:rPr>
          <w:b/>
          <w:bCs/>
          <w:noProof w:val="0"/>
          <w:rtl/>
        </w:rPr>
        <w:t>חיפה</w:t>
      </w:r>
      <w:r w:rsidRPr="00726B7F" w:rsidR="00E76AE1">
        <w:rPr>
          <w:b/>
          <w:bCs/>
          <w:noProof w:val="0"/>
        </w:rPr>
        <w:t xml:space="preserve"> </w:t>
      </w:r>
      <w:r w:rsidRPr="00726B7F" w:rsidR="00E76AE1">
        <w:rPr>
          <w:b/>
          <w:bCs/>
          <w:noProof w:val="0"/>
          <w:rtl/>
        </w:rPr>
        <w:t>ואח</w:t>
      </w:r>
      <w:r w:rsidRPr="00726B7F" w:rsidR="00E76AE1">
        <w:rPr>
          <w:b/>
          <w:bCs/>
          <w:noProof w:val="0"/>
        </w:rPr>
        <w:t>'</w:t>
      </w:r>
      <w:r w:rsidR="00726B7F">
        <w:rPr>
          <w:rFonts w:hint="cs"/>
          <w:noProof w:val="0"/>
          <w:rtl/>
        </w:rPr>
        <w:t xml:space="preserve">, ועוד). </w:t>
      </w:r>
      <w:r w:rsidR="00087A8C">
        <w:rPr>
          <w:rFonts w:hint="cs"/>
          <w:noProof w:val="0"/>
          <w:rtl/>
        </w:rPr>
        <w:t>לא ראוי ש</w:t>
      </w:r>
      <w:r w:rsidR="00726B7F">
        <w:rPr>
          <w:rFonts w:hint="cs"/>
          <w:noProof w:val="0"/>
          <w:rtl/>
        </w:rPr>
        <w:t>מומחה יביע סברה, לפיה</w:t>
      </w:r>
      <w:r w:rsidR="00087A8C">
        <w:rPr>
          <w:rFonts w:hint="cs"/>
          <w:noProof w:val="0"/>
          <w:rtl/>
        </w:rPr>
        <w:t>,</w:t>
      </w:r>
      <w:r w:rsidR="00726B7F">
        <w:rPr>
          <w:rFonts w:hint="cs"/>
          <w:noProof w:val="0"/>
          <w:rtl/>
        </w:rPr>
        <w:t xml:space="preserve"> לאחר ששקל את העובדות לפי מומחיותו, הגיע למסקנה שהוא </w:t>
      </w:r>
      <w:r w:rsidR="00FD5E85">
        <w:rPr>
          <w:rFonts w:hint="cs"/>
          <w:noProof w:val="0"/>
          <w:rtl/>
        </w:rPr>
        <w:t xml:space="preserve">עצמו </w:t>
      </w:r>
      <w:r w:rsidR="00726B7F">
        <w:rPr>
          <w:rFonts w:hint="cs"/>
          <w:noProof w:val="0"/>
          <w:rtl/>
        </w:rPr>
        <w:t xml:space="preserve">צדק בתחשיב שערך לפני חוות דעת המומחה. </w:t>
      </w:r>
    </w:p>
    <w:p w:rsidR="00726B7F" w:rsidP="00726B7F" w:rsidRDefault="00726B7F">
      <w:pPr>
        <w:spacing w:line="360" w:lineRule="auto"/>
        <w:jc w:val="both"/>
        <w:rPr>
          <w:noProof w:val="0"/>
          <w:rtl/>
        </w:rPr>
      </w:pPr>
    </w:p>
    <w:p w:rsidR="00726B7F" w:rsidP="00087A8C" w:rsidRDefault="00726B7F">
      <w:pPr>
        <w:spacing w:line="360" w:lineRule="auto"/>
        <w:jc w:val="both"/>
        <w:rPr>
          <w:noProof w:val="0"/>
          <w:rtl/>
        </w:rPr>
      </w:pPr>
      <w:r>
        <w:rPr>
          <w:rFonts w:hint="cs"/>
          <w:noProof w:val="0"/>
          <w:rtl/>
        </w:rPr>
        <w:t>31.</w:t>
      </w:r>
      <w:r>
        <w:rPr>
          <w:rFonts w:hint="cs"/>
          <w:noProof w:val="0"/>
          <w:rtl/>
        </w:rPr>
        <w:tab/>
        <w:t>אין בפנינו איפוא חוות דעת של ממש מטעם מי מהצדדים, אבל גם אין צורך בחוות דעת מומחה, שכן מדובר בהכנת תחשיב, על פי 4 פעולות החשבון הבסיסיות, לפי נתונים רשמיים, ולפי דרך חישוב המוכתבת על פי הדין ועל פי נוהלי משרד הפנים. אין זה עניין שבמומחיות</w:t>
      </w:r>
      <w:r w:rsidR="004C7A1B">
        <w:rPr>
          <w:rFonts w:hint="cs"/>
          <w:noProof w:val="0"/>
          <w:rtl/>
        </w:rPr>
        <w:t>, ו</w:t>
      </w:r>
      <w:r w:rsidR="00087A8C">
        <w:rPr>
          <w:rFonts w:hint="cs"/>
          <w:noProof w:val="0"/>
          <w:rtl/>
        </w:rPr>
        <w:t xml:space="preserve">אין </w:t>
      </w:r>
      <w:r w:rsidR="004C7A1B">
        <w:rPr>
          <w:rFonts w:hint="cs"/>
          <w:noProof w:val="0"/>
          <w:rtl/>
        </w:rPr>
        <w:t xml:space="preserve">שימוש בידע המקצועי המיוחד של המומחה, שנצבר בנסיון עתיר שנים. על כן, אין צורך בחוות דעת מומחה, לא מטעם המבקשים ולא מטעם המשיבה, על מנת להכריע בבקשה לאישור. </w:t>
      </w:r>
    </w:p>
    <w:p w:rsidRPr="00726B7F" w:rsidR="00726B7F" w:rsidP="004C7A1B" w:rsidRDefault="004C7A1B">
      <w:pPr>
        <w:spacing w:line="360" w:lineRule="auto"/>
        <w:jc w:val="both"/>
        <w:rPr>
          <w:noProof w:val="0"/>
        </w:rPr>
      </w:pPr>
      <w:r>
        <w:rPr>
          <w:rFonts w:hint="cs"/>
          <w:noProof w:val="0"/>
          <w:rtl/>
        </w:rPr>
        <w:lastRenderedPageBreak/>
        <w:t>32.</w:t>
      </w:r>
      <w:r>
        <w:rPr>
          <w:rFonts w:hint="cs"/>
          <w:noProof w:val="0"/>
          <w:rtl/>
        </w:rPr>
        <w:tab/>
        <w:t xml:space="preserve">כאמור, טענו המבקשים בבקשה </w:t>
      </w:r>
      <w:r w:rsidR="00087A8C">
        <w:rPr>
          <w:rFonts w:hint="cs"/>
          <w:noProof w:val="0"/>
          <w:rtl/>
        </w:rPr>
        <w:t>ל</w:t>
      </w:r>
      <w:r>
        <w:rPr>
          <w:rFonts w:hint="cs"/>
          <w:noProof w:val="0"/>
          <w:rtl/>
        </w:rPr>
        <w:t xml:space="preserve">אישור לפגמים הן באחוזי הגבייה שחושבו, והן בסך השטחים שחושבו. לא אעסוק בטענות נוספות שהועלו מעבר לטענות שהועלו בבקשה לאישור. </w:t>
      </w:r>
      <w:r w:rsidR="00087A8C">
        <w:rPr>
          <w:rFonts w:hint="cs"/>
          <w:noProof w:val="0"/>
          <w:rtl/>
        </w:rPr>
        <w:t xml:space="preserve">בין היתר, </w:t>
      </w:r>
      <w:r>
        <w:rPr>
          <w:rFonts w:hint="cs"/>
          <w:noProof w:val="0"/>
          <w:rtl/>
        </w:rPr>
        <w:t>איני עוסק בשאלה</w:t>
      </w:r>
      <w:r w:rsidR="00790EEC">
        <w:rPr>
          <w:rFonts w:hint="cs"/>
          <w:noProof w:val="0"/>
          <w:rtl/>
        </w:rPr>
        <w:t xml:space="preserve"> אם חוות דעת המומחה שהוגשה בתשובה לבקשה, נכונה אם לאו. אני עוסק בשאלה, אם חוק העזר נחקק על פי תחשיב שנערך כדין. </w:t>
      </w:r>
      <w:r>
        <w:rPr>
          <w:rFonts w:hint="cs"/>
          <w:noProof w:val="0"/>
          <w:rtl/>
        </w:rPr>
        <w:t xml:space="preserve">אעסוק בטענות אלה לפי סידרן. </w:t>
      </w:r>
    </w:p>
    <w:p w:rsidR="00FC3C57" w:rsidP="00FD5E85" w:rsidRDefault="00790EEC">
      <w:pPr>
        <w:spacing w:before="240" w:after="160" w:line="360" w:lineRule="auto"/>
        <w:jc w:val="both"/>
        <w:rPr>
          <w:rFonts w:ascii="Calibri" w:hAnsi="Calibri"/>
          <w:rtl/>
          <w:lang w:eastAsia="he-IL"/>
        </w:rPr>
      </w:pPr>
      <w:r>
        <w:rPr>
          <w:rFonts w:hint="cs" w:ascii="Calibri" w:hAnsi="Calibri"/>
          <w:rtl/>
          <w:lang w:eastAsia="he-IL"/>
        </w:rPr>
        <w:t>33.</w:t>
      </w:r>
      <w:r>
        <w:rPr>
          <w:rFonts w:hint="cs" w:ascii="Calibri" w:hAnsi="Calibri"/>
          <w:rtl/>
          <w:lang w:eastAsia="he-IL"/>
        </w:rPr>
        <w:tab/>
        <w:t xml:space="preserve">כפי שנקבע בחוזר המנהל הכללי של משרד הפנים, מיום 26.6.13, במסגרת התחשיב, על הרשות המקומית להביא בחשבון שיעורי גבייה, כפי שיאושרו על ידי המינהל לשלטון מקומי (סעיף 10), וכן להביא בחשבון במסגרת התחשיב את הפסד ההכנסה כתוצאה ממתן ההנחות (סעיף 11). </w:t>
      </w:r>
      <w:r w:rsidR="00781E59">
        <w:rPr>
          <w:rFonts w:hint="cs" w:ascii="Calibri" w:hAnsi="Calibri"/>
          <w:rtl/>
          <w:lang w:eastAsia="he-IL"/>
        </w:rPr>
        <w:t xml:space="preserve">המבקשים ערכו תחשיב שבו חישבו את הסכום שנגבה אל מול סך כל החיוב לאחר הנחות, פטורים וזיכויים ומחיקת חובות, אך זה אינו החיוב הנכון. החישוב הנכון של שיעורי גבית הארנונה הוא הסכום שנגבה אל מול החיוב המלא שהיה אמור להיות לפני מתן הנחות, שכן יש להשוות בין הארנונה המלאה המחושבת לפי השטחים הכלולים באיזור השיפוט של המשיבה, לבין מלוא הוצאות השמירה לפי השטחים הכלולים. </w:t>
      </w:r>
      <w:r w:rsidR="00FD5E85">
        <w:rPr>
          <w:rFonts w:hint="cs" w:ascii="Calibri" w:hAnsi="Calibri"/>
          <w:rtl/>
          <w:lang w:eastAsia="he-IL"/>
        </w:rPr>
        <w:t>נותנים אלה הם שהועמדו בפני המבקש על ידי ב"כ המשיבה, ו</w:t>
      </w:r>
      <w:r w:rsidR="00781E59">
        <w:rPr>
          <w:rFonts w:hint="cs" w:ascii="Calibri" w:hAnsi="Calibri"/>
          <w:rtl/>
          <w:lang w:eastAsia="he-IL"/>
        </w:rPr>
        <w:t xml:space="preserve">כפי שאישר גם המבקש בחקירתו </w:t>
      </w:r>
      <w:r w:rsidR="00DA06F9">
        <w:rPr>
          <w:rFonts w:hint="cs" w:ascii="Calibri" w:hAnsi="Calibri"/>
          <w:rtl/>
          <w:lang w:eastAsia="he-IL"/>
        </w:rPr>
        <w:t xml:space="preserve">החיוב לשנת 2015 הוא 348,585 אש"ח, והגבייה היתה 273,923 אש"ח, שהיחס ביניהם הוא 78.58%. </w:t>
      </w:r>
      <w:r w:rsidR="00FD5E85">
        <w:rPr>
          <w:rFonts w:hint="cs" w:ascii="Calibri" w:hAnsi="Calibri"/>
          <w:rtl/>
          <w:lang w:eastAsia="he-IL"/>
        </w:rPr>
        <w:t>פירוט ה</w:t>
      </w:r>
      <w:r w:rsidR="00FC3C57">
        <w:rPr>
          <w:rFonts w:hint="cs" w:ascii="Calibri" w:hAnsi="Calibri"/>
          <w:rtl/>
          <w:lang w:eastAsia="he-IL"/>
        </w:rPr>
        <w:t xml:space="preserve">נתונים </w:t>
      </w:r>
      <w:r w:rsidR="00FD5E85">
        <w:rPr>
          <w:rFonts w:hint="cs" w:ascii="Calibri" w:hAnsi="Calibri"/>
          <w:rtl/>
          <w:lang w:eastAsia="he-IL"/>
        </w:rPr>
        <w:t>ה</w:t>
      </w:r>
      <w:r w:rsidR="00E17AD5">
        <w:rPr>
          <w:rFonts w:hint="cs" w:ascii="Calibri" w:hAnsi="Calibri"/>
          <w:rtl/>
          <w:lang w:eastAsia="he-IL"/>
        </w:rPr>
        <w:t xml:space="preserve">אלה, </w:t>
      </w:r>
      <w:r w:rsidR="00FC3C57">
        <w:rPr>
          <w:rFonts w:hint="cs" w:ascii="Calibri" w:hAnsi="Calibri"/>
          <w:rtl/>
          <w:lang w:eastAsia="he-IL"/>
        </w:rPr>
        <w:t>לפי הדוחות הכספיים, ה</w:t>
      </w:r>
      <w:r w:rsidR="00FD5E85">
        <w:rPr>
          <w:rFonts w:hint="cs" w:ascii="Calibri" w:hAnsi="Calibri"/>
          <w:rtl/>
          <w:lang w:eastAsia="he-IL"/>
        </w:rPr>
        <w:t>וא</w:t>
      </w:r>
      <w:r w:rsidR="00FC3C57">
        <w:rPr>
          <w:rFonts w:hint="cs" w:ascii="Calibri" w:hAnsi="Calibri"/>
          <w:rtl/>
          <w:lang w:eastAsia="he-IL"/>
        </w:rPr>
        <w:t xml:space="preserve"> כדלקמן:</w:t>
      </w:r>
    </w:p>
    <w:tbl>
      <w:tblPr>
        <w:tblStyle w:val="a9"/>
        <w:bidiVisual/>
        <w:tblW w:w="0" w:type="auto"/>
        <w:tblLayout w:type="fixed"/>
        <w:tblLook w:val="04A0" w:firstRow="1" w:lastRow="0" w:firstColumn="1" w:lastColumn="0" w:noHBand="0" w:noVBand="1"/>
      </w:tblPr>
      <w:tblGrid>
        <w:gridCol w:w="1699"/>
        <w:gridCol w:w="1731"/>
        <w:gridCol w:w="1679"/>
        <w:gridCol w:w="1429"/>
      </w:tblGrid>
      <w:tr w:rsidR="00FC3C57" w:rsidTr="00EC6035">
        <w:tc>
          <w:tcPr>
            <w:tcW w:w="1699" w:type="dxa"/>
          </w:tcPr>
          <w:p w:rsidR="00FC3C57" w:rsidP="00781E59" w:rsidRDefault="00FC3C57">
            <w:pPr>
              <w:spacing w:before="240" w:after="160" w:line="360" w:lineRule="auto"/>
              <w:jc w:val="both"/>
              <w:rPr>
                <w:rFonts w:ascii="Calibri" w:hAnsi="Calibri"/>
                <w:rtl/>
                <w:lang w:eastAsia="he-IL"/>
              </w:rPr>
            </w:pPr>
            <w:r>
              <w:rPr>
                <w:rFonts w:hint="cs" w:ascii="Calibri" w:hAnsi="Calibri"/>
                <w:rtl/>
                <w:lang w:eastAsia="he-IL"/>
              </w:rPr>
              <w:t>שנה</w:t>
            </w:r>
          </w:p>
        </w:tc>
        <w:tc>
          <w:tcPr>
            <w:tcW w:w="1731" w:type="dxa"/>
          </w:tcPr>
          <w:p w:rsidR="00FC3C57" w:rsidP="00781E59" w:rsidRDefault="00FC3C57">
            <w:pPr>
              <w:spacing w:before="240" w:after="160" w:line="360" w:lineRule="auto"/>
              <w:jc w:val="both"/>
              <w:rPr>
                <w:rFonts w:ascii="Calibri" w:hAnsi="Calibri"/>
                <w:rtl/>
                <w:lang w:eastAsia="he-IL"/>
              </w:rPr>
            </w:pPr>
            <w:r>
              <w:rPr>
                <w:rFonts w:hint="cs" w:ascii="Calibri" w:hAnsi="Calibri"/>
                <w:rtl/>
                <w:lang w:eastAsia="he-IL"/>
              </w:rPr>
              <w:t>חיוב מלא באש"ח</w:t>
            </w:r>
          </w:p>
        </w:tc>
        <w:tc>
          <w:tcPr>
            <w:tcW w:w="1679" w:type="dxa"/>
          </w:tcPr>
          <w:p w:rsidR="00FC3C57" w:rsidP="00781E59" w:rsidRDefault="00FC3C57">
            <w:pPr>
              <w:spacing w:before="240" w:after="160" w:line="360" w:lineRule="auto"/>
              <w:jc w:val="both"/>
              <w:rPr>
                <w:rFonts w:ascii="Calibri" w:hAnsi="Calibri"/>
                <w:rtl/>
                <w:lang w:eastAsia="he-IL"/>
              </w:rPr>
            </w:pPr>
            <w:r>
              <w:rPr>
                <w:rFonts w:hint="cs" w:ascii="Calibri" w:hAnsi="Calibri"/>
                <w:rtl/>
                <w:lang w:eastAsia="he-IL"/>
              </w:rPr>
              <w:t>גביה באש"ח</w:t>
            </w:r>
          </w:p>
        </w:tc>
        <w:tc>
          <w:tcPr>
            <w:tcW w:w="1429" w:type="dxa"/>
          </w:tcPr>
          <w:p w:rsidR="00FC3C57" w:rsidP="00781E59" w:rsidRDefault="00FC3C57">
            <w:pPr>
              <w:spacing w:before="240" w:after="160" w:line="360" w:lineRule="auto"/>
              <w:jc w:val="both"/>
              <w:rPr>
                <w:rFonts w:ascii="Calibri" w:hAnsi="Calibri"/>
                <w:rtl/>
                <w:lang w:eastAsia="he-IL"/>
              </w:rPr>
            </w:pPr>
            <w:r>
              <w:rPr>
                <w:rFonts w:hint="cs" w:ascii="Calibri" w:hAnsi="Calibri"/>
                <w:rtl/>
                <w:lang w:eastAsia="he-IL"/>
              </w:rPr>
              <w:t>אחוז</w:t>
            </w:r>
          </w:p>
        </w:tc>
      </w:tr>
      <w:tr w:rsidR="00FC3C57" w:rsidTr="00EC6035">
        <w:tc>
          <w:tcPr>
            <w:tcW w:w="1699" w:type="dxa"/>
          </w:tcPr>
          <w:p w:rsidR="00FC3C57" w:rsidP="00781E59" w:rsidRDefault="00FC3C57">
            <w:pPr>
              <w:spacing w:before="240" w:after="160" w:line="360" w:lineRule="auto"/>
              <w:jc w:val="both"/>
              <w:rPr>
                <w:rFonts w:ascii="Calibri" w:hAnsi="Calibri"/>
                <w:rtl/>
                <w:lang w:eastAsia="he-IL"/>
              </w:rPr>
            </w:pPr>
            <w:r>
              <w:rPr>
                <w:rFonts w:hint="cs" w:ascii="Calibri" w:hAnsi="Calibri"/>
                <w:rtl/>
                <w:lang w:eastAsia="he-IL"/>
              </w:rPr>
              <w:t>2015</w:t>
            </w:r>
          </w:p>
        </w:tc>
        <w:tc>
          <w:tcPr>
            <w:tcW w:w="1731" w:type="dxa"/>
          </w:tcPr>
          <w:p w:rsidR="00FC3C57" w:rsidP="00781E59" w:rsidRDefault="00FC3C57">
            <w:pPr>
              <w:spacing w:before="240" w:after="160" w:line="360" w:lineRule="auto"/>
              <w:jc w:val="both"/>
              <w:rPr>
                <w:rFonts w:ascii="Calibri" w:hAnsi="Calibri"/>
                <w:rtl/>
                <w:lang w:eastAsia="he-IL"/>
              </w:rPr>
            </w:pPr>
            <w:r>
              <w:rPr>
                <w:rFonts w:hint="cs" w:ascii="Calibri" w:hAnsi="Calibri"/>
                <w:rtl/>
                <w:lang w:eastAsia="he-IL"/>
              </w:rPr>
              <w:t>348,585</w:t>
            </w:r>
          </w:p>
        </w:tc>
        <w:tc>
          <w:tcPr>
            <w:tcW w:w="1679" w:type="dxa"/>
          </w:tcPr>
          <w:p w:rsidR="00FC3C57" w:rsidP="00781E59" w:rsidRDefault="00FC3C57">
            <w:pPr>
              <w:spacing w:before="240" w:after="160" w:line="360" w:lineRule="auto"/>
              <w:jc w:val="both"/>
              <w:rPr>
                <w:rFonts w:ascii="Calibri" w:hAnsi="Calibri"/>
                <w:rtl/>
                <w:lang w:eastAsia="he-IL"/>
              </w:rPr>
            </w:pPr>
            <w:r>
              <w:rPr>
                <w:rFonts w:hint="cs" w:ascii="Calibri" w:hAnsi="Calibri"/>
                <w:rtl/>
                <w:lang w:eastAsia="he-IL"/>
              </w:rPr>
              <w:t>273,923</w:t>
            </w:r>
          </w:p>
        </w:tc>
        <w:tc>
          <w:tcPr>
            <w:tcW w:w="1429" w:type="dxa"/>
          </w:tcPr>
          <w:p w:rsidR="00FC3C57" w:rsidP="00781E59" w:rsidRDefault="00FC3C57">
            <w:pPr>
              <w:spacing w:before="240" w:after="160" w:line="360" w:lineRule="auto"/>
              <w:jc w:val="both"/>
              <w:rPr>
                <w:rFonts w:ascii="Calibri" w:hAnsi="Calibri"/>
                <w:rtl/>
                <w:lang w:eastAsia="he-IL"/>
              </w:rPr>
            </w:pPr>
            <w:r>
              <w:rPr>
                <w:rFonts w:hint="cs" w:ascii="Calibri" w:hAnsi="Calibri"/>
                <w:rtl/>
                <w:lang w:eastAsia="he-IL"/>
              </w:rPr>
              <w:t>78.58%</w:t>
            </w:r>
          </w:p>
        </w:tc>
      </w:tr>
      <w:tr w:rsidR="00EC6035" w:rsidTr="00EC6035">
        <w:tc>
          <w:tcPr>
            <w:tcW w:w="1699" w:type="dxa"/>
          </w:tcPr>
          <w:p w:rsidR="00EC6035" w:rsidP="00EC6035" w:rsidRDefault="00EC6035">
            <w:pPr>
              <w:spacing w:before="240" w:after="160" w:line="360" w:lineRule="auto"/>
              <w:jc w:val="both"/>
              <w:rPr>
                <w:rFonts w:ascii="Calibri" w:hAnsi="Calibri"/>
                <w:rtl/>
                <w:lang w:eastAsia="he-IL"/>
              </w:rPr>
            </w:pPr>
            <w:r>
              <w:rPr>
                <w:rFonts w:hint="cs" w:ascii="Calibri" w:hAnsi="Calibri"/>
                <w:rtl/>
                <w:lang w:eastAsia="he-IL"/>
              </w:rPr>
              <w:t>2014</w:t>
            </w:r>
          </w:p>
        </w:tc>
        <w:tc>
          <w:tcPr>
            <w:tcW w:w="1731" w:type="dxa"/>
          </w:tcPr>
          <w:p w:rsidR="00EC6035" w:rsidP="00EC6035" w:rsidRDefault="00EC6035">
            <w:pPr>
              <w:spacing w:before="240" w:after="160" w:line="360" w:lineRule="auto"/>
              <w:jc w:val="both"/>
              <w:rPr>
                <w:rFonts w:ascii="Calibri" w:hAnsi="Calibri"/>
                <w:rtl/>
                <w:lang w:eastAsia="he-IL"/>
              </w:rPr>
            </w:pPr>
            <w:r>
              <w:rPr>
                <w:rFonts w:hint="cs" w:ascii="Calibri" w:hAnsi="Calibri"/>
                <w:rtl/>
                <w:lang w:eastAsia="he-IL"/>
              </w:rPr>
              <w:t>338,451</w:t>
            </w:r>
          </w:p>
        </w:tc>
        <w:tc>
          <w:tcPr>
            <w:tcW w:w="1679" w:type="dxa"/>
          </w:tcPr>
          <w:p w:rsidR="00EC6035" w:rsidP="00EC6035" w:rsidRDefault="00EC6035">
            <w:pPr>
              <w:spacing w:before="240" w:after="160" w:line="360" w:lineRule="auto"/>
              <w:jc w:val="both"/>
              <w:rPr>
                <w:rFonts w:ascii="Calibri" w:hAnsi="Calibri"/>
                <w:rtl/>
                <w:lang w:eastAsia="he-IL"/>
              </w:rPr>
            </w:pPr>
            <w:r>
              <w:rPr>
                <w:rFonts w:hint="cs" w:ascii="Calibri" w:hAnsi="Calibri"/>
                <w:rtl/>
                <w:lang w:eastAsia="he-IL"/>
              </w:rPr>
              <w:t xml:space="preserve">266,218 </w:t>
            </w:r>
          </w:p>
        </w:tc>
        <w:tc>
          <w:tcPr>
            <w:tcW w:w="1429" w:type="dxa"/>
          </w:tcPr>
          <w:p w:rsidR="00EC6035" w:rsidP="00EC6035" w:rsidRDefault="00EC6035">
            <w:pPr>
              <w:spacing w:before="240" w:after="160" w:line="360" w:lineRule="auto"/>
              <w:jc w:val="both"/>
              <w:rPr>
                <w:rFonts w:ascii="Calibri" w:hAnsi="Calibri"/>
                <w:rtl/>
                <w:lang w:eastAsia="he-IL"/>
              </w:rPr>
            </w:pPr>
            <w:r>
              <w:rPr>
                <w:rFonts w:hint="cs" w:ascii="Calibri" w:hAnsi="Calibri"/>
                <w:rtl/>
                <w:lang w:eastAsia="he-IL"/>
              </w:rPr>
              <w:t>78.66%</w:t>
            </w:r>
          </w:p>
        </w:tc>
      </w:tr>
      <w:tr w:rsidR="00EC6035" w:rsidTr="00EC6035">
        <w:tc>
          <w:tcPr>
            <w:tcW w:w="1699" w:type="dxa"/>
          </w:tcPr>
          <w:p w:rsidR="00EC6035" w:rsidP="00EC6035" w:rsidRDefault="00EC6035">
            <w:pPr>
              <w:spacing w:before="240" w:after="160" w:line="360" w:lineRule="auto"/>
              <w:jc w:val="both"/>
              <w:rPr>
                <w:rFonts w:ascii="Calibri" w:hAnsi="Calibri"/>
                <w:rtl/>
                <w:lang w:eastAsia="he-IL"/>
              </w:rPr>
            </w:pPr>
            <w:r>
              <w:rPr>
                <w:rFonts w:hint="cs" w:ascii="Calibri" w:hAnsi="Calibri"/>
                <w:rtl/>
                <w:lang w:eastAsia="he-IL"/>
              </w:rPr>
              <w:t>2013</w:t>
            </w:r>
          </w:p>
        </w:tc>
        <w:tc>
          <w:tcPr>
            <w:tcW w:w="1731" w:type="dxa"/>
          </w:tcPr>
          <w:p w:rsidR="00EC6035" w:rsidP="00EC6035" w:rsidRDefault="00EC6035">
            <w:pPr>
              <w:spacing w:before="240" w:after="160" w:line="360" w:lineRule="auto"/>
              <w:jc w:val="both"/>
              <w:rPr>
                <w:rFonts w:ascii="Calibri" w:hAnsi="Calibri"/>
                <w:rtl/>
                <w:lang w:eastAsia="he-IL"/>
              </w:rPr>
            </w:pPr>
            <w:r>
              <w:rPr>
                <w:rFonts w:hint="cs" w:ascii="Calibri" w:hAnsi="Calibri"/>
                <w:rtl/>
                <w:lang w:eastAsia="he-IL"/>
              </w:rPr>
              <w:t>327,637</w:t>
            </w:r>
          </w:p>
        </w:tc>
        <w:tc>
          <w:tcPr>
            <w:tcW w:w="1679" w:type="dxa"/>
          </w:tcPr>
          <w:p w:rsidR="00EC6035" w:rsidP="00EC6035" w:rsidRDefault="00EC6035">
            <w:pPr>
              <w:spacing w:before="240" w:after="160" w:line="360" w:lineRule="auto"/>
              <w:jc w:val="both"/>
              <w:rPr>
                <w:rFonts w:ascii="Calibri" w:hAnsi="Calibri"/>
                <w:rtl/>
                <w:lang w:eastAsia="he-IL"/>
              </w:rPr>
            </w:pPr>
            <w:r>
              <w:rPr>
                <w:rFonts w:hint="cs" w:ascii="Calibri" w:hAnsi="Calibri"/>
                <w:rtl/>
                <w:lang w:eastAsia="he-IL"/>
              </w:rPr>
              <w:t>250,408</w:t>
            </w:r>
          </w:p>
        </w:tc>
        <w:tc>
          <w:tcPr>
            <w:tcW w:w="1429" w:type="dxa"/>
          </w:tcPr>
          <w:p w:rsidR="00EC6035" w:rsidP="00EC6035" w:rsidRDefault="00EC6035">
            <w:pPr>
              <w:spacing w:before="240" w:after="160" w:line="360" w:lineRule="auto"/>
              <w:jc w:val="both"/>
              <w:rPr>
                <w:rFonts w:ascii="Calibri" w:hAnsi="Calibri"/>
                <w:rtl/>
                <w:lang w:eastAsia="he-IL"/>
              </w:rPr>
            </w:pPr>
            <w:r>
              <w:rPr>
                <w:rFonts w:hint="cs" w:ascii="Calibri" w:hAnsi="Calibri"/>
                <w:rtl/>
                <w:lang w:eastAsia="he-IL"/>
              </w:rPr>
              <w:t>76.43%</w:t>
            </w:r>
          </w:p>
        </w:tc>
      </w:tr>
      <w:tr w:rsidR="00EC6035" w:rsidTr="00EC6035">
        <w:tc>
          <w:tcPr>
            <w:tcW w:w="1699" w:type="dxa"/>
          </w:tcPr>
          <w:p w:rsidR="00EC6035" w:rsidP="00EC6035" w:rsidRDefault="00EC6035">
            <w:pPr>
              <w:spacing w:before="240" w:after="160" w:line="360" w:lineRule="auto"/>
              <w:jc w:val="both"/>
              <w:rPr>
                <w:rFonts w:ascii="Calibri" w:hAnsi="Calibri"/>
                <w:rtl/>
                <w:lang w:eastAsia="he-IL"/>
              </w:rPr>
            </w:pPr>
            <w:r>
              <w:rPr>
                <w:rFonts w:hint="cs" w:ascii="Calibri" w:hAnsi="Calibri"/>
                <w:rtl/>
                <w:lang w:eastAsia="he-IL"/>
              </w:rPr>
              <w:t>2012</w:t>
            </w:r>
          </w:p>
        </w:tc>
        <w:tc>
          <w:tcPr>
            <w:tcW w:w="1731" w:type="dxa"/>
          </w:tcPr>
          <w:p w:rsidR="00EC6035" w:rsidP="00EC6035" w:rsidRDefault="00EC6035">
            <w:pPr>
              <w:spacing w:before="240" w:after="160" w:line="360" w:lineRule="auto"/>
              <w:jc w:val="both"/>
              <w:rPr>
                <w:rFonts w:ascii="Calibri" w:hAnsi="Calibri"/>
                <w:rtl/>
                <w:lang w:eastAsia="he-IL"/>
              </w:rPr>
            </w:pPr>
            <w:r>
              <w:rPr>
                <w:rFonts w:hint="cs" w:ascii="Calibri" w:hAnsi="Calibri"/>
                <w:rtl/>
                <w:lang w:eastAsia="he-IL"/>
              </w:rPr>
              <w:t>314,376</w:t>
            </w:r>
          </w:p>
        </w:tc>
        <w:tc>
          <w:tcPr>
            <w:tcW w:w="1679" w:type="dxa"/>
          </w:tcPr>
          <w:p w:rsidR="00EC6035" w:rsidP="00EC6035" w:rsidRDefault="00EC6035">
            <w:pPr>
              <w:spacing w:before="240" w:after="160" w:line="360" w:lineRule="auto"/>
              <w:jc w:val="both"/>
              <w:rPr>
                <w:rFonts w:ascii="Calibri" w:hAnsi="Calibri"/>
                <w:rtl/>
                <w:lang w:eastAsia="he-IL"/>
              </w:rPr>
            </w:pPr>
            <w:r>
              <w:rPr>
                <w:rFonts w:hint="cs" w:ascii="Calibri" w:hAnsi="Calibri"/>
                <w:rtl/>
                <w:lang w:eastAsia="he-IL"/>
              </w:rPr>
              <w:t>244,697</w:t>
            </w:r>
          </w:p>
        </w:tc>
        <w:tc>
          <w:tcPr>
            <w:tcW w:w="1429" w:type="dxa"/>
          </w:tcPr>
          <w:p w:rsidR="00EC6035" w:rsidP="00EC6035" w:rsidRDefault="00EC6035">
            <w:pPr>
              <w:spacing w:before="240" w:after="160" w:line="360" w:lineRule="auto"/>
              <w:jc w:val="both"/>
              <w:rPr>
                <w:rFonts w:ascii="Calibri" w:hAnsi="Calibri"/>
                <w:rtl/>
                <w:lang w:eastAsia="he-IL"/>
              </w:rPr>
            </w:pPr>
            <w:r>
              <w:rPr>
                <w:rFonts w:hint="cs" w:ascii="Calibri" w:hAnsi="Calibri"/>
                <w:rtl/>
                <w:lang w:eastAsia="he-IL"/>
              </w:rPr>
              <w:t>77.84%</w:t>
            </w:r>
          </w:p>
        </w:tc>
      </w:tr>
      <w:tr w:rsidR="00E17AD5" w:rsidTr="00EC6035">
        <w:tc>
          <w:tcPr>
            <w:tcW w:w="1699" w:type="dxa"/>
          </w:tcPr>
          <w:p w:rsidR="00E17AD5" w:rsidP="00EC6035" w:rsidRDefault="00E17AD5">
            <w:pPr>
              <w:spacing w:before="240" w:after="160" w:line="360" w:lineRule="auto"/>
              <w:jc w:val="both"/>
              <w:rPr>
                <w:rFonts w:ascii="Calibri" w:hAnsi="Calibri"/>
                <w:rtl/>
                <w:lang w:eastAsia="he-IL"/>
              </w:rPr>
            </w:pPr>
            <w:r>
              <w:rPr>
                <w:rFonts w:hint="cs" w:ascii="Calibri" w:hAnsi="Calibri"/>
                <w:rtl/>
                <w:lang w:eastAsia="he-IL"/>
              </w:rPr>
              <w:t>2011</w:t>
            </w:r>
          </w:p>
        </w:tc>
        <w:tc>
          <w:tcPr>
            <w:tcW w:w="1731" w:type="dxa"/>
          </w:tcPr>
          <w:p w:rsidR="00E17AD5" w:rsidP="00EC6035" w:rsidRDefault="00BE311C">
            <w:pPr>
              <w:spacing w:before="240" w:after="160" w:line="360" w:lineRule="auto"/>
              <w:jc w:val="both"/>
              <w:rPr>
                <w:rFonts w:ascii="Calibri" w:hAnsi="Calibri"/>
                <w:rtl/>
                <w:lang w:eastAsia="he-IL"/>
              </w:rPr>
            </w:pPr>
            <w:r>
              <w:rPr>
                <w:rFonts w:hint="cs" w:ascii="Calibri" w:hAnsi="Calibri"/>
                <w:rtl/>
                <w:lang w:eastAsia="he-IL"/>
              </w:rPr>
              <w:t>291,683</w:t>
            </w:r>
          </w:p>
        </w:tc>
        <w:tc>
          <w:tcPr>
            <w:tcW w:w="1679" w:type="dxa"/>
          </w:tcPr>
          <w:p w:rsidR="00E17AD5" w:rsidP="00EC6035" w:rsidRDefault="00E17AD5">
            <w:pPr>
              <w:spacing w:before="240" w:after="160" w:line="360" w:lineRule="auto"/>
              <w:jc w:val="both"/>
              <w:rPr>
                <w:rFonts w:ascii="Calibri" w:hAnsi="Calibri"/>
                <w:rtl/>
                <w:lang w:eastAsia="he-IL"/>
              </w:rPr>
            </w:pPr>
            <w:r>
              <w:rPr>
                <w:rFonts w:hint="cs" w:ascii="Calibri" w:hAnsi="Calibri"/>
                <w:rtl/>
                <w:lang w:eastAsia="he-IL"/>
              </w:rPr>
              <w:t>233,456</w:t>
            </w:r>
          </w:p>
        </w:tc>
        <w:tc>
          <w:tcPr>
            <w:tcW w:w="1429" w:type="dxa"/>
          </w:tcPr>
          <w:p w:rsidR="00E17AD5" w:rsidP="00EC6035" w:rsidRDefault="00BE311C">
            <w:pPr>
              <w:spacing w:before="240" w:after="160" w:line="360" w:lineRule="auto"/>
              <w:jc w:val="both"/>
              <w:rPr>
                <w:rFonts w:ascii="Calibri" w:hAnsi="Calibri"/>
                <w:rtl/>
                <w:lang w:eastAsia="he-IL"/>
              </w:rPr>
            </w:pPr>
            <w:r>
              <w:rPr>
                <w:rFonts w:hint="cs" w:ascii="Calibri" w:hAnsi="Calibri"/>
                <w:rtl/>
                <w:lang w:eastAsia="he-IL"/>
              </w:rPr>
              <w:t>80.04%</w:t>
            </w:r>
          </w:p>
        </w:tc>
      </w:tr>
      <w:tr w:rsidR="00EC6035" w:rsidTr="004031B3">
        <w:tc>
          <w:tcPr>
            <w:tcW w:w="5109" w:type="dxa"/>
            <w:gridSpan w:val="3"/>
          </w:tcPr>
          <w:p w:rsidR="00EC6035" w:rsidP="00EC6035" w:rsidRDefault="00EC6035">
            <w:pPr>
              <w:spacing w:before="240" w:after="160" w:line="360" w:lineRule="auto"/>
              <w:jc w:val="both"/>
              <w:rPr>
                <w:rFonts w:ascii="Calibri" w:hAnsi="Calibri"/>
                <w:rtl/>
                <w:lang w:eastAsia="he-IL"/>
              </w:rPr>
            </w:pPr>
            <w:r>
              <w:rPr>
                <w:rFonts w:hint="cs" w:ascii="Calibri" w:hAnsi="Calibri"/>
                <w:rtl/>
                <w:lang w:eastAsia="he-IL"/>
              </w:rPr>
              <w:t>ממוצע</w:t>
            </w:r>
          </w:p>
        </w:tc>
        <w:tc>
          <w:tcPr>
            <w:tcW w:w="1429" w:type="dxa"/>
          </w:tcPr>
          <w:p w:rsidR="00EC6035" w:rsidP="00BE311C" w:rsidRDefault="00E17AD5">
            <w:pPr>
              <w:spacing w:before="240" w:after="160" w:line="360" w:lineRule="auto"/>
              <w:jc w:val="both"/>
              <w:rPr>
                <w:rFonts w:ascii="Calibri" w:hAnsi="Calibri"/>
                <w:rtl/>
                <w:lang w:eastAsia="he-IL"/>
              </w:rPr>
            </w:pPr>
            <w:r>
              <w:rPr>
                <w:rFonts w:hint="cs" w:ascii="Calibri" w:hAnsi="Calibri"/>
                <w:rtl/>
                <w:lang w:eastAsia="he-IL"/>
              </w:rPr>
              <w:t>7</w:t>
            </w:r>
            <w:r w:rsidR="00BE311C">
              <w:rPr>
                <w:rFonts w:hint="cs" w:ascii="Calibri" w:hAnsi="Calibri"/>
                <w:rtl/>
                <w:lang w:eastAsia="he-IL"/>
              </w:rPr>
              <w:t>8</w:t>
            </w:r>
            <w:r>
              <w:rPr>
                <w:rFonts w:hint="cs" w:ascii="Calibri" w:hAnsi="Calibri"/>
                <w:rtl/>
                <w:lang w:eastAsia="he-IL"/>
              </w:rPr>
              <w:t>.</w:t>
            </w:r>
            <w:r w:rsidR="00BE311C">
              <w:rPr>
                <w:rFonts w:hint="cs" w:ascii="Calibri" w:hAnsi="Calibri"/>
                <w:rtl/>
                <w:lang w:eastAsia="he-IL"/>
              </w:rPr>
              <w:t>31</w:t>
            </w:r>
            <w:r>
              <w:rPr>
                <w:rFonts w:hint="cs" w:ascii="Calibri" w:hAnsi="Calibri"/>
                <w:rtl/>
                <w:lang w:eastAsia="he-IL"/>
              </w:rPr>
              <w:t>%</w:t>
            </w:r>
          </w:p>
        </w:tc>
      </w:tr>
    </w:tbl>
    <w:p w:rsidR="00BE311C" w:rsidP="00087A8C" w:rsidRDefault="00FD5E85">
      <w:pPr>
        <w:spacing w:before="240" w:after="160" w:line="360" w:lineRule="auto"/>
        <w:jc w:val="both"/>
        <w:rPr>
          <w:rFonts w:ascii="Calibri" w:hAnsi="Calibri"/>
          <w:rtl/>
          <w:lang w:eastAsia="he-IL"/>
        </w:rPr>
      </w:pPr>
      <w:r>
        <w:rPr>
          <w:rFonts w:hint="cs" w:ascii="Calibri" w:hAnsi="Calibri"/>
          <w:rtl/>
          <w:lang w:eastAsia="he-IL"/>
        </w:rPr>
        <w:t xml:space="preserve">לעומת זאת, </w:t>
      </w:r>
      <w:r w:rsidR="00FC3C57">
        <w:rPr>
          <w:rFonts w:hint="cs" w:ascii="Calibri" w:hAnsi="Calibri"/>
          <w:rtl/>
          <w:lang w:eastAsia="he-IL"/>
        </w:rPr>
        <w:t>על פי התחשיב שערך רו</w:t>
      </w:r>
      <w:r w:rsidR="00087A8C">
        <w:rPr>
          <w:rFonts w:hint="cs" w:ascii="Calibri" w:hAnsi="Calibri"/>
          <w:rtl/>
          <w:lang w:eastAsia="he-IL"/>
        </w:rPr>
        <w:t>"ח</w:t>
      </w:r>
      <w:r w:rsidR="00FC3C57">
        <w:rPr>
          <w:rFonts w:hint="cs" w:ascii="Calibri" w:hAnsi="Calibri"/>
          <w:rtl/>
          <w:lang w:eastAsia="he-IL"/>
        </w:rPr>
        <w:t xml:space="preserve"> בוחניק ועל פיו נחקק חוק העזר (נספח 7 לבקשה), שיעור הגבייה שנלקח בחשבון הוא 77.95%</w:t>
      </w:r>
      <w:r w:rsidR="00BE311C">
        <w:rPr>
          <w:rFonts w:hint="cs" w:ascii="Calibri" w:hAnsi="Calibri"/>
          <w:rtl/>
          <w:lang w:eastAsia="he-IL"/>
        </w:rPr>
        <w:t xml:space="preserve">, ופער זה, 0.36%, הוא לרעת הנישומים. </w:t>
      </w:r>
    </w:p>
    <w:p w:rsidR="00BE311C" w:rsidP="00087A8C" w:rsidRDefault="00BE311C">
      <w:pPr>
        <w:spacing w:before="240" w:after="160" w:line="360" w:lineRule="auto"/>
        <w:jc w:val="both"/>
        <w:rPr>
          <w:rFonts w:ascii="Calibri" w:hAnsi="Calibri"/>
          <w:rtl/>
          <w:lang w:eastAsia="he-IL"/>
        </w:rPr>
      </w:pPr>
      <w:r>
        <w:rPr>
          <w:rFonts w:hint="cs" w:ascii="Calibri" w:hAnsi="Calibri"/>
          <w:rtl/>
          <w:lang w:eastAsia="he-IL"/>
        </w:rPr>
        <w:lastRenderedPageBreak/>
        <w:t>34.</w:t>
      </w:r>
      <w:r>
        <w:rPr>
          <w:rFonts w:hint="cs" w:ascii="Calibri" w:hAnsi="Calibri"/>
          <w:rtl/>
          <w:lang w:eastAsia="he-IL"/>
        </w:rPr>
        <w:tab/>
        <w:t>בתחשיב שערך, לא פירט רו</w:t>
      </w:r>
      <w:r w:rsidR="00087A8C">
        <w:rPr>
          <w:rFonts w:hint="cs" w:ascii="Calibri" w:hAnsi="Calibri"/>
          <w:rtl/>
          <w:lang w:eastAsia="he-IL"/>
        </w:rPr>
        <w:t>"ח</w:t>
      </w:r>
      <w:r>
        <w:rPr>
          <w:rFonts w:hint="cs" w:ascii="Calibri" w:hAnsi="Calibri"/>
          <w:rtl/>
          <w:lang w:eastAsia="he-IL"/>
        </w:rPr>
        <w:t xml:space="preserve"> בוחניק כיצד הגיע לשיעור גבייה ממוצע של 77.95%. ב-"חוות הדעת" שהגיש במצורף לתשובת המשיבה לבקשה, ערך פירוט, שלפיו הנתונים שנלקחו בחשבון אינם זהים לאמור בדוחות הכספיים</w:t>
      </w:r>
      <w:r w:rsidR="00C35AA2">
        <w:rPr>
          <w:rFonts w:hint="cs" w:ascii="Calibri" w:hAnsi="Calibri"/>
          <w:rtl/>
          <w:lang w:eastAsia="he-IL"/>
        </w:rPr>
        <w:t xml:space="preserve">, </w:t>
      </w:r>
      <w:r>
        <w:rPr>
          <w:rFonts w:hint="cs" w:ascii="Calibri" w:hAnsi="Calibri"/>
          <w:rtl/>
          <w:lang w:eastAsia="he-IL"/>
        </w:rPr>
        <w:t>כגון חיוב ארנונה בסך 338,689 אש"ח לשנת 2015 ב</w:t>
      </w:r>
      <w:r w:rsidR="00C35AA2">
        <w:rPr>
          <w:rFonts w:hint="cs" w:ascii="Calibri" w:hAnsi="Calibri"/>
          <w:rtl/>
          <w:lang w:eastAsia="he-IL"/>
        </w:rPr>
        <w:t>תחשיב לעומת 348,585 אש"ח בדוח הכספי. נתונים שונים מהדוחות הכספיים מופיעים גם בתאים אחרים בתחשיב שנערך על ידי רו"ח בוחניק ב-"חוות הדעת", הן לגבי סכום ההנחות, הן לגבי החיוב, והן לגבי סכום הגבייה. על כן, לצורך הבקשה א</w:t>
      </w:r>
      <w:r w:rsidR="00FD5E85">
        <w:rPr>
          <w:rFonts w:hint="cs" w:ascii="Calibri" w:hAnsi="Calibri"/>
          <w:rtl/>
          <w:lang w:eastAsia="he-IL"/>
        </w:rPr>
        <w:t xml:space="preserve">ני קובע </w:t>
      </w:r>
      <w:r w:rsidR="00C35AA2">
        <w:rPr>
          <w:rFonts w:hint="cs" w:ascii="Calibri" w:hAnsi="Calibri"/>
          <w:rtl/>
          <w:lang w:eastAsia="he-IL"/>
        </w:rPr>
        <w:t xml:space="preserve">שהנתון הנכון שהיה על רואה החשבון בוחניק להביא בחשבון הוא שיעור גבייה ממוצע של 78.31%, ולא 77.95%, כפי שהביא.  </w:t>
      </w:r>
    </w:p>
    <w:p w:rsidR="00DA06F9" w:rsidP="00087A8C" w:rsidRDefault="007F49AF">
      <w:pPr>
        <w:spacing w:before="240" w:after="160" w:line="360" w:lineRule="auto"/>
        <w:jc w:val="both"/>
        <w:rPr>
          <w:rFonts w:ascii="Calibri" w:hAnsi="Calibri"/>
          <w:rtl/>
          <w:lang w:eastAsia="he-IL"/>
        </w:rPr>
      </w:pPr>
      <w:r>
        <w:rPr>
          <w:rFonts w:hint="cs" w:ascii="Calibri" w:hAnsi="Calibri"/>
          <w:rtl/>
          <w:lang w:eastAsia="he-IL"/>
        </w:rPr>
        <w:t>35.</w:t>
      </w:r>
      <w:r>
        <w:rPr>
          <w:rFonts w:hint="cs" w:ascii="Calibri" w:hAnsi="Calibri"/>
          <w:rtl/>
          <w:lang w:eastAsia="he-IL"/>
        </w:rPr>
        <w:tab/>
        <w:t xml:space="preserve">אשר לשטחים שנלקחו בחשבון, אני דוחה את טענת המבקשים, כאילו שטחי מדינה לא נלקחו בחשבון. הם כלולים בחשבון. המבקשים עימתו את הנתונים שנלקחו לצורך התחשיב </w:t>
      </w:r>
      <w:r w:rsidR="00FD5E85">
        <w:rPr>
          <w:rFonts w:hint="cs" w:ascii="Calibri" w:hAnsi="Calibri"/>
          <w:rtl/>
          <w:lang w:eastAsia="he-IL"/>
        </w:rPr>
        <w:t>עם</w:t>
      </w:r>
      <w:r>
        <w:rPr>
          <w:rFonts w:hint="cs" w:ascii="Calibri" w:hAnsi="Calibri"/>
          <w:rtl/>
          <w:lang w:eastAsia="he-IL"/>
        </w:rPr>
        <w:t xml:space="preserve"> נתוני הלשכה המרכזית לסטטיסטיקה. זה אינו נתון נכון להשוואה. לא ברור כיצד נאספו הנתונים על ידי הלשכה המרכזית לסטטיסטיקה, ומה ההבדל בינם לבין נתוני גביית הארנונה בעיריית חדרה. </w:t>
      </w:r>
      <w:r w:rsidR="00FD5E85">
        <w:rPr>
          <w:rFonts w:hint="cs" w:ascii="Calibri" w:hAnsi="Calibri"/>
          <w:rtl/>
          <w:lang w:eastAsia="he-IL"/>
        </w:rPr>
        <w:t xml:space="preserve">המבקש לא הביא כל עדות שתסביר זאת. </w:t>
      </w:r>
      <w:r w:rsidR="00737047">
        <w:rPr>
          <w:rFonts w:hint="cs" w:ascii="Calibri" w:hAnsi="Calibri"/>
          <w:rtl/>
          <w:lang w:eastAsia="he-IL"/>
        </w:rPr>
        <w:t xml:space="preserve">המבקש אישר בחקירתו, שלא ניסה לברר מול המשיבה את נתוני השטחים מתוך קובץ הארנונה, גם לא כאשר פנה בפנייה מוקדמת בעניין זה (עמ' 12-11 לתמליל המודפס). אמנם, המבקש שיער בחקירתו, שהלשכה המרכזית לסטטיסטיקה שואבת את הנתונים מקבצי העירייה, אך זו השערה שלא הוכחה. </w:t>
      </w:r>
      <w:r w:rsidR="00FD5E85">
        <w:rPr>
          <w:rFonts w:hint="cs" w:ascii="Calibri" w:hAnsi="Calibri"/>
          <w:rtl/>
          <w:lang w:eastAsia="he-IL"/>
        </w:rPr>
        <w:t xml:space="preserve">על כן, לצורך הבקשה, </w:t>
      </w:r>
      <w:r w:rsidR="00087A8C">
        <w:rPr>
          <w:rFonts w:hint="cs" w:ascii="Calibri" w:hAnsi="Calibri"/>
          <w:rtl/>
          <w:lang w:eastAsia="he-IL"/>
        </w:rPr>
        <w:t xml:space="preserve">הנתון שבו היה על עורך התחשיב להתחשב, הוא הנתון המצוי ברישומי העירייה כסך כל השטחים שבגינם נגבית ארנונה (בכפוף לסייג בנוהל משרד הפנים לגבי שטחים באזורים מבודדים ומנותקים בהם לא ניתנים שירותי שמירה, שאינו רלוונטי), לפי </w:t>
      </w:r>
      <w:r w:rsidR="00737047">
        <w:rPr>
          <w:rFonts w:hint="cs" w:ascii="Calibri" w:hAnsi="Calibri"/>
          <w:rtl/>
          <w:lang w:eastAsia="he-IL"/>
        </w:rPr>
        <w:t>קובץ הארנונה של המשיבה.</w:t>
      </w:r>
    </w:p>
    <w:p w:rsidR="00737047" w:rsidP="00BE311C" w:rsidRDefault="0037498D">
      <w:pPr>
        <w:spacing w:before="240" w:after="160" w:line="360" w:lineRule="auto"/>
        <w:jc w:val="both"/>
        <w:rPr>
          <w:rFonts w:ascii="Calibri" w:hAnsi="Calibri"/>
          <w:rtl/>
          <w:lang w:eastAsia="he-IL"/>
        </w:rPr>
      </w:pPr>
      <w:r>
        <w:rPr>
          <w:rFonts w:hint="cs" w:ascii="Calibri" w:hAnsi="Calibri"/>
          <w:rtl/>
          <w:lang w:eastAsia="he-IL"/>
        </w:rPr>
        <w:t>36.</w:t>
      </w:r>
      <w:r>
        <w:rPr>
          <w:rFonts w:hint="cs" w:ascii="Calibri" w:hAnsi="Calibri"/>
          <w:rtl/>
          <w:lang w:eastAsia="he-IL"/>
        </w:rPr>
        <w:tab/>
        <w:t>על פי התחשיב ששימש לחקיקת חוק העזר, נלקחו בחשבון 4,900,008 מ"ר לחיוב, כשנרשם שהאסמכתא לחיוב היא קובץ הארנונה, והנתונים הם "בגין יולי 2015". זאת, בתחשיב שנערך כאמור בו ביולי 2016, שנה לאחר מכן, לצורך חקיקת חוק עזר שיקבע את היטל השמירה ממרץ 2017, שנה ו-8 חודשים לאחר תאריך הנתונים. המשיבה לא הסבירה בתצהירה את הצורך בהסתמכות על נתונים בני שנה, כאשר נעשה חישוב ביולי 2016. היא אמנם טענה טענות בעניין זה בתשובתה, אך אלו הן טענות עובדתיות, שלא נתמכו בתצהיר אף לא לכאורה</w:t>
      </w:r>
      <w:r w:rsidR="002B3A62">
        <w:rPr>
          <w:rFonts w:hint="cs" w:ascii="Calibri" w:hAnsi="Calibri"/>
          <w:rtl/>
          <w:lang w:eastAsia="he-IL"/>
        </w:rPr>
        <w:t xml:space="preserve"> (וגם לא ב"חוות הדעת"</w:t>
      </w:r>
      <w:r w:rsidR="00087A8C">
        <w:rPr>
          <w:rFonts w:hint="cs" w:ascii="Calibri" w:hAnsi="Calibri"/>
          <w:rtl/>
          <w:lang w:eastAsia="he-IL"/>
        </w:rPr>
        <w:t>)</w:t>
      </w:r>
      <w:r>
        <w:rPr>
          <w:rFonts w:hint="cs" w:ascii="Calibri" w:hAnsi="Calibri"/>
          <w:rtl/>
          <w:lang w:eastAsia="he-IL"/>
        </w:rPr>
        <w:t xml:space="preserve">. </w:t>
      </w:r>
      <w:r w:rsidR="002B3A62">
        <w:rPr>
          <w:rFonts w:hint="cs" w:ascii="Calibri" w:hAnsi="Calibri"/>
          <w:rtl/>
          <w:lang w:eastAsia="he-IL"/>
        </w:rPr>
        <w:t xml:space="preserve">טענות אלה נכללו בפנייה המוקדמת של המבקשים מיום 30.3.17, אך המשיבה לא ענתה לפנייה זו. על כן, אין בפניי שום ראיה לצורך בהסתמכות על נתונים בני שנה. להסיר ספק, ככל שהטענה היא שברור שרואה החשבון בוחניק אינו יכול לבצע את התחשיב אלא על פי נתונים ישנים, אני קובע שהעובדה הזו אינה ברורה. קובץ הארנונה ששימש אסמכתא לתחשיב לפי האמור בו הוא קובץ מחשב, שניתן לקבלו בפריטה על מספר מקשים במחשבי העירייה, כך שהנתון המעודכן ישמש את עורך התחשיב. אף אם נניח, שלוקח לעורך התחשיב חודשים רבים להכין את כל המלל הכלול בתחשיב, נתון זה הוא נתון פשוט שיש </w:t>
      </w:r>
      <w:r w:rsidR="002B3A62">
        <w:rPr>
          <w:rFonts w:hint="cs" w:ascii="Calibri" w:hAnsi="Calibri"/>
          <w:rtl/>
          <w:lang w:eastAsia="he-IL"/>
        </w:rPr>
        <w:lastRenderedPageBreak/>
        <w:t xml:space="preserve">להכניסו במקום הנכון בנוסחה, ואם לא ניתן לעשות זאת תוך יומיים, ניתן לעשות זאת לכל היותר תוך שבועיים, כך שעורך התחשיב יסתמך על נתונים מעודכנים לשבועיים לפני כן. </w:t>
      </w:r>
    </w:p>
    <w:p w:rsidR="008E79C4" w:rsidP="008E79C4" w:rsidRDefault="002B3A62">
      <w:pPr>
        <w:spacing w:before="240" w:after="160" w:line="360" w:lineRule="auto"/>
        <w:jc w:val="both"/>
        <w:rPr>
          <w:rFonts w:ascii="Calibri" w:hAnsi="Calibri"/>
          <w:rtl/>
          <w:lang w:eastAsia="he-IL"/>
        </w:rPr>
      </w:pPr>
      <w:r>
        <w:rPr>
          <w:rFonts w:hint="cs" w:ascii="Calibri" w:hAnsi="Calibri"/>
          <w:rtl/>
          <w:lang w:eastAsia="he-IL"/>
        </w:rPr>
        <w:t>37.</w:t>
      </w:r>
      <w:r>
        <w:rPr>
          <w:rFonts w:hint="cs" w:ascii="Calibri" w:hAnsi="Calibri"/>
          <w:rtl/>
          <w:lang w:eastAsia="he-IL"/>
        </w:rPr>
        <w:tab/>
      </w:r>
      <w:r w:rsidR="00705710">
        <w:rPr>
          <w:rFonts w:hint="cs" w:ascii="Calibri" w:hAnsi="Calibri"/>
          <w:rtl/>
          <w:lang w:eastAsia="he-IL"/>
        </w:rPr>
        <w:t xml:space="preserve">המשיבה טענה, שגידול במספר המטרים לחיוב גורר גידול בעלויות השמירה. גם טענה </w:t>
      </w:r>
      <w:r w:rsidR="00087A8C">
        <w:rPr>
          <w:rFonts w:hint="cs" w:ascii="Calibri" w:hAnsi="Calibri"/>
          <w:rtl/>
          <w:lang w:eastAsia="he-IL"/>
        </w:rPr>
        <w:t xml:space="preserve">עובדתית </w:t>
      </w:r>
      <w:r w:rsidR="00705710">
        <w:rPr>
          <w:rFonts w:hint="cs" w:ascii="Calibri" w:hAnsi="Calibri"/>
          <w:rtl/>
          <w:lang w:eastAsia="he-IL"/>
        </w:rPr>
        <w:t xml:space="preserve">זו לא הוכחה אף לא לכאורה. </w:t>
      </w:r>
      <w:r w:rsidR="00FD5E85">
        <w:rPr>
          <w:rFonts w:hint="cs" w:ascii="Calibri" w:hAnsi="Calibri"/>
          <w:rtl/>
          <w:lang w:eastAsia="he-IL"/>
        </w:rPr>
        <w:t xml:space="preserve">אציין, </w:t>
      </w:r>
      <w:r w:rsidR="00705710">
        <w:rPr>
          <w:rFonts w:hint="cs" w:ascii="Calibri" w:hAnsi="Calibri"/>
          <w:rtl/>
          <w:lang w:eastAsia="he-IL"/>
        </w:rPr>
        <w:t xml:space="preserve">אין בתחשיב קורלציה מלאה בין </w:t>
      </w:r>
      <w:r w:rsidR="00FD5E85">
        <w:rPr>
          <w:rFonts w:hint="cs" w:ascii="Calibri" w:hAnsi="Calibri"/>
          <w:rtl/>
          <w:lang w:eastAsia="he-IL"/>
        </w:rPr>
        <w:t xml:space="preserve">מועדי </w:t>
      </w:r>
      <w:r w:rsidR="00705710">
        <w:rPr>
          <w:rFonts w:hint="cs" w:ascii="Calibri" w:hAnsi="Calibri"/>
          <w:rtl/>
          <w:lang w:eastAsia="he-IL"/>
        </w:rPr>
        <w:t>הנתונים</w:t>
      </w:r>
      <w:r w:rsidR="00FD5E85">
        <w:rPr>
          <w:rFonts w:hint="cs" w:ascii="Calibri" w:hAnsi="Calibri"/>
          <w:rtl/>
          <w:lang w:eastAsia="he-IL"/>
        </w:rPr>
        <w:t xml:space="preserve"> שנלקחו בחשבון</w:t>
      </w:r>
      <w:r w:rsidR="00705710">
        <w:rPr>
          <w:rFonts w:hint="cs" w:ascii="Calibri" w:hAnsi="Calibri"/>
          <w:rtl/>
          <w:lang w:eastAsia="he-IL"/>
        </w:rPr>
        <w:t>. על פי התחשיב נראה, שהעלויות שחושבו הן עלויות לשנ</w:t>
      </w:r>
      <w:r w:rsidR="006469BD">
        <w:rPr>
          <w:rFonts w:hint="cs" w:ascii="Calibri" w:hAnsi="Calibri"/>
          <w:rtl/>
          <w:lang w:eastAsia="he-IL"/>
        </w:rPr>
        <w:t>ת</w:t>
      </w:r>
      <w:r w:rsidR="00705710">
        <w:rPr>
          <w:rFonts w:hint="cs" w:ascii="Calibri" w:hAnsi="Calibri"/>
          <w:rtl/>
          <w:lang w:eastAsia="he-IL"/>
        </w:rPr>
        <w:t xml:space="preserve"> 2016</w:t>
      </w:r>
      <w:r w:rsidR="00BC0014">
        <w:rPr>
          <w:rFonts w:hint="cs" w:ascii="Calibri" w:hAnsi="Calibri"/>
          <w:rtl/>
          <w:lang w:eastAsia="he-IL"/>
        </w:rPr>
        <w:t>, כעולה בין היתר מהאירועים שנלקחו בחשבון</w:t>
      </w:r>
      <w:r w:rsidR="00705710">
        <w:rPr>
          <w:rFonts w:hint="cs" w:ascii="Calibri" w:hAnsi="Calibri"/>
          <w:rtl/>
          <w:lang w:eastAsia="he-IL"/>
        </w:rPr>
        <w:t xml:space="preserve">. </w:t>
      </w:r>
      <w:r w:rsidR="00BC0014">
        <w:rPr>
          <w:rFonts w:hint="cs" w:ascii="Calibri" w:hAnsi="Calibri"/>
          <w:rtl/>
          <w:lang w:eastAsia="he-IL"/>
        </w:rPr>
        <w:t>אחוזי הגבייה נלקחו כממוצע בין 2015-2011. השטחים לחיוב הם השטחים של המחצית הראשונה של 2015, ואינם מתאימים לעלויות השמירה המאוחרות יותר</w:t>
      </w:r>
      <w:r w:rsidR="00FD5E85">
        <w:rPr>
          <w:rFonts w:hint="cs" w:ascii="Calibri" w:hAnsi="Calibri"/>
          <w:rtl/>
          <w:lang w:eastAsia="he-IL"/>
        </w:rPr>
        <w:t>, ולאחוז הגבייה הממוצע</w:t>
      </w:r>
      <w:r w:rsidR="006469BD">
        <w:rPr>
          <w:rFonts w:hint="cs" w:ascii="Calibri" w:hAnsi="Calibri"/>
          <w:rtl/>
          <w:lang w:eastAsia="he-IL"/>
        </w:rPr>
        <w:t xml:space="preserve">, החל מ- 5 שנים לפני כן. </w:t>
      </w:r>
      <w:r w:rsidR="00BC0014">
        <w:rPr>
          <w:rFonts w:hint="cs" w:ascii="Calibri" w:hAnsi="Calibri"/>
          <w:rtl/>
          <w:lang w:eastAsia="he-IL"/>
        </w:rPr>
        <w:t>מובן</w:t>
      </w:r>
      <w:r w:rsidR="006469BD">
        <w:rPr>
          <w:rFonts w:hint="cs" w:ascii="Calibri" w:hAnsi="Calibri"/>
          <w:rtl/>
          <w:lang w:eastAsia="he-IL"/>
        </w:rPr>
        <w:t>,</w:t>
      </w:r>
      <w:r w:rsidR="00BC0014">
        <w:rPr>
          <w:rFonts w:hint="cs" w:ascii="Calibri" w:hAnsi="Calibri"/>
          <w:rtl/>
          <w:lang w:eastAsia="he-IL"/>
        </w:rPr>
        <w:t xml:space="preserve"> שהיה על המשיבה לעשות שימוש ב</w:t>
      </w:r>
      <w:r w:rsidR="006469BD">
        <w:rPr>
          <w:rFonts w:hint="cs" w:ascii="Calibri" w:hAnsi="Calibri"/>
          <w:rtl/>
          <w:lang w:eastAsia="he-IL"/>
        </w:rPr>
        <w:t>נתונים מעודכנים ככל האפשר, וב</w:t>
      </w:r>
      <w:r w:rsidR="00BC0014">
        <w:rPr>
          <w:rFonts w:hint="cs" w:ascii="Calibri" w:hAnsi="Calibri"/>
          <w:rtl/>
          <w:lang w:eastAsia="he-IL"/>
        </w:rPr>
        <w:t xml:space="preserve">קובץ מעודכן של מספר המטרים המחויבים בארנונה. ואכן, בתחשיב שנערך בשנת 2013 לצורך חקיקת היטל שמירה קודם, נלקחו בחשבון גם שטחים שצפויה בנייתם להסתיים בתוך אותה שנה, לאחר התחשיב. אין ספק, שנתונים אלה </w:t>
      </w:r>
      <w:r w:rsidR="006469BD">
        <w:rPr>
          <w:rFonts w:hint="cs" w:ascii="Calibri" w:hAnsi="Calibri"/>
          <w:rtl/>
          <w:lang w:eastAsia="he-IL"/>
        </w:rPr>
        <w:t xml:space="preserve">היו </w:t>
      </w:r>
      <w:r w:rsidR="00BC0014">
        <w:rPr>
          <w:rFonts w:hint="cs" w:ascii="Calibri" w:hAnsi="Calibri"/>
          <w:rtl/>
          <w:lang w:eastAsia="he-IL"/>
        </w:rPr>
        <w:t xml:space="preserve">ניתנים להשגה על ידי המשיבה, מתוך תיקי הבנייה בוועדה המקומית לתכנון ולבנייה חדרה. </w:t>
      </w:r>
      <w:r w:rsidR="008E79C4">
        <w:rPr>
          <w:rFonts w:hint="cs" w:ascii="Calibri" w:hAnsi="Calibri"/>
          <w:rtl/>
          <w:lang w:eastAsia="he-IL"/>
        </w:rPr>
        <w:t xml:space="preserve">אני דוחה את הטענה שבפ"ד עיריית חולון נקבע שאין להתחשב בנתונים צפויים בעת עריכת התחשיב. ההיפך הוא הנכון. נקבע שאין לערוך את החישוב ברטרוספטיבה, אבל יש לכלול בו את הנתונים הצפויים. </w:t>
      </w:r>
    </w:p>
    <w:p w:rsidR="00BC0014" w:rsidP="008E79C4" w:rsidRDefault="00BC0014">
      <w:pPr>
        <w:spacing w:before="240" w:after="160" w:line="360" w:lineRule="auto"/>
        <w:jc w:val="both"/>
        <w:rPr>
          <w:rFonts w:ascii="Calibri" w:hAnsi="Calibri"/>
          <w:rtl/>
          <w:lang w:eastAsia="he-IL"/>
        </w:rPr>
      </w:pPr>
      <w:r>
        <w:rPr>
          <w:rFonts w:hint="cs" w:ascii="Calibri" w:hAnsi="Calibri"/>
          <w:rtl/>
          <w:lang w:eastAsia="he-IL"/>
        </w:rPr>
        <w:t>38.</w:t>
      </w:r>
      <w:r>
        <w:rPr>
          <w:rFonts w:hint="cs" w:ascii="Calibri" w:hAnsi="Calibri"/>
          <w:rtl/>
          <w:lang w:eastAsia="he-IL"/>
        </w:rPr>
        <w:tab/>
        <w:t xml:space="preserve">המבקשים לא הוכיחו בשלב זה </w:t>
      </w:r>
      <w:r w:rsidR="006469BD">
        <w:rPr>
          <w:rFonts w:hint="cs" w:ascii="Calibri" w:hAnsi="Calibri"/>
          <w:rtl/>
          <w:lang w:eastAsia="he-IL"/>
        </w:rPr>
        <w:t xml:space="preserve">בכמה </w:t>
      </w:r>
      <w:r>
        <w:rPr>
          <w:rFonts w:hint="cs" w:ascii="Calibri" w:hAnsi="Calibri"/>
          <w:rtl/>
          <w:lang w:eastAsia="he-IL"/>
        </w:rPr>
        <w:t>השטחים המבונים</w:t>
      </w:r>
      <w:r w:rsidR="0053763A">
        <w:rPr>
          <w:rFonts w:hint="cs" w:ascii="Calibri" w:hAnsi="Calibri"/>
          <w:rtl/>
          <w:lang w:eastAsia="he-IL"/>
        </w:rPr>
        <w:t xml:space="preserve"> בחדרה סמוך לעריכת התחשיב ביולי 2016 גדולים יותר מאשר השטחים המבונים ביולי 2015 או, כפי שנאמר במסמכים ששימשו לצורך התחשיב, לפי תאריך ערך 1.1.15. </w:t>
      </w:r>
      <w:r w:rsidR="008E79C4">
        <w:rPr>
          <w:rFonts w:hint="cs" w:ascii="Calibri" w:hAnsi="Calibri"/>
          <w:rtl/>
          <w:lang w:eastAsia="he-IL"/>
        </w:rPr>
        <w:t xml:space="preserve">מנגד, </w:t>
      </w:r>
      <w:r w:rsidR="0053763A">
        <w:rPr>
          <w:rFonts w:hint="cs" w:ascii="Calibri" w:hAnsi="Calibri"/>
          <w:rtl/>
          <w:lang w:eastAsia="he-IL"/>
        </w:rPr>
        <w:t xml:space="preserve">כאמור בתחשיב, האוכלוסיה בחדרה גדלה בקצב גידול שנתי של 1.6%, וממילא יש צורך ביותר שטחי מגורים, עסקים ומשרדים משנה לשנה. </w:t>
      </w:r>
      <w:r w:rsidR="006469BD">
        <w:rPr>
          <w:rFonts w:hint="cs" w:ascii="Calibri" w:hAnsi="Calibri"/>
          <w:rtl/>
          <w:lang w:eastAsia="he-IL"/>
        </w:rPr>
        <w:t xml:space="preserve">כך עולה גם מהשוואה בין התחשיב שנערך ב-9/2013 (נספח 11 לבקשה), שהביא בחשבון שטח בנוי של 4,679,039 מ"ר ל-2012, והניח תוספת של 120,000 מטרים בנויים בכל שנה עד 2017. התחשיב שערך רואה החשבון בוחניק, לפי ערך 1.1.15, כשנתיים לאחר מכן, נערך על בסיס של 4,900,008 מ"ר, 220,969 מ"ר יותר משנת 2012. </w:t>
      </w:r>
      <w:r w:rsidR="0020543A">
        <w:rPr>
          <w:rFonts w:hint="cs" w:ascii="Calibri" w:hAnsi="Calibri"/>
          <w:rtl/>
          <w:lang w:eastAsia="he-IL"/>
        </w:rPr>
        <w:t xml:space="preserve">זה גידול קרוב לתחזית מ-2013, והוא מאפשר הנחה שלפיה מאז קובץ הנתונים שנעשה בו שימוש, ועד קובץ הנתונים שהיה צריך לעשות בו שימוש, היה גידול של 120,000 מ"ר נוספים לערך. </w:t>
      </w:r>
      <w:r w:rsidR="0053763A">
        <w:rPr>
          <w:rFonts w:hint="cs" w:ascii="Calibri" w:hAnsi="Calibri"/>
          <w:rtl/>
          <w:lang w:eastAsia="he-IL"/>
        </w:rPr>
        <w:t>א</w:t>
      </w:r>
      <w:r w:rsidR="00FF7AAF">
        <w:rPr>
          <w:rFonts w:hint="cs" w:ascii="Calibri" w:hAnsi="Calibri"/>
          <w:rtl/>
          <w:lang w:eastAsia="he-IL"/>
        </w:rPr>
        <w:t xml:space="preserve">ציין, שהעד מטעם המשיבה, מר שם טוב שמבי נשאל על התפתחות הבנייה, וכמו עיקר תשובותיו האחרות, התבצר מאחורי המילים "אני לא יודע", "לא בדקתי", "אני לא יכול לענות". על כן, לצורך הבקשה אני </w:t>
      </w:r>
      <w:r w:rsidR="0020543A">
        <w:rPr>
          <w:rFonts w:hint="cs" w:ascii="Calibri" w:hAnsi="Calibri"/>
          <w:rtl/>
          <w:lang w:eastAsia="he-IL"/>
        </w:rPr>
        <w:t xml:space="preserve">קובע, </w:t>
      </w:r>
      <w:r w:rsidR="00FF7AAF">
        <w:rPr>
          <w:rFonts w:hint="cs" w:ascii="Calibri" w:hAnsi="Calibri"/>
          <w:rtl/>
          <w:lang w:eastAsia="he-IL"/>
        </w:rPr>
        <w:t xml:space="preserve">שמשנה לשנה </w:t>
      </w:r>
      <w:r w:rsidR="0020543A">
        <w:rPr>
          <w:rFonts w:hint="cs" w:ascii="Calibri" w:hAnsi="Calibri"/>
          <w:rtl/>
          <w:lang w:eastAsia="he-IL"/>
        </w:rPr>
        <w:t xml:space="preserve">גדל </w:t>
      </w:r>
      <w:r w:rsidR="00FF7AAF">
        <w:rPr>
          <w:rFonts w:hint="cs" w:ascii="Calibri" w:hAnsi="Calibri"/>
          <w:rtl/>
          <w:lang w:eastAsia="he-IL"/>
        </w:rPr>
        <w:t>מספר המטרים המחויבים בארנונה</w:t>
      </w:r>
      <w:r w:rsidR="0020543A">
        <w:rPr>
          <w:rFonts w:hint="cs" w:ascii="Calibri" w:hAnsi="Calibri"/>
          <w:rtl/>
          <w:lang w:eastAsia="he-IL"/>
        </w:rPr>
        <w:t xml:space="preserve"> בכ- 120,000 מ"ר, ועל כן, היה על התחשיב לקחת בחשבון שטחים לחיוב בהיקף של 5,020,000 מ"ר.</w:t>
      </w:r>
    </w:p>
    <w:p w:rsidR="0020543A" w:rsidP="0020543A" w:rsidRDefault="00BC0014">
      <w:pPr>
        <w:spacing w:before="240" w:after="160" w:line="360" w:lineRule="auto"/>
        <w:jc w:val="both"/>
        <w:rPr>
          <w:rFonts w:ascii="Calibri" w:hAnsi="Calibri"/>
          <w:rtl/>
          <w:lang w:eastAsia="he-IL"/>
        </w:rPr>
      </w:pPr>
      <w:r>
        <w:rPr>
          <w:rFonts w:hint="cs" w:ascii="Calibri" w:hAnsi="Calibri"/>
          <w:rtl/>
          <w:lang w:eastAsia="he-IL"/>
        </w:rPr>
        <w:t>38.</w:t>
      </w:r>
      <w:r>
        <w:rPr>
          <w:rFonts w:hint="cs" w:ascii="Calibri" w:hAnsi="Calibri"/>
          <w:rtl/>
          <w:lang w:eastAsia="he-IL"/>
        </w:rPr>
        <w:tab/>
      </w:r>
      <w:r w:rsidR="00D57E95">
        <w:rPr>
          <w:rFonts w:hint="cs" w:ascii="Calibri" w:hAnsi="Calibri"/>
          <w:rtl/>
          <w:lang w:eastAsia="he-IL"/>
        </w:rPr>
        <w:t xml:space="preserve">נמצא, שהתחשיב שעל פיו נחקק חוק העזר על ידי המשיבה לוקה בפגמים הן במונה והן במכנה. במונה יש פער קטן בין ממוצע הגבייה על פי הנתונים הכספיים לבין הממוצע שנלקח בחשבון בתחשיב, ובמכנה יש פער הנובע מהסתמכות על נתונים ישנים ונמוכים יותר, באופן המגדיל את </w:t>
      </w:r>
      <w:r w:rsidR="00D57E95">
        <w:rPr>
          <w:rFonts w:hint="cs" w:ascii="Calibri" w:hAnsi="Calibri"/>
          <w:rtl/>
          <w:lang w:eastAsia="he-IL"/>
        </w:rPr>
        <w:lastRenderedPageBreak/>
        <w:t xml:space="preserve">ההיטל, לרעת המשלמים. </w:t>
      </w:r>
      <w:r w:rsidR="0020543A">
        <w:rPr>
          <w:rFonts w:hint="cs" w:ascii="Calibri" w:hAnsi="Calibri"/>
          <w:rtl/>
          <w:lang w:eastAsia="he-IL"/>
        </w:rPr>
        <w:t xml:space="preserve">לפי הנתונים שנקבעו לעיל, ועל פי התחשיב שנערך על ידי רואה החשבון בוחניק (טבלה 5 בעמ' 11), התחשיב צריך להיות כדלקמן: </w:t>
      </w:r>
    </w:p>
    <w:tbl>
      <w:tblPr>
        <w:tblStyle w:val="a9"/>
        <w:bidiVisual/>
        <w:tblW w:w="0" w:type="auto"/>
        <w:tblLook w:val="04A0" w:firstRow="1" w:lastRow="0" w:firstColumn="1" w:lastColumn="0" w:noHBand="0" w:noVBand="1"/>
      </w:tblPr>
      <w:tblGrid>
        <w:gridCol w:w="4247"/>
        <w:gridCol w:w="4248"/>
      </w:tblGrid>
      <w:tr w:rsidR="0020543A" w:rsidTr="00A42C5D">
        <w:tc>
          <w:tcPr>
            <w:tcW w:w="8495" w:type="dxa"/>
            <w:gridSpan w:val="2"/>
          </w:tcPr>
          <w:p w:rsidR="0020543A" w:rsidP="00246F57" w:rsidRDefault="0020543A">
            <w:pPr>
              <w:spacing w:before="240" w:after="160" w:line="360" w:lineRule="auto"/>
              <w:jc w:val="center"/>
              <w:rPr>
                <w:rFonts w:ascii="Calibri" w:hAnsi="Calibri"/>
                <w:rtl/>
                <w:lang w:eastAsia="he-IL"/>
              </w:rPr>
            </w:pPr>
            <w:r>
              <w:rPr>
                <w:rFonts w:hint="cs" w:ascii="Calibri" w:hAnsi="Calibri"/>
                <w:rtl/>
                <w:lang w:eastAsia="he-IL"/>
              </w:rPr>
              <w:t>חישוב תעריף היטל שמירה</w:t>
            </w:r>
          </w:p>
        </w:tc>
      </w:tr>
      <w:tr w:rsidR="0020543A" w:rsidTr="0020543A">
        <w:tc>
          <w:tcPr>
            <w:tcW w:w="4247" w:type="dxa"/>
          </w:tcPr>
          <w:p w:rsidR="0020543A" w:rsidP="0020543A" w:rsidRDefault="00246F57">
            <w:pPr>
              <w:spacing w:before="240" w:after="160" w:line="360" w:lineRule="auto"/>
              <w:jc w:val="both"/>
              <w:rPr>
                <w:rFonts w:ascii="Calibri" w:hAnsi="Calibri"/>
                <w:rtl/>
                <w:lang w:eastAsia="he-IL"/>
              </w:rPr>
            </w:pPr>
            <w:r>
              <w:rPr>
                <w:rFonts w:hint="cs" w:ascii="Calibri" w:hAnsi="Calibri"/>
                <w:rtl/>
                <w:lang w:eastAsia="he-IL"/>
              </w:rPr>
              <w:t>עלויות</w:t>
            </w:r>
          </w:p>
        </w:tc>
        <w:tc>
          <w:tcPr>
            <w:tcW w:w="4248" w:type="dxa"/>
          </w:tcPr>
          <w:p w:rsidR="0020543A" w:rsidP="0020543A" w:rsidRDefault="00246F57">
            <w:pPr>
              <w:spacing w:before="240" w:after="160" w:line="360" w:lineRule="auto"/>
              <w:jc w:val="both"/>
              <w:rPr>
                <w:rFonts w:ascii="Calibri" w:hAnsi="Calibri"/>
                <w:rtl/>
                <w:lang w:eastAsia="he-IL"/>
              </w:rPr>
            </w:pPr>
            <w:r>
              <w:rPr>
                <w:rFonts w:hint="cs" w:ascii="Calibri" w:hAnsi="Calibri"/>
                <w:rtl/>
                <w:lang w:eastAsia="he-IL"/>
              </w:rPr>
              <w:t xml:space="preserve">6,074,889 </w:t>
            </w:r>
            <w:r>
              <w:rPr>
                <w:rFonts w:hint="eastAsia" w:ascii="Calibri" w:hAnsi="Calibri"/>
                <w:rtl/>
                <w:lang w:eastAsia="he-IL"/>
              </w:rPr>
              <w:t>₪</w:t>
            </w:r>
          </w:p>
        </w:tc>
      </w:tr>
      <w:tr w:rsidR="00246F57" w:rsidTr="0020543A">
        <w:tc>
          <w:tcPr>
            <w:tcW w:w="4247" w:type="dxa"/>
          </w:tcPr>
          <w:p w:rsidR="00246F57" w:rsidP="0020543A" w:rsidRDefault="00246F57">
            <w:pPr>
              <w:spacing w:before="240" w:after="160" w:line="360" w:lineRule="auto"/>
              <w:jc w:val="both"/>
              <w:rPr>
                <w:rFonts w:ascii="Calibri" w:hAnsi="Calibri"/>
                <w:rtl/>
                <w:lang w:eastAsia="he-IL"/>
              </w:rPr>
            </w:pPr>
            <w:r>
              <w:rPr>
                <w:rFonts w:hint="cs" w:ascii="Calibri" w:hAnsi="Calibri"/>
                <w:rtl/>
                <w:lang w:eastAsia="he-IL"/>
              </w:rPr>
              <w:t>תקורה</w:t>
            </w:r>
          </w:p>
        </w:tc>
        <w:tc>
          <w:tcPr>
            <w:tcW w:w="4248" w:type="dxa"/>
          </w:tcPr>
          <w:p w:rsidR="00246F57" w:rsidP="0020543A" w:rsidRDefault="00246F57">
            <w:pPr>
              <w:spacing w:before="240" w:after="160" w:line="360" w:lineRule="auto"/>
              <w:jc w:val="both"/>
              <w:rPr>
                <w:rFonts w:ascii="Calibri" w:hAnsi="Calibri"/>
                <w:rtl/>
                <w:lang w:eastAsia="he-IL"/>
              </w:rPr>
            </w:pPr>
            <w:r>
              <w:rPr>
                <w:rFonts w:hint="cs" w:ascii="Calibri" w:hAnsi="Calibri"/>
                <w:rtl/>
                <w:lang w:eastAsia="he-IL"/>
              </w:rPr>
              <w:t xml:space="preserve">182,247 </w:t>
            </w:r>
            <w:r>
              <w:rPr>
                <w:rFonts w:hint="eastAsia" w:ascii="Calibri" w:hAnsi="Calibri"/>
                <w:rtl/>
                <w:lang w:eastAsia="he-IL"/>
              </w:rPr>
              <w:t>₪</w:t>
            </w:r>
          </w:p>
        </w:tc>
      </w:tr>
      <w:tr w:rsidR="00246F57" w:rsidTr="0020543A">
        <w:tc>
          <w:tcPr>
            <w:tcW w:w="4247" w:type="dxa"/>
          </w:tcPr>
          <w:p w:rsidR="00246F57" w:rsidP="0020543A" w:rsidRDefault="00246F57">
            <w:pPr>
              <w:spacing w:before="240" w:after="160" w:line="360" w:lineRule="auto"/>
              <w:jc w:val="both"/>
              <w:rPr>
                <w:rFonts w:ascii="Calibri" w:hAnsi="Calibri"/>
                <w:rtl/>
                <w:lang w:eastAsia="he-IL"/>
              </w:rPr>
            </w:pPr>
            <w:r>
              <w:rPr>
                <w:rFonts w:hint="cs" w:ascii="Calibri" w:hAnsi="Calibri"/>
                <w:rtl/>
                <w:lang w:eastAsia="he-IL"/>
              </w:rPr>
              <w:t>סך הכל עלויות</w:t>
            </w:r>
          </w:p>
        </w:tc>
        <w:tc>
          <w:tcPr>
            <w:tcW w:w="4248" w:type="dxa"/>
          </w:tcPr>
          <w:p w:rsidR="00246F57" w:rsidP="0020543A" w:rsidRDefault="00246F57">
            <w:pPr>
              <w:spacing w:before="240" w:after="160" w:line="360" w:lineRule="auto"/>
              <w:jc w:val="both"/>
              <w:rPr>
                <w:rFonts w:ascii="Calibri" w:hAnsi="Calibri"/>
                <w:rtl/>
                <w:lang w:eastAsia="he-IL"/>
              </w:rPr>
            </w:pPr>
            <w:r>
              <w:rPr>
                <w:rFonts w:hint="cs" w:ascii="Calibri" w:hAnsi="Calibri"/>
                <w:rtl/>
                <w:lang w:eastAsia="he-IL"/>
              </w:rPr>
              <w:t xml:space="preserve">6,257,136 </w:t>
            </w:r>
            <w:r>
              <w:rPr>
                <w:rFonts w:hint="eastAsia" w:ascii="Calibri" w:hAnsi="Calibri"/>
                <w:rtl/>
                <w:lang w:eastAsia="he-IL"/>
              </w:rPr>
              <w:t>₪</w:t>
            </w:r>
          </w:p>
        </w:tc>
      </w:tr>
      <w:tr w:rsidR="00246F57" w:rsidTr="0020543A">
        <w:tc>
          <w:tcPr>
            <w:tcW w:w="4247" w:type="dxa"/>
          </w:tcPr>
          <w:p w:rsidR="00246F57" w:rsidP="0020543A" w:rsidRDefault="00246F57">
            <w:pPr>
              <w:spacing w:before="240" w:after="160" w:line="360" w:lineRule="auto"/>
              <w:jc w:val="both"/>
              <w:rPr>
                <w:rFonts w:ascii="Calibri" w:hAnsi="Calibri"/>
                <w:rtl/>
                <w:lang w:eastAsia="he-IL"/>
              </w:rPr>
            </w:pPr>
            <w:r>
              <w:rPr>
                <w:rFonts w:hint="cs" w:ascii="Calibri" w:hAnsi="Calibri"/>
                <w:rtl/>
                <w:lang w:eastAsia="he-IL"/>
              </w:rPr>
              <w:t>סך הכל מטר רבוע לחיוב</w:t>
            </w:r>
          </w:p>
        </w:tc>
        <w:tc>
          <w:tcPr>
            <w:tcW w:w="4248" w:type="dxa"/>
          </w:tcPr>
          <w:p w:rsidR="00246F57" w:rsidP="0020543A" w:rsidRDefault="00246F57">
            <w:pPr>
              <w:spacing w:before="240" w:after="160" w:line="360" w:lineRule="auto"/>
              <w:jc w:val="both"/>
              <w:rPr>
                <w:rFonts w:ascii="Calibri" w:hAnsi="Calibri"/>
                <w:rtl/>
                <w:lang w:eastAsia="he-IL"/>
              </w:rPr>
            </w:pPr>
            <w:r>
              <w:rPr>
                <w:rFonts w:hint="cs" w:ascii="Calibri" w:hAnsi="Calibri"/>
                <w:rtl/>
                <w:lang w:eastAsia="he-IL"/>
              </w:rPr>
              <w:t>5,020,000</w:t>
            </w:r>
          </w:p>
        </w:tc>
      </w:tr>
      <w:tr w:rsidR="00246F57" w:rsidTr="0020543A">
        <w:tc>
          <w:tcPr>
            <w:tcW w:w="4247" w:type="dxa"/>
          </w:tcPr>
          <w:p w:rsidR="00246F57" w:rsidP="0020543A" w:rsidRDefault="00246F57">
            <w:pPr>
              <w:spacing w:before="240" w:after="160" w:line="360" w:lineRule="auto"/>
              <w:jc w:val="both"/>
              <w:rPr>
                <w:rFonts w:ascii="Calibri" w:hAnsi="Calibri"/>
                <w:rtl/>
                <w:lang w:eastAsia="he-IL"/>
              </w:rPr>
            </w:pPr>
            <w:r>
              <w:rPr>
                <w:rFonts w:hint="cs" w:ascii="Calibri" w:hAnsi="Calibri"/>
                <w:rtl/>
                <w:lang w:eastAsia="he-IL"/>
              </w:rPr>
              <w:t xml:space="preserve">תחשיב היטל שנתי למטר רבוע </w:t>
            </w:r>
          </w:p>
        </w:tc>
        <w:tc>
          <w:tcPr>
            <w:tcW w:w="4248" w:type="dxa"/>
          </w:tcPr>
          <w:p w:rsidR="00246F57" w:rsidP="0020543A" w:rsidRDefault="00246F57">
            <w:pPr>
              <w:spacing w:before="240" w:after="160" w:line="360" w:lineRule="auto"/>
              <w:jc w:val="both"/>
              <w:rPr>
                <w:rFonts w:ascii="Calibri" w:hAnsi="Calibri"/>
                <w:rtl/>
                <w:lang w:eastAsia="he-IL"/>
              </w:rPr>
            </w:pPr>
            <w:r>
              <w:rPr>
                <w:rFonts w:hint="cs" w:ascii="Calibri" w:hAnsi="Calibri"/>
                <w:rtl/>
                <w:lang w:eastAsia="he-IL"/>
              </w:rPr>
              <w:t xml:space="preserve">1.25 </w:t>
            </w:r>
            <w:r>
              <w:rPr>
                <w:rFonts w:hint="eastAsia" w:ascii="Calibri" w:hAnsi="Calibri"/>
                <w:rtl/>
                <w:lang w:eastAsia="he-IL"/>
              </w:rPr>
              <w:t>₪</w:t>
            </w:r>
          </w:p>
        </w:tc>
      </w:tr>
      <w:tr w:rsidR="00246F57" w:rsidTr="0020543A">
        <w:tc>
          <w:tcPr>
            <w:tcW w:w="4247" w:type="dxa"/>
          </w:tcPr>
          <w:p w:rsidR="00246F57" w:rsidP="00246F57" w:rsidRDefault="00246F57">
            <w:pPr>
              <w:spacing w:before="240" w:after="160" w:line="360" w:lineRule="auto"/>
              <w:jc w:val="both"/>
              <w:rPr>
                <w:rFonts w:ascii="Calibri" w:hAnsi="Calibri"/>
                <w:rtl/>
                <w:lang w:eastAsia="he-IL"/>
              </w:rPr>
            </w:pPr>
            <w:r>
              <w:rPr>
                <w:rFonts w:hint="cs" w:ascii="Calibri" w:hAnsi="Calibri"/>
                <w:rtl/>
                <w:lang w:eastAsia="he-IL"/>
              </w:rPr>
              <w:t>תחשיב היטל שנתי לאחר התחשבות ב-78.31% גביה</w:t>
            </w:r>
          </w:p>
        </w:tc>
        <w:tc>
          <w:tcPr>
            <w:tcW w:w="4248" w:type="dxa"/>
          </w:tcPr>
          <w:p w:rsidR="00246F57" w:rsidP="0020543A" w:rsidRDefault="00246F57">
            <w:pPr>
              <w:spacing w:before="240" w:after="160" w:line="360" w:lineRule="auto"/>
              <w:jc w:val="both"/>
              <w:rPr>
                <w:rFonts w:ascii="Calibri" w:hAnsi="Calibri"/>
                <w:rtl/>
                <w:lang w:eastAsia="he-IL"/>
              </w:rPr>
            </w:pPr>
            <w:r>
              <w:rPr>
                <w:rFonts w:hint="cs" w:ascii="Calibri" w:hAnsi="Calibri"/>
                <w:rtl/>
                <w:lang w:eastAsia="he-IL"/>
              </w:rPr>
              <w:t>1.6</w:t>
            </w:r>
            <w:r w:rsidR="00DC56A1">
              <w:rPr>
                <w:rFonts w:hint="cs" w:ascii="Calibri" w:hAnsi="Calibri"/>
                <w:rtl/>
                <w:lang w:eastAsia="he-IL"/>
              </w:rPr>
              <w:t>0</w:t>
            </w:r>
            <w:r>
              <w:rPr>
                <w:rFonts w:hint="cs" w:ascii="Calibri" w:hAnsi="Calibri"/>
                <w:rtl/>
                <w:lang w:eastAsia="he-IL"/>
              </w:rPr>
              <w:t xml:space="preserve"> </w:t>
            </w:r>
            <w:r w:rsidR="00DC56A1">
              <w:rPr>
                <w:rFonts w:hint="eastAsia" w:ascii="Calibri" w:hAnsi="Calibri"/>
                <w:rtl/>
                <w:lang w:eastAsia="he-IL"/>
              </w:rPr>
              <w:t>₪</w:t>
            </w:r>
            <w:r w:rsidR="00DC56A1">
              <w:rPr>
                <w:rFonts w:hint="cs" w:ascii="Calibri" w:hAnsi="Calibri"/>
                <w:rtl/>
                <w:lang w:eastAsia="he-IL"/>
              </w:rPr>
              <w:t xml:space="preserve"> </w:t>
            </w:r>
          </w:p>
        </w:tc>
      </w:tr>
    </w:tbl>
    <w:p w:rsidR="00BC0014" w:rsidP="0020543A" w:rsidRDefault="00DC56A1">
      <w:pPr>
        <w:spacing w:before="240" w:after="160" w:line="360" w:lineRule="auto"/>
        <w:jc w:val="both"/>
        <w:rPr>
          <w:rFonts w:ascii="Calibri" w:hAnsi="Calibri"/>
          <w:rtl/>
          <w:lang w:eastAsia="he-IL"/>
        </w:rPr>
      </w:pPr>
      <w:r>
        <w:rPr>
          <w:rFonts w:hint="cs" w:ascii="Calibri" w:hAnsi="Calibri"/>
          <w:rtl/>
          <w:lang w:eastAsia="he-IL"/>
        </w:rPr>
        <w:t xml:space="preserve">דהיינו, ההיטל השנתי בסך 1.64 </w:t>
      </w:r>
      <w:r>
        <w:rPr>
          <w:rFonts w:hint="eastAsia" w:ascii="Calibri" w:hAnsi="Calibri"/>
          <w:rtl/>
          <w:lang w:eastAsia="he-IL"/>
        </w:rPr>
        <w:t>₪</w:t>
      </w:r>
      <w:r>
        <w:rPr>
          <w:rFonts w:hint="cs" w:ascii="Calibri" w:hAnsi="Calibri"/>
          <w:rtl/>
          <w:lang w:eastAsia="he-IL"/>
        </w:rPr>
        <w:t xml:space="preserve"> למ"ר הוא גבוה ב-0.4 </w:t>
      </w:r>
      <w:r>
        <w:rPr>
          <w:rFonts w:hint="eastAsia" w:ascii="Calibri" w:hAnsi="Calibri"/>
          <w:rtl/>
          <w:lang w:eastAsia="he-IL"/>
        </w:rPr>
        <w:t>₪</w:t>
      </w:r>
      <w:r>
        <w:rPr>
          <w:rFonts w:hint="cs" w:ascii="Calibri" w:hAnsi="Calibri"/>
          <w:rtl/>
          <w:lang w:eastAsia="he-IL"/>
        </w:rPr>
        <w:t xml:space="preserve"> למ"ר, ולפי מכפלת המטרים לחיוב, מדובר בהפרש כולל של 2,008,000 </w:t>
      </w:r>
      <w:r>
        <w:rPr>
          <w:rFonts w:hint="eastAsia" w:ascii="Calibri" w:hAnsi="Calibri"/>
          <w:rtl/>
          <w:lang w:eastAsia="he-IL"/>
        </w:rPr>
        <w:t>₪</w:t>
      </w:r>
      <w:r>
        <w:rPr>
          <w:rFonts w:hint="cs" w:ascii="Calibri" w:hAnsi="Calibri"/>
          <w:rtl/>
          <w:lang w:eastAsia="he-IL"/>
        </w:rPr>
        <w:t xml:space="preserve"> לשנה, 669,333 </w:t>
      </w:r>
      <w:r>
        <w:rPr>
          <w:rFonts w:hint="eastAsia" w:ascii="Calibri" w:hAnsi="Calibri"/>
          <w:rtl/>
          <w:lang w:eastAsia="he-IL"/>
        </w:rPr>
        <w:t>₪</w:t>
      </w:r>
      <w:r>
        <w:rPr>
          <w:rFonts w:hint="cs" w:ascii="Calibri" w:hAnsi="Calibri"/>
          <w:rtl/>
          <w:lang w:eastAsia="he-IL"/>
        </w:rPr>
        <w:t xml:space="preserve"> לתקופה שנכללה בבקשה, מיום 21.3.17 ועד הגשת הבקשה.</w:t>
      </w:r>
    </w:p>
    <w:p w:rsidR="00DC56A1" w:rsidP="004A7E19" w:rsidRDefault="00D57E95">
      <w:pPr>
        <w:spacing w:before="240" w:after="160" w:line="360" w:lineRule="auto"/>
        <w:jc w:val="both"/>
        <w:rPr>
          <w:rFonts w:ascii="Calibri" w:hAnsi="Calibri"/>
          <w:rtl/>
          <w:lang w:eastAsia="he-IL"/>
        </w:rPr>
      </w:pPr>
      <w:r>
        <w:rPr>
          <w:rFonts w:hint="cs" w:ascii="Calibri" w:hAnsi="Calibri"/>
          <w:rtl/>
          <w:lang w:eastAsia="he-IL"/>
        </w:rPr>
        <w:t>39.</w:t>
      </w:r>
      <w:r>
        <w:rPr>
          <w:rFonts w:hint="cs" w:ascii="Calibri" w:hAnsi="Calibri"/>
          <w:rtl/>
          <w:lang w:eastAsia="he-IL"/>
        </w:rPr>
        <w:tab/>
      </w:r>
      <w:r w:rsidR="004A7E19">
        <w:rPr>
          <w:rFonts w:hint="cs" w:ascii="Calibri" w:hAnsi="Calibri"/>
          <w:rtl/>
          <w:lang w:eastAsia="he-IL"/>
        </w:rPr>
        <w:t xml:space="preserve">בפסק דין </w:t>
      </w:r>
      <w:r w:rsidR="004A7E19">
        <w:rPr>
          <w:rFonts w:hint="cs" w:ascii="Calibri" w:hAnsi="Calibri"/>
          <w:b/>
          <w:bCs/>
          <w:rtl/>
          <w:lang w:eastAsia="he-IL"/>
        </w:rPr>
        <w:t xml:space="preserve">עיריית חולון </w:t>
      </w:r>
      <w:r w:rsidR="004A7E19">
        <w:rPr>
          <w:rFonts w:hint="cs" w:ascii="Calibri" w:hAnsi="Calibri"/>
          <w:rtl/>
          <w:lang w:eastAsia="he-IL"/>
        </w:rPr>
        <w:t>נקבע בין היתר:</w:t>
      </w:r>
    </w:p>
    <w:p w:rsidRPr="004A7E19" w:rsidR="004A7E19" w:rsidP="004A7E19" w:rsidRDefault="004A7E19">
      <w:pPr>
        <w:spacing w:before="240" w:after="160" w:line="360" w:lineRule="auto"/>
        <w:jc w:val="both"/>
        <w:rPr>
          <w:rFonts w:cs="FrankRuehl"/>
          <w:b/>
          <w:bCs/>
          <w:noProof w:val="0"/>
          <w:rtl/>
          <w:lang w:eastAsia="he-IL"/>
        </w:rPr>
      </w:pPr>
      <w:r w:rsidRPr="004A7E19">
        <w:rPr>
          <w:rFonts w:cs="FrankRuehl"/>
          <w:b/>
          <w:bCs/>
          <w:noProof w:val="0"/>
          <w:rtl/>
        </w:rPr>
        <w:t>משהתברר כי נפלו פגמים מהותיים ביותר בתחשיב המקורי שעליו הסתמכה מועצת העירייה, והופרכה חזקת התקינות החלה לגבי מעשה הרשות, קם החשש כי אילו ידעה מועצת העירייה את העובדות לאמיתן לא הייתה מגיעה להחלטה שאליה הגיעה</w:t>
      </w:r>
      <w:r w:rsidRPr="004A7E19">
        <w:rPr>
          <w:rFonts w:hint="cs" w:ascii="Calibri" w:hAnsi="Calibri" w:cs="FrankRuehl"/>
          <w:b/>
          <w:bCs/>
          <w:rtl/>
          <w:lang w:eastAsia="he-IL"/>
        </w:rPr>
        <w:t>...</w:t>
      </w:r>
      <w:r w:rsidRPr="004A7E19">
        <w:rPr>
          <w:rFonts w:cs="FrankRuehl"/>
          <w:b/>
          <w:bCs/>
          <w:noProof w:val="0"/>
          <w:rtl/>
        </w:rPr>
        <w:t>במצב דברים זה מתעוררת הסוגיה המורכבת של נטלי ההוכחה במשפט הציבורי, ונשאלת השאלה אם למרות החשש שתואר נותר נטל השכנוע על כתפי המערערים להראות כי אלמלא התחשיב הלקוי שעליו הסתמכה הייתה העירייה מגיעה להחלטה אחרת, או שמא בנסיבות אלה עובר הנטל אל העירייה להוכיח, ואף לשכנע, כי למרות אותו תחשיב לא הייתה מגיעה להחלטה אחרת מזו שאליה הגיעה</w:t>
      </w:r>
      <w:r w:rsidRPr="004A7E19">
        <w:rPr>
          <w:rFonts w:hint="cs" w:ascii="Calibri" w:hAnsi="Calibri" w:cs="FrankRuehl"/>
          <w:b/>
          <w:bCs/>
          <w:rtl/>
          <w:lang w:eastAsia="he-IL"/>
        </w:rPr>
        <w:t xml:space="preserve">... המסקנה היא כי </w:t>
      </w:r>
      <w:r w:rsidRPr="004A7E19">
        <w:rPr>
          <w:rFonts w:cs="FrankRuehl"/>
          <w:b/>
          <w:bCs/>
          <w:rtl/>
        </w:rPr>
        <w:t xml:space="preserve">נפלו פגמים מהותיים בתשתית העובדתית, אשר שימשה לצורך החלטת הרשות, ומתעורר כאמור החשש כי אלמלא אותם פגמים הייתה החלטתה של העירייה שונה. במצב דברים כזה נראה כי מן הראוי להעביר אל כתפי הרשות הן את נטל הבאת </w:t>
      </w:r>
      <w:r w:rsidRPr="004A7E19">
        <w:rPr>
          <w:rFonts w:cs="FrankRuehl"/>
          <w:b/>
          <w:bCs/>
          <w:rtl/>
        </w:rPr>
        <w:lastRenderedPageBreak/>
        <w:t>הראיות הן את נטל השכנוע, קרי את נטל ההוכחה כולו, להראות כי הייתה מקבלת אותה החלטה עצמה גם אלמלא הפגמים האמורים.</w:t>
      </w:r>
      <w:r w:rsidRPr="004A7E19">
        <w:rPr>
          <w:rFonts w:hint="cs" w:cs="FrankRuehl"/>
          <w:b/>
          <w:bCs/>
          <w:rtl/>
        </w:rPr>
        <w:t>...</w:t>
      </w:r>
      <w:r w:rsidRPr="004A7E19">
        <w:rPr>
          <w:rFonts w:cs="FrankRuehl"/>
          <w:b/>
          <w:bCs/>
          <w:noProof w:val="0"/>
          <w:rtl/>
          <w:lang w:eastAsia="he-IL"/>
        </w:rPr>
        <w:t>העירייה לא הרימה את נטל השכנוע המוטל עליה להראות כי החלטתה בעניין תעריף אגרת התיעול הייתה סבירה למרות הפגמים המהותיים שנפלו בתחשיב המקורי.</w:t>
      </w:r>
    </w:p>
    <w:p w:rsidRPr="004A7E19" w:rsidR="004A7E19" w:rsidP="004A7E19" w:rsidRDefault="004A7E19">
      <w:pPr>
        <w:spacing w:before="240" w:after="160" w:line="360" w:lineRule="auto"/>
        <w:jc w:val="both"/>
        <w:rPr>
          <w:rFonts w:ascii="Calibri" w:hAnsi="Calibri" w:cs="FrankRuehl"/>
          <w:b/>
          <w:bCs/>
          <w:rtl/>
          <w:lang w:eastAsia="he-IL"/>
        </w:rPr>
      </w:pPr>
      <w:r w:rsidRPr="004A7E19">
        <w:rPr>
          <w:rFonts w:cs="FrankRuehl"/>
          <w:b/>
          <w:bCs/>
          <w:noProof w:val="0"/>
          <w:rtl/>
          <w:lang w:eastAsia="he-IL"/>
        </w:rPr>
        <w:t>נוכח מסקנה זו אין מנוס בעיניי מביטול התעריף החדש של אגרת התיעול, ואין להסתפק בפתרון החלקי שאימץ בית</w:t>
      </w:r>
      <w:r w:rsidRPr="004A7E19">
        <w:rPr>
          <w:rFonts w:cs="FrankRuehl"/>
          <w:b/>
          <w:bCs/>
          <w:noProof w:val="0"/>
          <w:position w:val="4"/>
          <w:rtl/>
          <w:lang w:eastAsia="he-IL"/>
        </w:rPr>
        <w:t>-</w:t>
      </w:r>
      <w:r w:rsidRPr="004A7E19">
        <w:rPr>
          <w:rFonts w:cs="FrankRuehl"/>
          <w:b/>
          <w:bCs/>
          <w:noProof w:val="0"/>
          <w:rtl/>
          <w:lang w:eastAsia="he-IL"/>
        </w:rPr>
        <w:t>משפט קמא בהפחיתו את התעריף ב</w:t>
      </w:r>
      <w:r w:rsidRPr="004A7E19">
        <w:rPr>
          <w:rFonts w:cs="FrankRuehl"/>
          <w:b/>
          <w:bCs/>
          <w:noProof w:val="0"/>
          <w:position w:val="4"/>
          <w:rtl/>
          <w:lang w:eastAsia="he-IL"/>
        </w:rPr>
        <w:t>-</w:t>
      </w:r>
      <w:r w:rsidRPr="004A7E19">
        <w:rPr>
          <w:rFonts w:cs="FrankRuehl"/>
          <w:b/>
          <w:bCs/>
          <w:noProof w:val="0"/>
          <w:rtl/>
          <w:lang w:eastAsia="he-IL"/>
        </w:rPr>
        <w:t>50%. כפי שכבר צוין, על</w:t>
      </w:r>
      <w:r w:rsidRPr="004A7E19">
        <w:rPr>
          <w:rFonts w:cs="FrankRuehl"/>
          <w:b/>
          <w:bCs/>
          <w:noProof w:val="0"/>
          <w:position w:val="4"/>
          <w:rtl/>
          <w:lang w:eastAsia="he-IL"/>
        </w:rPr>
        <w:t>-</w:t>
      </w:r>
      <w:r w:rsidRPr="004A7E19">
        <w:rPr>
          <w:rFonts w:cs="FrankRuehl"/>
          <w:b/>
          <w:bCs/>
          <w:noProof w:val="0"/>
          <w:rtl/>
          <w:lang w:eastAsia="he-IL"/>
        </w:rPr>
        <w:t>מנת שיהיה ניתן לבצע כהלכה את מלאכת קביעת התעריף יש צורך בתשתית מקצועית</w:t>
      </w:r>
      <w:r w:rsidRPr="004A7E19">
        <w:rPr>
          <w:rFonts w:cs="FrankRuehl"/>
          <w:b/>
          <w:bCs/>
          <w:noProof w:val="0"/>
          <w:position w:val="4"/>
          <w:rtl/>
          <w:lang w:eastAsia="he-IL"/>
        </w:rPr>
        <w:t>-</w:t>
      </w:r>
      <w:r w:rsidRPr="004A7E19">
        <w:rPr>
          <w:rFonts w:cs="FrankRuehl"/>
          <w:b/>
          <w:bCs/>
          <w:noProof w:val="0"/>
          <w:rtl/>
          <w:lang w:eastAsia="he-IL"/>
        </w:rPr>
        <w:t>כלכלית, ובעניינים כגון דא יפה ביתר שאת ההלכה שלפיה בית</w:t>
      </w:r>
      <w:r w:rsidRPr="004A7E19">
        <w:rPr>
          <w:rFonts w:cs="FrankRuehl"/>
          <w:b/>
          <w:bCs/>
          <w:noProof w:val="0"/>
          <w:position w:val="4"/>
          <w:rtl/>
          <w:lang w:eastAsia="he-IL"/>
        </w:rPr>
        <w:t>-</w:t>
      </w:r>
      <w:r w:rsidRPr="004A7E19">
        <w:rPr>
          <w:rFonts w:cs="FrankRuehl"/>
          <w:b/>
          <w:bCs/>
          <w:noProof w:val="0"/>
          <w:rtl/>
          <w:lang w:eastAsia="he-IL"/>
        </w:rPr>
        <w:t>המשפט אך בוחן את חוקיותן וסבירותן של החלטות הרשות, ואין הוא נוטל על עצמו את תפקידיה. על אחת כמה וכמה אין מקום לכך שבית</w:t>
      </w:r>
      <w:r w:rsidRPr="004A7E19">
        <w:rPr>
          <w:rFonts w:cs="FrankRuehl"/>
          <w:b/>
          <w:bCs/>
          <w:noProof w:val="0"/>
          <w:position w:val="4"/>
          <w:rtl/>
          <w:lang w:eastAsia="he-IL"/>
        </w:rPr>
        <w:t>-</w:t>
      </w:r>
      <w:r w:rsidRPr="004A7E19">
        <w:rPr>
          <w:rFonts w:cs="FrankRuehl"/>
          <w:b/>
          <w:bCs/>
          <w:noProof w:val="0"/>
          <w:rtl/>
          <w:lang w:eastAsia="he-IL"/>
        </w:rPr>
        <w:t>המשפט יקבע תעריף חדש תחת התעריף שקבע מחוקק העזר</w:t>
      </w:r>
      <w:r>
        <w:rPr>
          <w:rFonts w:hint="cs" w:ascii="Calibri" w:hAnsi="Calibri" w:cs="FrankRuehl"/>
          <w:b/>
          <w:bCs/>
          <w:rtl/>
          <w:lang w:eastAsia="he-IL"/>
        </w:rPr>
        <w:t xml:space="preserve">. </w:t>
      </w:r>
    </w:p>
    <w:p w:rsidR="00C35173" w:rsidP="00DC538C" w:rsidRDefault="004A7E19">
      <w:pPr>
        <w:spacing w:before="240" w:after="160" w:line="360" w:lineRule="auto"/>
        <w:jc w:val="both"/>
        <w:rPr>
          <w:rFonts w:ascii="Calibri" w:hAnsi="Calibri"/>
          <w:rtl/>
          <w:lang w:eastAsia="he-IL"/>
        </w:rPr>
      </w:pPr>
      <w:r>
        <w:rPr>
          <w:rFonts w:hint="cs" w:ascii="Calibri" w:hAnsi="Calibri"/>
          <w:rtl/>
          <w:lang w:eastAsia="he-IL"/>
        </w:rPr>
        <w:t>40.</w:t>
      </w:r>
      <w:r>
        <w:rPr>
          <w:rFonts w:hint="cs" w:ascii="Calibri" w:hAnsi="Calibri"/>
          <w:rtl/>
          <w:lang w:eastAsia="he-IL"/>
        </w:rPr>
        <w:tab/>
        <w:t>בענין שלפני, לא הוכיחה המשיבה אף לכאורה, שגם אילו עמד בפני מועצת העיריה התעריף הנכו</w:t>
      </w:r>
      <w:r w:rsidR="00A53BAD">
        <w:rPr>
          <w:rFonts w:hint="cs" w:ascii="Calibri" w:hAnsi="Calibri"/>
          <w:rtl/>
          <w:lang w:eastAsia="he-IL"/>
        </w:rPr>
        <w:t xml:space="preserve">ן, היתה קובעת את התעריף כפי שקבעה. למרות שפסק הדין קבע ביטול מלא של התעריף, ולא עריכת חישוב חדש, יש להביא בחשבון שכאן מדובר בהפרש קטן הרבה יותר מ- 50% שנדונו באותו פסק דין, ולפי תורת הבטלות היחסית ופסק דין המיעוט של השופטת דורנר, והחלטה בתובענה ייצוגית שאושרה בבר"מ 7701/16 </w:t>
      </w:r>
      <w:r w:rsidR="00A53BAD">
        <w:rPr>
          <w:rFonts w:hint="cs" w:ascii="Calibri" w:hAnsi="Calibri"/>
          <w:b/>
          <w:bCs/>
          <w:rtl/>
          <w:lang w:eastAsia="he-IL"/>
        </w:rPr>
        <w:t xml:space="preserve">עיריית רחובות נ' יעל הרמן </w:t>
      </w:r>
      <w:r w:rsidRPr="00A53BAD" w:rsidR="00A53BAD">
        <w:rPr>
          <w:rFonts w:hint="cs" w:ascii="Calibri" w:hAnsi="Calibri"/>
          <w:rtl/>
          <w:lang w:eastAsia="he-IL"/>
        </w:rPr>
        <w:t>(ניתן ביום 12.2.17, על ידי השופטת חיות, בעלת דעת הרוב בפ"ד עיריית חולון)</w:t>
      </w:r>
      <w:r w:rsidR="00DC538C">
        <w:rPr>
          <w:rFonts w:hint="cs" w:ascii="Calibri" w:hAnsi="Calibri"/>
          <w:b/>
          <w:bCs/>
          <w:rtl/>
          <w:lang w:eastAsia="he-IL"/>
        </w:rPr>
        <w:t xml:space="preserve">. </w:t>
      </w:r>
      <w:r w:rsidR="00DC538C">
        <w:rPr>
          <w:rFonts w:hint="cs" w:ascii="Calibri" w:hAnsi="Calibri"/>
          <w:rtl/>
          <w:lang w:eastAsia="he-IL"/>
        </w:rPr>
        <w:t xml:space="preserve">על כן, לצורך התובענה הייצוגית, ניתן </w:t>
      </w:r>
      <w:r w:rsidR="00D57E95">
        <w:rPr>
          <w:rFonts w:hint="cs" w:ascii="Calibri" w:hAnsi="Calibri"/>
          <w:rtl/>
          <w:lang w:eastAsia="he-IL"/>
        </w:rPr>
        <w:t xml:space="preserve">לתקן את הסכומים </w:t>
      </w:r>
      <w:r w:rsidR="00DC538C">
        <w:rPr>
          <w:rFonts w:hint="cs" w:ascii="Calibri" w:hAnsi="Calibri"/>
          <w:rtl/>
          <w:lang w:eastAsia="he-IL"/>
        </w:rPr>
        <w:t xml:space="preserve">שהקבעו בתעריף חוק העזר, חלף ביטולו המלא, </w:t>
      </w:r>
      <w:r w:rsidR="00D57E95">
        <w:rPr>
          <w:rFonts w:hint="cs" w:ascii="Calibri" w:hAnsi="Calibri"/>
          <w:rtl/>
          <w:lang w:eastAsia="he-IL"/>
        </w:rPr>
        <w:t>ולהשיב למשלמים את הסכומים ששילמו ביתר, על פי תחשיב מוטעה זה. שמעת</w:t>
      </w:r>
      <w:r w:rsidR="00C35173">
        <w:rPr>
          <w:rFonts w:hint="cs" w:ascii="Calibri" w:hAnsi="Calibri"/>
          <w:rtl/>
          <w:lang w:eastAsia="he-IL"/>
        </w:rPr>
        <w:t xml:space="preserve">י בדברי בא כח המשיבה בעל-פה טיעון כאילו פסק דין </w:t>
      </w:r>
      <w:r w:rsidR="00C35173">
        <w:rPr>
          <w:rFonts w:hint="cs" w:ascii="Calibri" w:hAnsi="Calibri"/>
          <w:b/>
          <w:bCs/>
          <w:rtl/>
          <w:lang w:eastAsia="he-IL"/>
        </w:rPr>
        <w:t>עיריית חולון</w:t>
      </w:r>
      <w:r w:rsidR="00C35173">
        <w:rPr>
          <w:rFonts w:hint="cs" w:ascii="Calibri" w:hAnsi="Calibri"/>
          <w:rtl/>
          <w:lang w:eastAsia="he-IL"/>
        </w:rPr>
        <w:t xml:space="preserve"> עוסק בהיטל תיעול השונה מהיטל שמירה, ולכן אין להסתמך עליו. טענה זו סותרת את הטענה בתשובת המשיבה "מה לי היטל תיעול, מה לי היטל שמירה". מדובר בשני היטלים שהמשותף ביניהם רב על המפריד.</w:t>
      </w:r>
    </w:p>
    <w:p w:rsidR="00C35173" w:rsidP="00DC538C" w:rsidRDefault="00C35173">
      <w:pPr>
        <w:spacing w:before="240" w:after="160" w:line="360" w:lineRule="auto"/>
        <w:jc w:val="both"/>
        <w:rPr>
          <w:rFonts w:ascii="Arial" w:hAnsi="Arial"/>
          <w:rtl/>
          <w:lang w:eastAsia="he-IL"/>
        </w:rPr>
      </w:pPr>
      <w:r>
        <w:rPr>
          <w:rFonts w:hint="cs" w:ascii="Calibri" w:hAnsi="Calibri"/>
          <w:rtl/>
          <w:lang w:eastAsia="he-IL"/>
        </w:rPr>
        <w:t>40.</w:t>
      </w:r>
      <w:r>
        <w:rPr>
          <w:rFonts w:hint="cs" w:ascii="Calibri" w:hAnsi="Calibri"/>
          <w:rtl/>
          <w:lang w:eastAsia="he-IL"/>
        </w:rPr>
        <w:tab/>
      </w:r>
      <w:r w:rsidR="00D57E95">
        <w:rPr>
          <w:rFonts w:hint="cs" w:ascii="Calibri" w:hAnsi="Calibri"/>
          <w:rtl/>
          <w:lang w:eastAsia="he-IL"/>
        </w:rPr>
        <w:t xml:space="preserve">נזקם של המבקשים, כתוצאה מהחישוב המוטעה, ברור. כך גם נזקם של חברי הקבוצה. </w:t>
      </w:r>
      <w:r w:rsidR="00C0170B">
        <w:rPr>
          <w:rFonts w:hint="cs" w:ascii="Arial" w:hAnsi="Arial"/>
          <w:rtl/>
          <w:lang w:eastAsia="he-IL"/>
        </w:rPr>
        <w:t xml:space="preserve">המבקשים </w:t>
      </w:r>
      <w:r w:rsidR="00D57E95">
        <w:rPr>
          <w:rFonts w:hint="cs" w:ascii="Arial" w:hAnsi="Arial"/>
          <w:rtl/>
          <w:lang w:eastAsia="he-IL"/>
        </w:rPr>
        <w:t xml:space="preserve">עמדו בדרישה להוכחת </w:t>
      </w:r>
      <w:r w:rsidR="00DC538C">
        <w:rPr>
          <w:rFonts w:hint="cs" w:ascii="Arial" w:hAnsi="Arial"/>
          <w:rtl/>
          <w:lang w:eastAsia="he-IL"/>
        </w:rPr>
        <w:t xml:space="preserve">השבה שהם זכאים לה </w:t>
      </w:r>
      <w:r w:rsidR="00D57E95">
        <w:rPr>
          <w:rFonts w:hint="cs" w:ascii="Arial" w:hAnsi="Arial"/>
          <w:rtl/>
          <w:lang w:eastAsia="he-IL"/>
        </w:rPr>
        <w:t>להם עקב החישוב המוטעה.</w:t>
      </w:r>
      <w:r>
        <w:rPr>
          <w:rFonts w:hint="cs" w:ascii="Arial" w:hAnsi="Arial"/>
          <w:rtl/>
          <w:lang w:eastAsia="he-IL"/>
        </w:rPr>
        <w:t xml:space="preserve"> על כן, כפי שיפורט להלן, דין הבקשה להתקבל, בתיקונים הנדרשים. </w:t>
      </w:r>
    </w:p>
    <w:p w:rsidR="00DC538C" w:rsidP="00DC538C" w:rsidRDefault="00DC538C">
      <w:pPr>
        <w:spacing w:before="240" w:after="160" w:line="360" w:lineRule="auto"/>
        <w:jc w:val="both"/>
        <w:rPr>
          <w:rFonts w:ascii="Calibri" w:hAnsi="Calibri"/>
          <w:lang w:eastAsia="he-IL"/>
        </w:rPr>
      </w:pPr>
      <w:r>
        <w:rPr>
          <w:rFonts w:hint="cs" w:ascii="Calibri" w:hAnsi="Calibri"/>
          <w:b/>
          <w:bCs/>
          <w:rtl/>
          <w:lang w:eastAsia="he-IL"/>
        </w:rPr>
        <w:t xml:space="preserve">התקיימות התנאים שבסעיף 8(א) לחוק תובענות ייצוגיות </w:t>
      </w:r>
    </w:p>
    <w:p w:rsidR="00EF12CD" w:rsidP="00EF12CD" w:rsidRDefault="00DC538C">
      <w:pPr>
        <w:spacing w:before="240" w:after="160" w:line="360" w:lineRule="auto"/>
        <w:jc w:val="both"/>
        <w:rPr>
          <w:rtl/>
          <w:lang w:eastAsia="he-IL"/>
        </w:rPr>
      </w:pPr>
      <w:r>
        <w:rPr>
          <w:rFonts w:hint="cs"/>
          <w:rtl/>
          <w:lang w:eastAsia="he-IL"/>
        </w:rPr>
        <w:t>41</w:t>
      </w:r>
      <w:r w:rsidR="00C0170B">
        <w:rPr>
          <w:rFonts w:hint="cs"/>
          <w:rtl/>
          <w:lang w:eastAsia="he-IL"/>
        </w:rPr>
        <w:t>.</w:t>
      </w:r>
      <w:r w:rsidR="00C0170B">
        <w:rPr>
          <w:rFonts w:hint="cs"/>
          <w:rtl/>
          <w:lang w:eastAsia="he-IL"/>
        </w:rPr>
        <w:tab/>
        <w:t xml:space="preserve">בקשת האישור מעוררת שאלות </w:t>
      </w:r>
      <w:r w:rsidR="008E79C4">
        <w:rPr>
          <w:rFonts w:hint="cs"/>
          <w:rtl/>
          <w:lang w:eastAsia="he-IL"/>
        </w:rPr>
        <w:t xml:space="preserve">אלו </w:t>
      </w:r>
      <w:r w:rsidR="00C0170B">
        <w:rPr>
          <w:rFonts w:hint="cs"/>
          <w:rtl/>
          <w:lang w:eastAsia="he-IL"/>
        </w:rPr>
        <w:t xml:space="preserve">של עובדה ומשפט המשותפות לכלל חברי הקבוצה: </w:t>
      </w:r>
    </w:p>
    <w:p w:rsidR="00C0170B" w:rsidP="00EF12CD" w:rsidRDefault="00EF12CD">
      <w:pPr>
        <w:spacing w:before="240" w:after="160" w:line="360" w:lineRule="auto"/>
        <w:jc w:val="both"/>
        <w:rPr>
          <w:rtl/>
          <w:lang w:eastAsia="he-IL"/>
        </w:rPr>
      </w:pPr>
      <w:r>
        <w:rPr>
          <w:rFonts w:hint="cs"/>
          <w:rtl/>
          <w:lang w:eastAsia="he-IL"/>
        </w:rPr>
        <w:t>א.</w:t>
      </w:r>
      <w:r>
        <w:rPr>
          <w:rtl/>
          <w:lang w:eastAsia="he-IL"/>
        </w:rPr>
        <w:tab/>
      </w:r>
      <w:r>
        <w:rPr>
          <w:rFonts w:hint="cs"/>
          <w:rtl/>
          <w:lang w:eastAsia="he-IL"/>
        </w:rPr>
        <w:t>מה אחוז הגבייה שיש לקחת בחשבון בתחשיב לצורך חוק העזר לחדרה (שירותי שמירה ואבטחה), תשס"ז-2007, החל מ-21.3.17?</w:t>
      </w:r>
    </w:p>
    <w:p w:rsidR="00EF12CD" w:rsidP="00EF12CD" w:rsidRDefault="00EF12CD">
      <w:pPr>
        <w:spacing w:before="240" w:after="160" w:line="360" w:lineRule="auto"/>
        <w:jc w:val="both"/>
        <w:rPr>
          <w:rtl/>
          <w:lang w:eastAsia="he-IL"/>
        </w:rPr>
      </w:pPr>
      <w:r>
        <w:rPr>
          <w:rFonts w:hint="cs"/>
          <w:rtl/>
          <w:lang w:eastAsia="he-IL"/>
        </w:rPr>
        <w:t>ב.</w:t>
      </w:r>
      <w:r>
        <w:rPr>
          <w:rFonts w:hint="cs"/>
          <w:rtl/>
          <w:lang w:eastAsia="he-IL"/>
        </w:rPr>
        <w:tab/>
        <w:t>מה השטח במ"ר שיש לקחת בחשבון בתחשיב לצורך חוק העזר לחדרה (שירותי שמירה ואבטחה), תשס"ז-2007, החל מ-21.3.17?</w:t>
      </w:r>
    </w:p>
    <w:p w:rsidR="00EF12CD" w:rsidP="00EF12CD" w:rsidRDefault="00EF12CD">
      <w:pPr>
        <w:spacing w:before="240" w:after="160" w:line="360" w:lineRule="auto"/>
        <w:jc w:val="both"/>
        <w:rPr>
          <w:rtl/>
          <w:lang w:eastAsia="he-IL"/>
        </w:rPr>
      </w:pPr>
      <w:r>
        <w:rPr>
          <w:rFonts w:hint="cs"/>
          <w:rtl/>
          <w:lang w:eastAsia="he-IL"/>
        </w:rPr>
        <w:lastRenderedPageBreak/>
        <w:t>ג.</w:t>
      </w:r>
      <w:r>
        <w:rPr>
          <w:rFonts w:hint="cs"/>
          <w:rtl/>
          <w:lang w:eastAsia="he-IL"/>
        </w:rPr>
        <w:tab/>
        <w:t>האם התחשיב שנערך על ידי רואה החשבון בוחניק לצורך חוק העזר לחדרה (שירותי שמירה ואבטחה), תשס"ז-2007, החל מ-21.3.17, שגוי?</w:t>
      </w:r>
    </w:p>
    <w:p w:rsidR="00EF12CD" w:rsidP="00EF12CD" w:rsidRDefault="00EF12CD">
      <w:pPr>
        <w:spacing w:before="240" w:after="160" w:line="360" w:lineRule="auto"/>
        <w:jc w:val="both"/>
        <w:rPr>
          <w:rtl/>
          <w:lang w:eastAsia="he-IL"/>
        </w:rPr>
      </w:pPr>
      <w:r>
        <w:rPr>
          <w:rFonts w:hint="cs"/>
          <w:rtl/>
          <w:lang w:eastAsia="he-IL"/>
        </w:rPr>
        <w:t>ד.</w:t>
      </w:r>
      <w:r>
        <w:rPr>
          <w:rFonts w:hint="cs"/>
          <w:rtl/>
          <w:lang w:eastAsia="he-IL"/>
        </w:rPr>
        <w:tab/>
        <w:t>אם התחשיב שגוי, מה התוצאה לגבי תוקף השיעורים שנקבעו לפי חוק העזר?</w:t>
      </w:r>
    </w:p>
    <w:p w:rsidR="00EF12CD" w:rsidP="00EF12CD" w:rsidRDefault="00EF12CD">
      <w:pPr>
        <w:spacing w:before="240" w:after="160" w:line="360" w:lineRule="auto"/>
        <w:jc w:val="both"/>
        <w:rPr>
          <w:rtl/>
          <w:lang w:eastAsia="he-IL"/>
        </w:rPr>
      </w:pPr>
      <w:r>
        <w:rPr>
          <w:rFonts w:hint="cs"/>
          <w:rtl/>
          <w:lang w:eastAsia="he-IL"/>
        </w:rPr>
        <w:t>ה.</w:t>
      </w:r>
      <w:r>
        <w:rPr>
          <w:rFonts w:hint="cs"/>
          <w:rtl/>
          <w:lang w:eastAsia="he-IL"/>
        </w:rPr>
        <w:tab/>
        <w:t>אם יש להשיב למשלמים סכומים שנגבו ביתר, מהם סכומים אלה?</w:t>
      </w:r>
    </w:p>
    <w:p w:rsidR="00EF12CD" w:rsidP="00EF12CD" w:rsidRDefault="009626C3">
      <w:pPr>
        <w:spacing w:before="240" w:after="160" w:line="360" w:lineRule="auto"/>
        <w:jc w:val="both"/>
        <w:rPr>
          <w:rtl/>
          <w:lang w:eastAsia="he-IL"/>
        </w:rPr>
      </w:pPr>
      <w:r>
        <w:rPr>
          <w:rFonts w:hint="cs"/>
          <w:rtl/>
          <w:lang w:eastAsia="he-IL"/>
        </w:rPr>
        <w:t xml:space="preserve">כפי שפורט לעיל, יש אפשרות סבירה ששאלות אלה יוכרעו בתובענה לטובת הקבוצה, ועל כן מתקיים האמור בסעיף 8 (א) (1) לחוק תובענות ייצוגיות. </w:t>
      </w:r>
    </w:p>
    <w:p w:rsidR="00C0170B" w:rsidP="008E79C4" w:rsidRDefault="008E79C4">
      <w:pPr>
        <w:spacing w:before="240" w:after="160" w:line="360" w:lineRule="auto"/>
        <w:jc w:val="both"/>
        <w:rPr>
          <w:b/>
          <w:bCs/>
          <w:rtl/>
          <w:lang w:eastAsia="he-IL"/>
        </w:rPr>
      </w:pPr>
      <w:r>
        <w:rPr>
          <w:rFonts w:hint="cs" w:ascii="Calibri" w:hAnsi="Calibri"/>
          <w:rtl/>
          <w:lang w:eastAsia="he-IL"/>
        </w:rPr>
        <w:t>42.</w:t>
      </w:r>
      <w:r>
        <w:rPr>
          <w:rFonts w:hint="cs" w:ascii="Calibri" w:hAnsi="Calibri"/>
          <w:rtl/>
          <w:lang w:eastAsia="he-IL"/>
        </w:rPr>
        <w:tab/>
      </w:r>
      <w:r w:rsidR="00C0170B">
        <w:rPr>
          <w:rFonts w:hint="cs"/>
          <w:rtl/>
          <w:lang w:eastAsia="he-IL"/>
        </w:rPr>
        <w:t xml:space="preserve">סעיף 10(א) לחוק תובענות ייצוגיות, שעניינו "הגדרת הקבוצה" קובע כך: </w:t>
      </w:r>
      <w:r w:rsidR="00C0170B">
        <w:rPr>
          <w:rFonts w:hint="cs"/>
          <w:b/>
          <w:bCs/>
          <w:rtl/>
          <w:lang w:eastAsia="he-IL"/>
        </w:rPr>
        <w:t xml:space="preserve">"אישר בית המשפט תובענה ייצוגית, יגדיר בהחלטתו את הקבוצה שבשמה תנוהל התובענה; </w:t>
      </w:r>
      <w:r w:rsidR="00C0170B">
        <w:rPr>
          <w:rFonts w:hint="cs"/>
          <w:b/>
          <w:bCs/>
          <w:sz w:val="28"/>
          <w:u w:val="single"/>
          <w:rtl/>
          <w:lang w:val="x-none" w:eastAsia="x-none"/>
        </w:rPr>
        <w:t>לא ייכלל בקבוצה אדם שעילת תביעתו נוצרה לאחר המועד שבו אושרה התובענה הייצוגית כאמור</w:t>
      </w:r>
      <w:r w:rsidR="00C0170B">
        <w:rPr>
          <w:rFonts w:hint="cs"/>
          <w:b/>
          <w:bCs/>
          <w:rtl/>
          <w:lang w:eastAsia="he-IL"/>
        </w:rPr>
        <w:t xml:space="preserve">" </w:t>
      </w:r>
      <w:r w:rsidR="00C0170B">
        <w:rPr>
          <w:rFonts w:hint="cs"/>
          <w:rtl/>
          <w:lang w:eastAsia="he-IL"/>
        </w:rPr>
        <w:t>(ההדגשה שלי- מ' ר').</w:t>
      </w:r>
      <w:r w:rsidR="00C0170B">
        <w:rPr>
          <w:rFonts w:hint="cs"/>
          <w:b/>
          <w:bCs/>
          <w:rtl/>
          <w:lang w:eastAsia="he-IL"/>
        </w:rPr>
        <w:t xml:space="preserve"> </w:t>
      </w:r>
      <w:r w:rsidR="009626C3">
        <w:rPr>
          <w:rFonts w:hint="cs"/>
          <w:rtl/>
          <w:lang w:eastAsia="he-IL"/>
        </w:rPr>
        <w:t xml:space="preserve">כעולה מהראיות שבפניי, התעריף </w:t>
      </w:r>
      <w:r>
        <w:rPr>
          <w:rFonts w:hint="cs"/>
          <w:rtl/>
          <w:lang w:eastAsia="he-IL"/>
        </w:rPr>
        <w:t xml:space="preserve">נכנס לתוקף </w:t>
      </w:r>
      <w:r w:rsidR="009626C3">
        <w:rPr>
          <w:rFonts w:hint="cs"/>
          <w:rtl/>
          <w:lang w:eastAsia="he-IL"/>
        </w:rPr>
        <w:t>ביום 21.3.17. על כן לא ניתן להגדיר את הקבוצה כפי שהוגדרה בסעיף 6 לבקשה, ככוללת את כל מי שגבו ממנו תשלומי היטל שמירה ב-24 החודשים שקדמו להגשת הבקשה ביום 18.7.17.</w:t>
      </w:r>
      <w:r w:rsidR="00C0170B">
        <w:rPr>
          <w:rFonts w:hint="cs"/>
          <w:rtl/>
          <w:lang w:eastAsia="he-IL"/>
        </w:rPr>
        <w:t xml:space="preserve"> לפיכך, אני קובע את </w:t>
      </w:r>
      <w:r w:rsidR="006928CC">
        <w:rPr>
          <w:rFonts w:hint="cs"/>
          <w:rtl/>
          <w:lang w:eastAsia="he-IL"/>
        </w:rPr>
        <w:t xml:space="preserve">הגדרת הקבוצה לפי סעיף 92 לבקשה </w:t>
      </w:r>
      <w:r w:rsidR="006928CC">
        <w:rPr>
          <w:rtl/>
          <w:lang w:eastAsia="he-IL"/>
        </w:rPr>
        <w:t>–</w:t>
      </w:r>
      <w:r w:rsidR="006928CC">
        <w:rPr>
          <w:rFonts w:hint="cs"/>
          <w:rtl/>
          <w:lang w:eastAsia="he-IL"/>
        </w:rPr>
        <w:t xml:space="preserve"> "כל מי שהמשיבה גבתה ממנו תשלומי היטל שמירה לפי תחשיב שגוי ששימש בסיס לתעריף היטל השמירה לפי חוק עזר לחדרה (שירותי שמירה ואבטחה), תשס"ז-2007 כפי שתוקן בתוקף מיום 21.3.17 ועד אישור התובענה הייצוגית ביום 10.4.18". </w:t>
      </w:r>
    </w:p>
    <w:p w:rsidR="00C0170B" w:rsidP="008E79C4" w:rsidRDefault="008E79C4">
      <w:pPr>
        <w:spacing w:before="240" w:after="160" w:line="360" w:lineRule="auto"/>
        <w:jc w:val="both"/>
        <w:rPr>
          <w:rFonts w:ascii="Calibri" w:hAnsi="Calibri"/>
          <w:lang w:eastAsia="he-IL"/>
        </w:rPr>
      </w:pPr>
      <w:r>
        <w:rPr>
          <w:rFonts w:hint="cs" w:ascii="Calibri" w:hAnsi="Calibri"/>
          <w:rtl/>
          <w:lang w:eastAsia="he-IL"/>
        </w:rPr>
        <w:t>43</w:t>
      </w:r>
      <w:r w:rsidR="00C0170B">
        <w:rPr>
          <w:rFonts w:hint="cs" w:ascii="Calibri" w:hAnsi="Calibri"/>
          <w:rtl/>
          <w:lang w:eastAsia="he-IL"/>
        </w:rPr>
        <w:t>.</w:t>
      </w:r>
      <w:r w:rsidR="00C0170B">
        <w:rPr>
          <w:rFonts w:hint="cs" w:ascii="Calibri" w:hAnsi="Calibri"/>
          <w:rtl/>
          <w:lang w:eastAsia="he-IL"/>
        </w:rPr>
        <w:tab/>
        <w:t xml:space="preserve">על המבקשים לעמוד בתנאי הסף הנוסף שבסעיף 8(א)(2) לחוק תובענות ייצוגיות לפיו </w:t>
      </w:r>
      <w:r w:rsidR="00C0170B">
        <w:rPr>
          <w:rFonts w:hint="cs" w:ascii="Calibri" w:hAnsi="Calibri"/>
          <w:b/>
          <w:bCs/>
          <w:rtl/>
          <w:lang w:eastAsia="he-IL"/>
        </w:rPr>
        <w:t>"תובענה ייצוגית היא הדרך היעילה וההוגנת להכרעה במחלוקת בנסיבות העניין"</w:t>
      </w:r>
      <w:r w:rsidR="00C0170B">
        <w:rPr>
          <w:rFonts w:hint="cs" w:ascii="Calibri" w:hAnsi="Calibri"/>
          <w:rtl/>
          <w:lang w:eastAsia="he-IL"/>
        </w:rPr>
        <w:t>. נראה, כי התובענה בענייננו היא אכן הדרך היעילה וההוגנת להכרעה במחלוקת</w:t>
      </w:r>
      <w:r>
        <w:rPr>
          <w:rFonts w:hint="cs" w:ascii="Calibri" w:hAnsi="Calibri"/>
          <w:rtl/>
          <w:lang w:eastAsia="he-IL"/>
        </w:rPr>
        <w:t xml:space="preserve">, שכן </w:t>
      </w:r>
      <w:r w:rsidR="00C0170B">
        <w:rPr>
          <w:rFonts w:hint="cs" w:ascii="Calibri" w:hAnsi="Calibri"/>
          <w:rtl/>
          <w:lang w:eastAsia="he-IL"/>
        </w:rPr>
        <w:t xml:space="preserve">מדובר במחלוקת הרלוונטית לציבור הגדול למדי של </w:t>
      </w:r>
      <w:r w:rsidR="006928CC">
        <w:rPr>
          <w:rFonts w:hint="cs" w:ascii="Calibri" w:hAnsi="Calibri"/>
          <w:rtl/>
          <w:lang w:eastAsia="he-IL"/>
        </w:rPr>
        <w:t>משלמי היטל שמירה למ</w:t>
      </w:r>
      <w:r w:rsidR="00C0170B">
        <w:rPr>
          <w:rFonts w:hint="cs" w:ascii="Calibri" w:hAnsi="Calibri"/>
          <w:rtl/>
          <w:lang w:eastAsia="he-IL"/>
        </w:rPr>
        <w:t>שיבה, עת סכומי ה</w:t>
      </w:r>
      <w:r w:rsidR="006928CC">
        <w:rPr>
          <w:rFonts w:hint="cs" w:ascii="Calibri" w:hAnsi="Calibri"/>
          <w:rtl/>
          <w:lang w:eastAsia="he-IL"/>
        </w:rPr>
        <w:t>השבה</w:t>
      </w:r>
      <w:r w:rsidR="00C0170B">
        <w:rPr>
          <w:rFonts w:hint="cs" w:ascii="Calibri" w:hAnsi="Calibri"/>
          <w:rtl/>
          <w:lang w:eastAsia="he-IL"/>
        </w:rPr>
        <w:t xml:space="preserve"> האישיים הינם קטנים יחסית ואינם מספיקים להגשת תביעות אישיות.</w:t>
      </w:r>
    </w:p>
    <w:p w:rsidR="00C0170B" w:rsidP="009211CA" w:rsidRDefault="008E79C4">
      <w:pPr>
        <w:spacing w:before="240" w:after="160" w:line="360" w:lineRule="auto"/>
        <w:jc w:val="both"/>
        <w:rPr>
          <w:rFonts w:ascii="Calibri" w:hAnsi="Calibri"/>
          <w:rtl/>
          <w:lang w:eastAsia="he-IL"/>
        </w:rPr>
      </w:pPr>
      <w:r>
        <w:rPr>
          <w:rFonts w:hint="cs" w:ascii="Calibri" w:hAnsi="Calibri"/>
          <w:rtl/>
          <w:lang w:eastAsia="he-IL"/>
        </w:rPr>
        <w:t>44</w:t>
      </w:r>
      <w:r w:rsidR="00C0170B">
        <w:rPr>
          <w:rFonts w:hint="cs" w:ascii="Calibri" w:hAnsi="Calibri"/>
          <w:rtl/>
          <w:lang w:eastAsia="he-IL"/>
        </w:rPr>
        <w:t>.</w:t>
      </w:r>
      <w:r w:rsidR="00C0170B">
        <w:rPr>
          <w:rFonts w:hint="cs" w:ascii="Calibri" w:hAnsi="Calibri"/>
          <w:rtl/>
          <w:lang w:eastAsia="he-IL"/>
        </w:rPr>
        <w:tab/>
      </w:r>
      <w:r w:rsidR="006928CC">
        <w:rPr>
          <w:rFonts w:hint="cs" w:ascii="Calibri" w:hAnsi="Calibri"/>
          <w:rtl/>
          <w:lang w:eastAsia="he-IL"/>
        </w:rPr>
        <w:t>בבקשתם טענו המבקשים שקיים יסוד סבי</w:t>
      </w:r>
      <w:r w:rsidR="009211CA">
        <w:rPr>
          <w:rFonts w:hint="cs" w:ascii="Calibri" w:hAnsi="Calibri"/>
          <w:rtl/>
          <w:lang w:eastAsia="he-IL"/>
        </w:rPr>
        <w:t>ר להניח שעניינם של כלל חברי הקבוצה ייוצג וינוהל בדרך הולמת, לאור היותו של המבקש בעל מומחיות מוכחת בנושא, שהגיש חוות דעת מומחה בתובענות ייצוגיות. ספק אם המבקש הוא בעל מומחיות מוכחת בייצוג חברי קבוצה, לאור הבקשה שהגיש. לגבי מומחיותו בתוכנה של הבקשה, טענה המשיבה שהבקשה אינה כוללת חוות דעת מומחה, ואני מסכים איתה. ואולם, מכיוון שהמשיבה לא חלקה על היותם של המבקשים מייצגים ראויים של כלל חברי הקבוצה, כמו שלא חלקה גם על תום ליבם, אני קובע שהתקיימו התנאים שלפיהם קיים יסוד סביר להניח שעניינם של כלל חברי הקבוצה ייוצג וינוהל בתום לב ובדרך הולמת.</w:t>
      </w:r>
    </w:p>
    <w:p w:rsidR="00891FB7" w:rsidP="009211CA" w:rsidRDefault="008E79C4">
      <w:pPr>
        <w:spacing w:before="240" w:after="160" w:line="360" w:lineRule="auto"/>
        <w:jc w:val="both"/>
        <w:rPr>
          <w:rFonts w:ascii="Calibri" w:hAnsi="Calibri"/>
          <w:lang w:eastAsia="he-IL"/>
        </w:rPr>
      </w:pPr>
      <w:r>
        <w:rPr>
          <w:rFonts w:hint="cs" w:ascii="Calibri" w:hAnsi="Calibri"/>
          <w:rtl/>
          <w:lang w:eastAsia="he-IL"/>
        </w:rPr>
        <w:lastRenderedPageBreak/>
        <w:t>45.</w:t>
      </w:r>
      <w:r>
        <w:rPr>
          <w:rFonts w:hint="cs" w:ascii="Calibri" w:hAnsi="Calibri"/>
          <w:rtl/>
          <w:lang w:eastAsia="he-IL"/>
        </w:rPr>
        <w:tab/>
      </w:r>
      <w:r w:rsidR="00891FB7">
        <w:rPr>
          <w:rFonts w:hint="cs" w:ascii="Calibri" w:hAnsi="Calibri"/>
          <w:rtl/>
          <w:lang w:eastAsia="he-IL"/>
        </w:rPr>
        <w:t xml:space="preserve">כפי שפירטתי לעיל, הבקשה הוגשה ללא בא כח מייצג, ולא נכללה בה בקשה להורות שיהיה לקבוצה בא כח מייצג. אמנם, לצורך חקירת המצהירים הצטיידו המבקשים בייצוג משפטי, אך לא ניתן לראות בעורך דין אברמוב כבא כח מייצג, שעה שהבקשה לא תוקנה ולא התבקש לקבוע שהוא בא כח מייצג. על כן, לא אקבע בא כח מייצג. </w:t>
      </w:r>
    </w:p>
    <w:p w:rsidR="00C0170B" w:rsidP="0007685D" w:rsidRDefault="00C0170B">
      <w:pPr>
        <w:spacing w:line="360" w:lineRule="auto"/>
        <w:jc w:val="both"/>
        <w:rPr>
          <w:b/>
          <w:bCs/>
          <w:u w:val="single"/>
          <w:lang w:eastAsia="he-IL"/>
        </w:rPr>
      </w:pPr>
      <w:r>
        <w:rPr>
          <w:rFonts w:hint="cs"/>
          <w:b/>
          <w:bCs/>
          <w:u w:val="single"/>
          <w:rtl/>
          <w:lang w:eastAsia="he-IL"/>
        </w:rPr>
        <w:t>סוף דבר</w:t>
      </w:r>
    </w:p>
    <w:p w:rsidR="00C0170B" w:rsidP="0007685D" w:rsidRDefault="00C0170B">
      <w:pPr>
        <w:ind w:left="720"/>
        <w:rPr>
          <w:lang w:eastAsia="he-IL"/>
        </w:rPr>
      </w:pPr>
    </w:p>
    <w:p w:rsidR="00C0170B" w:rsidP="009211CA" w:rsidRDefault="008E79C4">
      <w:pPr>
        <w:spacing w:line="360" w:lineRule="auto"/>
        <w:jc w:val="both"/>
        <w:rPr>
          <w:lang w:eastAsia="he-IL"/>
        </w:rPr>
      </w:pPr>
      <w:r>
        <w:rPr>
          <w:rFonts w:hint="cs"/>
          <w:rtl/>
          <w:lang w:eastAsia="he-IL"/>
        </w:rPr>
        <w:t>46</w:t>
      </w:r>
      <w:r w:rsidR="00C0170B">
        <w:rPr>
          <w:rFonts w:hint="cs"/>
          <w:rtl/>
          <w:lang w:eastAsia="he-IL"/>
        </w:rPr>
        <w:t>.</w:t>
      </w:r>
      <w:r w:rsidR="00C0170B">
        <w:rPr>
          <w:rFonts w:hint="cs"/>
          <w:rtl/>
          <w:lang w:eastAsia="he-IL"/>
        </w:rPr>
        <w:tab/>
        <w:t xml:space="preserve">על פי כל האמור, </w:t>
      </w:r>
      <w:r w:rsidR="009211CA">
        <w:rPr>
          <w:rFonts w:hint="cs"/>
          <w:rtl/>
          <w:lang w:eastAsia="he-IL"/>
        </w:rPr>
        <w:t>ה</w:t>
      </w:r>
      <w:r w:rsidR="00C0170B">
        <w:rPr>
          <w:rFonts w:hint="cs"/>
          <w:rtl/>
          <w:lang w:eastAsia="he-IL"/>
        </w:rPr>
        <w:t>תקיימו התנאים הדרושים לאישורה של התובענה כייצוגית. לפיכך, ועל-פי דרישת סעיף 14(א) לחוק תובענות ייצוגיות, הריני מורה כדלהלן:</w:t>
      </w:r>
    </w:p>
    <w:p w:rsidR="00C0170B" w:rsidP="0007685D" w:rsidRDefault="00C0170B">
      <w:pPr>
        <w:spacing w:line="360" w:lineRule="auto"/>
        <w:jc w:val="both"/>
        <w:rPr>
          <w:lang w:eastAsia="he-IL"/>
        </w:rPr>
      </w:pPr>
      <w:r>
        <w:rPr>
          <w:rFonts w:hint="cs"/>
          <w:rtl/>
          <w:lang w:eastAsia="he-IL"/>
        </w:rPr>
        <w:t>א.</w:t>
      </w:r>
      <w:r>
        <w:rPr>
          <w:rFonts w:hint="cs"/>
          <w:rtl/>
          <w:lang w:eastAsia="he-IL"/>
        </w:rPr>
        <w:tab/>
        <w:t xml:space="preserve">אני מאשר הגשת תובענה ייצוגית נגד המשיבה, כבקשת המבקשים, בכפוף לאמור בהחלטה זו. </w:t>
      </w:r>
    </w:p>
    <w:p w:rsidR="009211CA" w:rsidP="009211CA" w:rsidRDefault="00C0170B">
      <w:pPr>
        <w:spacing w:before="240" w:after="160" w:line="360" w:lineRule="auto"/>
        <w:jc w:val="both"/>
        <w:rPr>
          <w:b/>
          <w:bCs/>
          <w:rtl/>
          <w:lang w:eastAsia="he-IL"/>
        </w:rPr>
      </w:pPr>
      <w:r>
        <w:rPr>
          <w:rFonts w:hint="cs"/>
          <w:rtl/>
          <w:lang w:eastAsia="he-IL"/>
        </w:rPr>
        <w:t>ב.</w:t>
      </w:r>
      <w:r>
        <w:rPr>
          <w:rFonts w:hint="cs"/>
          <w:rtl/>
          <w:lang w:eastAsia="he-IL"/>
        </w:rPr>
        <w:tab/>
        <w:t xml:space="preserve">הקבוצה בשמה תנוהל התובענה הייצוגית היא </w:t>
      </w:r>
      <w:r w:rsidR="009211CA">
        <w:rPr>
          <w:rFonts w:hint="cs"/>
          <w:rtl/>
          <w:lang w:eastAsia="he-IL"/>
        </w:rPr>
        <w:t xml:space="preserve">"כל מי שהמשיבה גבתה ממנו תשלומי היטל שמירה לפי תחשיב שגוי ששימש בסיס לתעריף היטל השמירה לפי חוק עזר לחדרה (שירותי שמירה ואבטחה), תשס"ז-2007 כפי שתוקן בתוקף מיום 21.3.17 ועד אישור התובענה הייצוגית ביום 10.4.18". </w:t>
      </w:r>
    </w:p>
    <w:p w:rsidR="00C0170B" w:rsidP="0007685D" w:rsidRDefault="00C0170B">
      <w:pPr>
        <w:spacing w:line="360" w:lineRule="auto"/>
        <w:jc w:val="both"/>
        <w:rPr>
          <w:lang w:eastAsia="he-IL"/>
        </w:rPr>
      </w:pPr>
      <w:r>
        <w:rPr>
          <w:rFonts w:hint="cs"/>
          <w:rtl/>
          <w:lang w:eastAsia="he-IL"/>
        </w:rPr>
        <w:t>ג.</w:t>
      </w:r>
      <w:r>
        <w:rPr>
          <w:rFonts w:hint="cs"/>
          <w:rtl/>
          <w:lang w:eastAsia="he-IL"/>
        </w:rPr>
        <w:tab/>
        <w:t xml:space="preserve">בהתאם לסעיף 11(א) לחוק תובענות ייצוגיות, </w:t>
      </w:r>
      <w:r>
        <w:rPr>
          <w:rFonts w:hint="cs" w:ascii="Calibri" w:hAnsi="Calibri"/>
          <w:rtl/>
          <w:lang w:eastAsia="he-IL"/>
        </w:rPr>
        <w:t xml:space="preserve">כל חבר קבוצה רשאי להודיע לבית המשפט בתוך 45 ימים מיום פרסום החלטה זו על רצונו שלא להיכלל בקבוצה. </w:t>
      </w:r>
    </w:p>
    <w:p w:rsidR="008E79C4" w:rsidP="00891FB7" w:rsidRDefault="008E79C4">
      <w:pPr>
        <w:spacing w:line="360" w:lineRule="auto"/>
        <w:jc w:val="both"/>
        <w:rPr>
          <w:rtl/>
          <w:lang w:eastAsia="he-IL"/>
        </w:rPr>
      </w:pPr>
    </w:p>
    <w:p w:rsidR="00C0170B" w:rsidP="00891FB7" w:rsidRDefault="00C0170B">
      <w:pPr>
        <w:spacing w:line="360" w:lineRule="auto"/>
        <w:jc w:val="both"/>
        <w:rPr>
          <w:rtl/>
          <w:lang w:eastAsia="he-IL"/>
        </w:rPr>
      </w:pPr>
      <w:r>
        <w:rPr>
          <w:rFonts w:hint="cs"/>
          <w:rtl/>
          <w:lang w:eastAsia="he-IL"/>
        </w:rPr>
        <w:t>ד.</w:t>
      </w:r>
      <w:r>
        <w:rPr>
          <w:rFonts w:hint="cs"/>
          <w:rtl/>
          <w:lang w:eastAsia="he-IL"/>
        </w:rPr>
        <w:tab/>
        <w:t>זהות התובעים המייצגים הם כמפורט בכותרת להחלטה זו.</w:t>
      </w:r>
    </w:p>
    <w:p w:rsidR="008E79C4" w:rsidP="0007685D" w:rsidRDefault="008E79C4">
      <w:pPr>
        <w:spacing w:line="360" w:lineRule="auto"/>
        <w:jc w:val="both"/>
        <w:rPr>
          <w:rtl/>
          <w:lang w:eastAsia="he-IL"/>
        </w:rPr>
      </w:pPr>
    </w:p>
    <w:p w:rsidR="00C0170B" w:rsidP="0007685D" w:rsidRDefault="00C0170B">
      <w:pPr>
        <w:spacing w:line="360" w:lineRule="auto"/>
        <w:jc w:val="both"/>
        <w:rPr>
          <w:lang w:eastAsia="he-IL"/>
        </w:rPr>
      </w:pPr>
      <w:r>
        <w:rPr>
          <w:rFonts w:hint="cs"/>
          <w:rtl/>
          <w:lang w:eastAsia="he-IL"/>
        </w:rPr>
        <w:t>ה.</w:t>
      </w:r>
      <w:r>
        <w:rPr>
          <w:rFonts w:hint="cs"/>
          <w:rtl/>
          <w:lang w:eastAsia="he-IL"/>
        </w:rPr>
        <w:tab/>
        <w:t xml:space="preserve">עילות התובענה הן </w:t>
      </w:r>
      <w:r w:rsidR="00891FB7">
        <w:rPr>
          <w:rFonts w:hint="cs"/>
          <w:rtl/>
          <w:lang w:eastAsia="he-IL"/>
        </w:rPr>
        <w:t>השבת סכומים שנגבו ביתר לפי חוק עזר לחדרה (שירותי שמירה ואבטחה), תשס"ז-2007, מיום 21.3.17 עד 10.4.18.</w:t>
      </w:r>
    </w:p>
    <w:p w:rsidR="00C0170B" w:rsidP="0007685D" w:rsidRDefault="00C0170B">
      <w:pPr>
        <w:spacing w:line="360" w:lineRule="auto"/>
        <w:jc w:val="both"/>
        <w:rPr>
          <w:rtl/>
          <w:lang w:eastAsia="he-IL"/>
        </w:rPr>
      </w:pPr>
      <w:r>
        <w:rPr>
          <w:rFonts w:hint="cs"/>
          <w:rtl/>
          <w:lang w:eastAsia="he-IL"/>
        </w:rPr>
        <w:t>ו.</w:t>
      </w:r>
      <w:r>
        <w:rPr>
          <w:rFonts w:hint="cs"/>
          <w:rtl/>
          <w:lang w:eastAsia="he-IL"/>
        </w:rPr>
        <w:tab/>
        <w:t xml:space="preserve">השאלות המשותפת לחברי הקבוצה הן: </w:t>
      </w:r>
    </w:p>
    <w:p w:rsidR="00891FB7" w:rsidP="00BE49C5" w:rsidRDefault="00891FB7">
      <w:pPr>
        <w:spacing w:before="240" w:after="160"/>
        <w:ind w:left="720" w:hanging="720"/>
        <w:jc w:val="both"/>
        <w:rPr>
          <w:rtl/>
          <w:lang w:eastAsia="he-IL"/>
        </w:rPr>
      </w:pPr>
      <w:r>
        <w:rPr>
          <w:rFonts w:hint="cs"/>
          <w:rtl/>
          <w:lang w:eastAsia="he-IL"/>
        </w:rPr>
        <w:t>1.</w:t>
      </w:r>
      <w:r>
        <w:rPr>
          <w:rtl/>
          <w:lang w:eastAsia="he-IL"/>
        </w:rPr>
        <w:tab/>
      </w:r>
      <w:r>
        <w:rPr>
          <w:rFonts w:hint="cs"/>
          <w:rtl/>
          <w:lang w:eastAsia="he-IL"/>
        </w:rPr>
        <w:t>מה אחוז הגבייה שיש לקחת בחשבון בתחשיב לצורך חוק העזר לחדרה (שירותי שמירה ואבטחה), תשס"ז-2007, החל מ-21.3.17?</w:t>
      </w:r>
    </w:p>
    <w:p w:rsidR="00891FB7" w:rsidP="00BE49C5" w:rsidRDefault="00891FB7">
      <w:pPr>
        <w:spacing w:before="240" w:after="160"/>
        <w:ind w:left="720" w:hanging="720"/>
        <w:jc w:val="both"/>
        <w:rPr>
          <w:rtl/>
          <w:lang w:eastAsia="he-IL"/>
        </w:rPr>
      </w:pPr>
      <w:r>
        <w:rPr>
          <w:rFonts w:hint="cs"/>
          <w:rtl/>
          <w:lang w:eastAsia="he-IL"/>
        </w:rPr>
        <w:t>2.</w:t>
      </w:r>
      <w:r>
        <w:rPr>
          <w:rFonts w:hint="cs"/>
          <w:rtl/>
          <w:lang w:eastAsia="he-IL"/>
        </w:rPr>
        <w:tab/>
        <w:t>מה השטח במ"ר שיש לקחת בחשבון בתחשיב לצורך חוק העזר לחדרה (שירותי שמירה ואבטחה), תשס"ז-2007, החל מ-21.3.17?</w:t>
      </w:r>
    </w:p>
    <w:p w:rsidR="00891FB7" w:rsidP="00BE49C5" w:rsidRDefault="00891FB7">
      <w:pPr>
        <w:spacing w:before="240" w:after="160"/>
        <w:ind w:left="720" w:hanging="720"/>
        <w:jc w:val="both"/>
        <w:rPr>
          <w:rtl/>
          <w:lang w:eastAsia="he-IL"/>
        </w:rPr>
      </w:pPr>
      <w:r>
        <w:rPr>
          <w:rFonts w:hint="cs"/>
          <w:rtl/>
          <w:lang w:eastAsia="he-IL"/>
        </w:rPr>
        <w:t>3.</w:t>
      </w:r>
      <w:r>
        <w:rPr>
          <w:rFonts w:hint="cs"/>
          <w:rtl/>
          <w:lang w:eastAsia="he-IL"/>
        </w:rPr>
        <w:tab/>
        <w:t>האם התחשיב שנערך על ידי רואה החשבון בוחניק לצורך חוק העזר לחדרה (שירותי שמירה ואבטחה), תשס"ז-2007, החל מ-21.3.17, שגוי?</w:t>
      </w:r>
    </w:p>
    <w:p w:rsidR="00891FB7" w:rsidP="00BE49C5" w:rsidRDefault="00891FB7">
      <w:pPr>
        <w:spacing w:before="240" w:after="160"/>
        <w:ind w:left="720" w:hanging="720"/>
        <w:jc w:val="both"/>
        <w:rPr>
          <w:rtl/>
          <w:lang w:eastAsia="he-IL"/>
        </w:rPr>
      </w:pPr>
      <w:r>
        <w:rPr>
          <w:rFonts w:hint="cs"/>
          <w:rtl/>
          <w:lang w:eastAsia="he-IL"/>
        </w:rPr>
        <w:t>4.</w:t>
      </w:r>
      <w:r>
        <w:rPr>
          <w:rFonts w:hint="cs"/>
          <w:rtl/>
          <w:lang w:eastAsia="he-IL"/>
        </w:rPr>
        <w:tab/>
        <w:t>אם התחשיב שגוי, מה התוצאה לגבי תוקף השיעורים שנקבעו לפי חוק העזר?</w:t>
      </w:r>
    </w:p>
    <w:p w:rsidR="00891FB7" w:rsidP="00BE49C5" w:rsidRDefault="00891FB7">
      <w:pPr>
        <w:spacing w:before="240" w:after="160"/>
        <w:ind w:left="720" w:hanging="720"/>
        <w:jc w:val="both"/>
        <w:rPr>
          <w:rtl/>
          <w:lang w:eastAsia="he-IL"/>
        </w:rPr>
      </w:pPr>
      <w:r>
        <w:rPr>
          <w:rFonts w:hint="cs"/>
          <w:rtl/>
          <w:lang w:eastAsia="he-IL"/>
        </w:rPr>
        <w:t>5.</w:t>
      </w:r>
      <w:r>
        <w:rPr>
          <w:rFonts w:hint="cs"/>
          <w:rtl/>
          <w:lang w:eastAsia="he-IL"/>
        </w:rPr>
        <w:tab/>
        <w:t>אם יש להשיב למשלמים סכומים שנגבו ביתר, מהם סכומים אלה?</w:t>
      </w:r>
    </w:p>
    <w:p w:rsidR="00891FB7" w:rsidP="0007685D" w:rsidRDefault="00891FB7">
      <w:pPr>
        <w:spacing w:line="360" w:lineRule="auto"/>
        <w:jc w:val="both"/>
        <w:rPr>
          <w:rtl/>
          <w:lang w:eastAsia="he-IL"/>
        </w:rPr>
      </w:pPr>
    </w:p>
    <w:p w:rsidR="00891FB7" w:rsidP="00891FB7" w:rsidRDefault="00C0170B">
      <w:pPr>
        <w:spacing w:line="360" w:lineRule="auto"/>
        <w:jc w:val="both"/>
        <w:rPr>
          <w:rtl/>
          <w:lang w:eastAsia="he-IL"/>
        </w:rPr>
      </w:pPr>
      <w:r>
        <w:rPr>
          <w:rFonts w:hint="cs"/>
          <w:rtl/>
          <w:lang w:eastAsia="he-IL"/>
        </w:rPr>
        <w:t>ז.</w:t>
      </w:r>
      <w:r>
        <w:rPr>
          <w:rFonts w:hint="cs"/>
          <w:rtl/>
          <w:lang w:eastAsia="he-IL"/>
        </w:rPr>
        <w:tab/>
        <w:t xml:space="preserve">הסעד הנתבע הוא </w:t>
      </w:r>
      <w:r w:rsidR="00891FB7">
        <w:rPr>
          <w:rFonts w:hint="cs"/>
          <w:rtl/>
          <w:lang w:eastAsia="he-IL"/>
        </w:rPr>
        <w:t xml:space="preserve">השבת הסכומים שנגבו ביתר כאמור. </w:t>
      </w:r>
    </w:p>
    <w:p w:rsidR="00C0170B" w:rsidP="00891FB7" w:rsidRDefault="00C0170B">
      <w:pPr>
        <w:spacing w:line="360" w:lineRule="auto"/>
        <w:jc w:val="both"/>
        <w:rPr>
          <w:lang w:eastAsia="he-IL"/>
        </w:rPr>
      </w:pPr>
      <w:r>
        <w:rPr>
          <w:rFonts w:hint="cs"/>
          <w:rtl/>
          <w:lang w:eastAsia="he-IL"/>
        </w:rPr>
        <w:t xml:space="preserve">  </w:t>
      </w:r>
    </w:p>
    <w:p w:rsidR="008E79C4" w:rsidP="00891FB7" w:rsidRDefault="00C0170B">
      <w:pPr>
        <w:spacing w:line="360" w:lineRule="auto"/>
        <w:jc w:val="both"/>
        <w:rPr>
          <w:rtl/>
          <w:lang w:eastAsia="he-IL"/>
        </w:rPr>
      </w:pPr>
      <w:r>
        <w:rPr>
          <w:rFonts w:hint="cs"/>
          <w:rtl/>
          <w:lang w:eastAsia="he-IL"/>
        </w:rPr>
        <w:t>ח.</w:t>
      </w:r>
      <w:r>
        <w:rPr>
          <w:rFonts w:hint="cs"/>
          <w:rtl/>
          <w:lang w:eastAsia="he-IL"/>
        </w:rPr>
        <w:tab/>
        <w:t>ב"כ המבקשים יפרסם תוך 21 יום, ע"ח המשיבה, הודעה על אישור התובענה הייצוגית כאמור בסעיף 25 לחוק ב</w:t>
      </w:r>
      <w:r w:rsidR="00891FB7">
        <w:rPr>
          <w:rFonts w:hint="cs"/>
          <w:rtl/>
          <w:lang w:eastAsia="he-IL"/>
        </w:rPr>
        <w:t xml:space="preserve">עיתון המקומי הנפוץ בחדרה, וכן </w:t>
      </w:r>
      <w:r>
        <w:rPr>
          <w:rFonts w:hint="cs"/>
          <w:rtl/>
          <w:lang w:eastAsia="he-IL"/>
        </w:rPr>
        <w:t xml:space="preserve">שניים מבין העיתונים הארץ, ידיעות אחרונות, וישראל היום, בסוף השבוע, וכן באחד העיתונים גלובס וכלכליסט, הכל בגופן שלא יפחת מהגופן שבו מפורסם החומר המערכתי של העיתונים הנ"ל, </w:t>
      </w:r>
      <w:r w:rsidR="00891FB7">
        <w:rPr>
          <w:rFonts w:hint="cs"/>
          <w:rtl/>
          <w:lang w:eastAsia="he-IL"/>
        </w:rPr>
        <w:t xml:space="preserve">וכן באתר האינטרנט של המשיבה, בהפנייה ישירה מדף הבית, </w:t>
      </w:r>
      <w:r>
        <w:rPr>
          <w:rFonts w:hint="cs"/>
          <w:rtl/>
          <w:lang w:eastAsia="he-IL"/>
        </w:rPr>
        <w:t xml:space="preserve">לפי נוסח שיוגש לאישורי תוך 7 ימים. ב"כ המבקשים יברר את עלות הפירסום, וידרוש אותה </w:t>
      </w:r>
      <w:r w:rsidR="00891FB7">
        <w:rPr>
          <w:rFonts w:hint="cs"/>
          <w:rtl/>
          <w:lang w:eastAsia="he-IL"/>
        </w:rPr>
        <w:t>מ</w:t>
      </w:r>
      <w:r>
        <w:rPr>
          <w:rFonts w:hint="cs"/>
          <w:rtl/>
          <w:lang w:eastAsia="he-IL"/>
        </w:rPr>
        <w:t xml:space="preserve">המשיבה, שתעביר אליו את עלות הפירסום תוך 7 ימים מדרישתו. </w:t>
      </w:r>
    </w:p>
    <w:p w:rsidR="00C0170B" w:rsidP="00891FB7" w:rsidRDefault="00C0170B">
      <w:pPr>
        <w:spacing w:line="360" w:lineRule="auto"/>
        <w:jc w:val="both"/>
        <w:rPr>
          <w:lang w:eastAsia="he-IL"/>
        </w:rPr>
      </w:pPr>
      <w:r>
        <w:rPr>
          <w:rFonts w:hint="cs"/>
          <w:rtl/>
          <w:lang w:eastAsia="he-IL"/>
        </w:rPr>
        <w:t xml:space="preserve">    </w:t>
      </w:r>
    </w:p>
    <w:p w:rsidR="00891FB7" w:rsidP="0007685D" w:rsidRDefault="00C0170B">
      <w:pPr>
        <w:spacing w:line="360" w:lineRule="auto"/>
        <w:jc w:val="both"/>
        <w:rPr>
          <w:rtl/>
          <w:lang w:eastAsia="he-IL"/>
        </w:rPr>
      </w:pPr>
      <w:r>
        <w:rPr>
          <w:rFonts w:hint="cs"/>
          <w:rtl/>
          <w:lang w:eastAsia="he-IL"/>
        </w:rPr>
        <w:t>ט.</w:t>
      </w:r>
      <w:r>
        <w:rPr>
          <w:rFonts w:hint="cs"/>
          <w:rtl/>
          <w:lang w:eastAsia="he-IL"/>
        </w:rPr>
        <w:tab/>
        <w:t xml:space="preserve">המבקשים יגישו תוך 14 יום כתב תביעה ייצוגית מתוקן לפי החלטה זו. המשיבה תגיש כתב הגנה תוך 30 יום. </w:t>
      </w:r>
    </w:p>
    <w:p w:rsidR="008E79C4" w:rsidP="0007685D" w:rsidRDefault="008E79C4">
      <w:pPr>
        <w:spacing w:line="360" w:lineRule="auto"/>
        <w:jc w:val="both"/>
        <w:rPr>
          <w:rtl/>
          <w:lang w:eastAsia="he-IL"/>
        </w:rPr>
      </w:pPr>
    </w:p>
    <w:p w:rsidR="00C0170B" w:rsidP="008E79C4" w:rsidRDefault="005D5742">
      <w:pPr>
        <w:spacing w:line="360" w:lineRule="auto"/>
        <w:jc w:val="both"/>
        <w:rPr>
          <w:rtl/>
          <w:lang w:eastAsia="he-IL"/>
        </w:rPr>
      </w:pPr>
      <w:r>
        <w:rPr>
          <w:rFonts w:hint="cs"/>
          <w:rtl/>
          <w:lang w:eastAsia="he-IL"/>
        </w:rPr>
        <w:t>47.</w:t>
      </w:r>
      <w:r>
        <w:rPr>
          <w:rFonts w:hint="cs"/>
          <w:rtl/>
          <w:lang w:eastAsia="he-IL"/>
        </w:rPr>
        <w:tab/>
      </w:r>
      <w:r w:rsidR="00C0170B">
        <w:rPr>
          <w:rFonts w:hint="cs"/>
          <w:rtl/>
          <w:lang w:eastAsia="he-IL"/>
        </w:rPr>
        <w:t xml:space="preserve">אני קובע </w:t>
      </w:r>
      <w:r w:rsidR="008E79C4">
        <w:rPr>
          <w:rFonts w:hint="cs"/>
          <w:rtl/>
          <w:lang w:eastAsia="he-IL"/>
        </w:rPr>
        <w:t>קדם משפט ליום 3</w:t>
      </w:r>
      <w:r>
        <w:rPr>
          <w:rFonts w:hint="cs"/>
          <w:rtl/>
          <w:lang w:eastAsia="he-IL"/>
        </w:rPr>
        <w:t xml:space="preserve">.10.18 שעה 8.30. כל בקשה בענין שניתן לדון בו בקדם משפט תוגש עד יום 21.8.18. </w:t>
      </w:r>
      <w:r w:rsidR="00C0170B">
        <w:rPr>
          <w:rFonts w:hint="cs"/>
          <w:rtl/>
          <w:lang w:eastAsia="he-IL"/>
        </w:rPr>
        <w:t xml:space="preserve">  </w:t>
      </w:r>
    </w:p>
    <w:p w:rsidRPr="0007685D" w:rsidR="00C0170B" w:rsidP="0007685D" w:rsidRDefault="00C0170B"/>
    <w:p w:rsidR="00694556" w:rsidP="005D5742"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כ"ה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hint="cs" w:ascii="Arial" w:hAnsi="Arial"/>
              <w:noProof w:val="0"/>
              <w:rtl/>
            </w:rPr>
            <w:t>10 אפריל 2018</w:t>
          </w:r>
        </w:sdtContent>
      </w:sdt>
      <w:r w:rsidR="00005C8B">
        <w:rPr>
          <w:rFonts w:ascii="Arial" w:hAnsi="Arial"/>
          <w:noProof w:val="0"/>
          <w:rtl/>
        </w:rPr>
        <w:t>, בהעדר הצדדים.</w:t>
      </w:r>
    </w:p>
    <w:p w:rsidR="00C43648" w:rsidP="00BD6531" w:rsidRDefault="00795337">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bookmarkStart w:name="_GoBack" w:id="1"/>
      <w:bookmarkEnd w:id="1"/>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257300" cy="895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fb2a99b4e61545d0" cstate="print">
                            <a:extLst>
                              <a:ext uri="{28A0092B-C50C-407E-A947-70E740481C1C}"/>
                            </a:extLst>
                          </a:blip>
                          <a:stretch>
                            <a:fillRect/>
                          </a:stretch>
                        </pic:blipFill>
                        <pic:spPr>
                          <a:xfrm>
                            <a:off x="0" y="0"/>
                            <a:ext cx="1257300" cy="895350"/>
                          </a:xfrm>
                          <a:prstGeom prst="rect">
                            <a:avLst/>
                          </a:prstGeom>
                        </pic:spPr>
                      </pic:pic>
                    </a:graphicData>
                  </a:graphic>
                </wp:inline>
              </w:drawing>
            </w:r>
          </w:p>
        </w:sdtContent>
      </w:sdt>
    </w:p>
    <w:sectPr w:rsidR="00694556" w:rsidSect="006C30C5">
      <w:headerReference w:type="default" r:id="rId9"/>
      <w:footerReference w:type="default" r:id="rId10"/>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795337">
      <w:rPr>
        <w:rStyle w:val="ab"/>
        <w:rFonts w:cs="Times New Roman"/>
        <w:rtl/>
      </w:rPr>
      <w:t>15</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795337">
      <w:rPr>
        <w:rStyle w:val="ab"/>
        <w:rtl/>
      </w:rPr>
      <w:t>15</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795337">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710BB4E4" wp14:editId="692783CA">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686C21">
      <w:trPr>
        <w:trHeight w:val="704" w:hRule="exact"/>
        <w:jc w:val="center"/>
      </w:trPr>
      <w:tc>
        <w:tcPr>
          <w:tcW w:w="8721" w:type="dxa"/>
          <w:gridSpan w:val="2"/>
        </w:tcPr>
        <w:p w:rsidR="00694556" w:rsidP="004D74B1" w:rsidRDefault="006D130F">
          <w:pPr>
            <w:pStyle w:val="a3"/>
            <w:jc w:val="center"/>
            <w:rPr>
              <w:rFonts w:ascii="Tahoma" w:hAnsi="Tahoma" w:cs="Tahoma"/>
              <w:noProof w:val="0"/>
              <w:color w:val="000080"/>
              <w:rtl/>
            </w:rPr>
          </w:pPr>
          <w:r>
            <w:rPr>
              <w:rFonts w:hint="cs" w:ascii="Tahoma" w:hAnsi="Tahoma" w:cs="Tahoma"/>
              <w:b/>
              <w:bCs/>
              <w:color w:val="000080"/>
              <w:rtl/>
            </w:rPr>
            <w:t>בית המשפט המחוזי בחיפה בשבתו כבית-משפט לעניינים מנהליים</w:t>
          </w:r>
        </w:p>
      </w:tc>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795337">
          <w:pPr>
            <w:rPr>
              <w:b/>
              <w:bCs/>
              <w:noProof w:val="0"/>
              <w:sz w:val="26"/>
              <w:szCs w:val="26"/>
              <w:rtl/>
            </w:rPr>
          </w:pPr>
          <w:sdt>
            <w:sdtPr>
              <w:rPr>
                <w:rtl/>
              </w:rPr>
              <w:alias w:val="1170"/>
              <w:tag w:val="1170"/>
              <w:id w:val="1066377040"/>
              <w:text w:multiLine="1"/>
            </w:sdtPr>
            <w:sdtEndPr/>
            <w:sdtContent>
              <w:r w:rsidR="004D74B1">
                <w:rPr>
                  <w:b/>
                  <w:bCs/>
                  <w:noProof w:val="0"/>
                  <w:sz w:val="26"/>
                  <w:szCs w:val="26"/>
                  <w:rtl/>
                </w:rPr>
                <w:t>ת"צ</w:t>
              </w:r>
            </w:sdtContent>
          </w:sdt>
          <w:r w:rsidR="00005C8B">
            <w:rPr>
              <w:b/>
              <w:bCs/>
              <w:noProof w:val="0"/>
              <w:sz w:val="26"/>
              <w:szCs w:val="26"/>
              <w:rtl/>
            </w:rPr>
            <w:t xml:space="preserve"> </w:t>
          </w:r>
          <w:sdt>
            <w:sdtPr>
              <w:rPr>
                <w:rtl/>
              </w:rPr>
              <w:alias w:val="1171"/>
              <w:tag w:val="1171"/>
              <w:id w:val="257034231"/>
              <w:text w:multiLine="1"/>
            </w:sdtPr>
            <w:sdtEndPr/>
            <w:sdtContent>
              <w:r w:rsidR="004D74B1">
                <w:rPr>
                  <w:b/>
                  <w:bCs/>
                  <w:noProof w:val="0"/>
                  <w:sz w:val="26"/>
                  <w:szCs w:val="26"/>
                  <w:rtl/>
                </w:rPr>
                <w:t>40229-07-17</w:t>
              </w:r>
            </w:sdtContent>
          </w:sdt>
          <w:r w:rsidR="00005C8B">
            <w:rPr>
              <w:b/>
              <w:bCs/>
              <w:noProof w:val="0"/>
              <w:sz w:val="26"/>
              <w:szCs w:val="26"/>
              <w:rtl/>
            </w:rPr>
            <w:t xml:space="preserve"> </w:t>
          </w:r>
          <w:sdt>
            <w:sdtPr>
              <w:rPr>
                <w:rtl/>
              </w:rPr>
              <w:alias w:val="1172"/>
              <w:tag w:val="1172"/>
              <w:id w:val="-595170033"/>
              <w:text w:multiLine="1"/>
            </w:sdtPr>
            <w:sdtEndPr/>
            <w:sdtContent>
              <w:r w:rsidR="004D74B1">
                <w:rPr>
                  <w:b/>
                  <w:bCs/>
                  <w:noProof w:val="0"/>
                  <w:sz w:val="26"/>
                  <w:szCs w:val="26"/>
                  <w:rtl/>
                </w:rPr>
                <w:t>פייסחוב ואח' נ' עירית חדרה</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showingPlcHdr/>
              <w:text w:multiLine="1"/>
            </w:sdtPr>
            <w:sdtEndPr/>
            <w:sdtContent>
              <w:r w:rsidR="001173C6">
                <w:rPr>
                  <w:rFonts w:hint="eastAsia"/>
                  <w:sz w:val="20"/>
                  <w:szCs w:val="20"/>
                  <w:highlight w:val="yellow"/>
                  <w:rtl/>
                </w:rPr>
                <w:t>מספר</w:t>
              </w:r>
              <w:r w:rsidR="001173C6">
                <w:rPr>
                  <w:sz w:val="20"/>
                  <w:szCs w:val="20"/>
                  <w:highlight w:val="yellow"/>
                  <w:rtl/>
                </w:rPr>
                <w:t xml:space="preserve"> תיק חיצוני</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181250"/>
    <o:shapelayout v:ext="edit">
      <o:idmap v:ext="edit" data="177"/>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23A8A"/>
    <w:rsid w:val="000529D2"/>
    <w:rsid w:val="000564AB"/>
    <w:rsid w:val="00064FBD"/>
    <w:rsid w:val="00072F7A"/>
    <w:rsid w:val="00082AB2"/>
    <w:rsid w:val="00087A8C"/>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0543A"/>
    <w:rsid w:val="002265FF"/>
    <w:rsid w:val="00246F57"/>
    <w:rsid w:val="00271B56"/>
    <w:rsid w:val="00281E81"/>
    <w:rsid w:val="002B3A62"/>
    <w:rsid w:val="002C344E"/>
    <w:rsid w:val="002E75E9"/>
    <w:rsid w:val="00307A6A"/>
    <w:rsid w:val="00307C40"/>
    <w:rsid w:val="00320433"/>
    <w:rsid w:val="003219F7"/>
    <w:rsid w:val="003230C7"/>
    <w:rsid w:val="003257AC"/>
    <w:rsid w:val="00327E50"/>
    <w:rsid w:val="0033597A"/>
    <w:rsid w:val="00343D89"/>
    <w:rsid w:val="00362612"/>
    <w:rsid w:val="0036743F"/>
    <w:rsid w:val="003715DD"/>
    <w:rsid w:val="0037498D"/>
    <w:rsid w:val="003823E0"/>
    <w:rsid w:val="003A4521"/>
    <w:rsid w:val="003D1C8C"/>
    <w:rsid w:val="0040096C"/>
    <w:rsid w:val="00414F1F"/>
    <w:rsid w:val="0043125D"/>
    <w:rsid w:val="0043502B"/>
    <w:rsid w:val="004443AC"/>
    <w:rsid w:val="00451E28"/>
    <w:rsid w:val="00462C62"/>
    <w:rsid w:val="00465D36"/>
    <w:rsid w:val="004A7E19"/>
    <w:rsid w:val="004C17EE"/>
    <w:rsid w:val="004C4BDF"/>
    <w:rsid w:val="004C7A1B"/>
    <w:rsid w:val="004D1187"/>
    <w:rsid w:val="004D3AA0"/>
    <w:rsid w:val="004D74B1"/>
    <w:rsid w:val="004E1987"/>
    <w:rsid w:val="004E2E15"/>
    <w:rsid w:val="004E6E3C"/>
    <w:rsid w:val="00520898"/>
    <w:rsid w:val="00523621"/>
    <w:rsid w:val="00524986"/>
    <w:rsid w:val="005268F6"/>
    <w:rsid w:val="00534284"/>
    <w:rsid w:val="0053657B"/>
    <w:rsid w:val="0053763A"/>
    <w:rsid w:val="00547DB7"/>
    <w:rsid w:val="005D5742"/>
    <w:rsid w:val="005F4F09"/>
    <w:rsid w:val="00613D8F"/>
    <w:rsid w:val="0061431B"/>
    <w:rsid w:val="00622BAA"/>
    <w:rsid w:val="006306CF"/>
    <w:rsid w:val="00644E9A"/>
    <w:rsid w:val="006469BD"/>
    <w:rsid w:val="00671BD5"/>
    <w:rsid w:val="006805C1"/>
    <w:rsid w:val="00686C21"/>
    <w:rsid w:val="006928CC"/>
    <w:rsid w:val="006931C1"/>
    <w:rsid w:val="00694556"/>
    <w:rsid w:val="006C30C5"/>
    <w:rsid w:val="006D130F"/>
    <w:rsid w:val="006D3B31"/>
    <w:rsid w:val="006E0D96"/>
    <w:rsid w:val="006E1A53"/>
    <w:rsid w:val="006F56E6"/>
    <w:rsid w:val="00704EDA"/>
    <w:rsid w:val="00705710"/>
    <w:rsid w:val="00721122"/>
    <w:rsid w:val="00726B7F"/>
    <w:rsid w:val="00737047"/>
    <w:rsid w:val="00753019"/>
    <w:rsid w:val="00754801"/>
    <w:rsid w:val="00781E59"/>
    <w:rsid w:val="00790EEC"/>
    <w:rsid w:val="00795337"/>
    <w:rsid w:val="00795365"/>
    <w:rsid w:val="007A351D"/>
    <w:rsid w:val="007B7765"/>
    <w:rsid w:val="007C5BDD"/>
    <w:rsid w:val="007D1CBB"/>
    <w:rsid w:val="007D45E3"/>
    <w:rsid w:val="007E6115"/>
    <w:rsid w:val="007F4609"/>
    <w:rsid w:val="007F49AF"/>
    <w:rsid w:val="00817528"/>
    <w:rsid w:val="008176A1"/>
    <w:rsid w:val="00820005"/>
    <w:rsid w:val="00844318"/>
    <w:rsid w:val="00847A01"/>
    <w:rsid w:val="008574E4"/>
    <w:rsid w:val="00863F5D"/>
    <w:rsid w:val="00870890"/>
    <w:rsid w:val="00873602"/>
    <w:rsid w:val="00875D12"/>
    <w:rsid w:val="008773C1"/>
    <w:rsid w:val="0088479D"/>
    <w:rsid w:val="00891FB7"/>
    <w:rsid w:val="00896889"/>
    <w:rsid w:val="008B1880"/>
    <w:rsid w:val="008C5714"/>
    <w:rsid w:val="008D10B2"/>
    <w:rsid w:val="008E79C4"/>
    <w:rsid w:val="008F1122"/>
    <w:rsid w:val="00903896"/>
    <w:rsid w:val="00906F3D"/>
    <w:rsid w:val="009211CA"/>
    <w:rsid w:val="00922E02"/>
    <w:rsid w:val="0094424E"/>
    <w:rsid w:val="00955642"/>
    <w:rsid w:val="009568BF"/>
    <w:rsid w:val="009622DF"/>
    <w:rsid w:val="009626C3"/>
    <w:rsid w:val="00967DFF"/>
    <w:rsid w:val="00994341"/>
    <w:rsid w:val="009D1A48"/>
    <w:rsid w:val="009E1CE7"/>
    <w:rsid w:val="009E4EA5"/>
    <w:rsid w:val="009F164B"/>
    <w:rsid w:val="009F323C"/>
    <w:rsid w:val="00A3392B"/>
    <w:rsid w:val="00A44C04"/>
    <w:rsid w:val="00A53BAD"/>
    <w:rsid w:val="00A8017C"/>
    <w:rsid w:val="00A94B64"/>
    <w:rsid w:val="00AA3229"/>
    <w:rsid w:val="00AA7596"/>
    <w:rsid w:val="00AB5E52"/>
    <w:rsid w:val="00AC3B02"/>
    <w:rsid w:val="00AC3B7B"/>
    <w:rsid w:val="00AC5209"/>
    <w:rsid w:val="00AE729E"/>
    <w:rsid w:val="00AE7752"/>
    <w:rsid w:val="00AF7FDA"/>
    <w:rsid w:val="00B10623"/>
    <w:rsid w:val="00B5356E"/>
    <w:rsid w:val="00B6749E"/>
    <w:rsid w:val="00B75044"/>
    <w:rsid w:val="00B809AD"/>
    <w:rsid w:val="00B80CBD"/>
    <w:rsid w:val="00B86096"/>
    <w:rsid w:val="00B964D9"/>
    <w:rsid w:val="00BA0A7C"/>
    <w:rsid w:val="00BA517C"/>
    <w:rsid w:val="00BB3D05"/>
    <w:rsid w:val="00BB73BE"/>
    <w:rsid w:val="00BC0014"/>
    <w:rsid w:val="00BC2D89"/>
    <w:rsid w:val="00BD6531"/>
    <w:rsid w:val="00BE05B2"/>
    <w:rsid w:val="00BE311C"/>
    <w:rsid w:val="00BE49C5"/>
    <w:rsid w:val="00BF1908"/>
    <w:rsid w:val="00C0170B"/>
    <w:rsid w:val="00C22D93"/>
    <w:rsid w:val="00C26298"/>
    <w:rsid w:val="00C31120"/>
    <w:rsid w:val="00C34482"/>
    <w:rsid w:val="00C35173"/>
    <w:rsid w:val="00C35AA2"/>
    <w:rsid w:val="00C43648"/>
    <w:rsid w:val="00C50A9F"/>
    <w:rsid w:val="00C642FA"/>
    <w:rsid w:val="00C723BC"/>
    <w:rsid w:val="00CC7622"/>
    <w:rsid w:val="00CD608F"/>
    <w:rsid w:val="00D27982"/>
    <w:rsid w:val="00D33B86"/>
    <w:rsid w:val="00D53924"/>
    <w:rsid w:val="00D55D0C"/>
    <w:rsid w:val="00D57E95"/>
    <w:rsid w:val="00D96D8C"/>
    <w:rsid w:val="00DA06F9"/>
    <w:rsid w:val="00DA6649"/>
    <w:rsid w:val="00DC1259"/>
    <w:rsid w:val="00DC1BD2"/>
    <w:rsid w:val="00DC2571"/>
    <w:rsid w:val="00DC487C"/>
    <w:rsid w:val="00DC538C"/>
    <w:rsid w:val="00DC56A1"/>
    <w:rsid w:val="00DE6BF6"/>
    <w:rsid w:val="00E1068A"/>
    <w:rsid w:val="00E17AD5"/>
    <w:rsid w:val="00E25884"/>
    <w:rsid w:val="00E25B55"/>
    <w:rsid w:val="00E31C2B"/>
    <w:rsid w:val="00E5426A"/>
    <w:rsid w:val="00E54642"/>
    <w:rsid w:val="00E76AE1"/>
    <w:rsid w:val="00E80CBE"/>
    <w:rsid w:val="00E962E3"/>
    <w:rsid w:val="00EB6C79"/>
    <w:rsid w:val="00EC37E9"/>
    <w:rsid w:val="00EC6035"/>
    <w:rsid w:val="00EC64B1"/>
    <w:rsid w:val="00ED2086"/>
    <w:rsid w:val="00EF12CD"/>
    <w:rsid w:val="00F06995"/>
    <w:rsid w:val="00F13623"/>
    <w:rsid w:val="00F44D1D"/>
    <w:rsid w:val="00F84B6D"/>
    <w:rsid w:val="00FA5FDA"/>
    <w:rsid w:val="00FB6AB3"/>
    <w:rsid w:val="00FC3C57"/>
    <w:rsid w:val="00FD1419"/>
    <w:rsid w:val="00FD5E85"/>
    <w:rsid w:val="00FD79E4"/>
    <w:rsid w:val="00FE2894"/>
    <w:rsid w:val="00FF6C6D"/>
    <w:rsid w:val="00FF7AAF"/>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1250"/>
    <o:shapelayout v:ext="edit">
      <o:idmap v:ext="edit" data="1"/>
    </o:shapelayout>
  </w:shapeDefaults>
  <w:decimalSymbol w:val="."/>
  <w:listSeparator w:val=","/>
  <w14:docId w14:val="1CE66352"/>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 w:type="paragraph" w:customStyle="1" w:styleId="ad">
    <w:name w:val="כללי"/>
    <w:basedOn w:val="a"/>
    <w:rsid w:val="004A7E19"/>
    <w:pPr>
      <w:overflowPunct w:val="0"/>
      <w:autoSpaceDE w:val="0"/>
      <w:autoSpaceDN w:val="0"/>
      <w:adjustRightInd w:val="0"/>
      <w:spacing w:after="240" w:line="280" w:lineRule="exact"/>
      <w:ind w:firstLine="284"/>
      <w:jc w:val="both"/>
      <w:textAlignment w:val="baseline"/>
    </w:pPr>
    <w:rPr>
      <w:rFonts w:cs="FrankRuehl"/>
      <w:noProof w:val="0"/>
      <w:sz w:val="2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fb2a99b4e61545d0"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6D0406" w:rsidP="006D0406">
          <w:pPr>
            <w:pStyle w:val="E460D38E05664FF79D4EFF282EF8EC9914"/>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6D0406" w:rsidP="006D0406">
          <w:pPr>
            <w:pStyle w:val="D290653DA13E4E738B7E725F79D733297"/>
          </w:pPr>
          <w:r>
            <w:rPr>
              <w:rFonts w:hint="eastAsia"/>
              <w:sz w:val="20"/>
              <w:szCs w:val="20"/>
              <w:rtl/>
            </w:rPr>
            <w:t>מספר</w:t>
          </w:r>
          <w:r>
            <w:rPr>
              <w:sz w:val="20"/>
              <w:szCs w:val="20"/>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56D67"/>
    <w:rsid w:val="006D0406"/>
    <w:rsid w:val="00793995"/>
    <w:rsid w:val="007C6F98"/>
    <w:rsid w:val="007E254A"/>
    <w:rsid w:val="008B4366"/>
    <w:rsid w:val="009133C7"/>
    <w:rsid w:val="009178E4"/>
    <w:rsid w:val="00961B27"/>
    <w:rsid w:val="00AA7CE3"/>
    <w:rsid w:val="00B91FA3"/>
    <w:rsid w:val="00C96C06"/>
    <w:rsid w:val="00E31BF6"/>
    <w:rsid w:val="00E81DB1"/>
    <w:rsid w:val="00F04DC1"/>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D0406"/>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6D0406"/>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6D0406"/>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6D0406"/>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6D0406"/>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6D0406"/>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6D0406"/>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6D0406"/>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428</TotalTime>
  <Pages>15</Pages>
  <Words>4756</Words>
  <Characters>23782</Characters>
  <Application>Microsoft Office Word</Application>
  <DocSecurity>0</DocSecurity>
  <Lines>198</Lines>
  <Paragraphs>56</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28482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ד''ר מנחם רניאל</cp:lastModifiedBy>
  <cp:revision>166</cp:revision>
  <dcterms:created xsi:type="dcterms:W3CDTF">2012-08-06T05:16:00Z</dcterms:created>
  <dcterms:modified xsi:type="dcterms:W3CDTF">2018-04-10T08:13:00Z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