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694" w:rsidRDefault="00507694">
      <w:pPr>
        <w:rPr>
          <w:rtl/>
        </w:rPr>
      </w:pPr>
    </w:p>
    <w:tbl>
      <w:tblPr>
        <w:tblStyle w:val="aa"/>
        <w:bidiVisual/>
        <w:tblW w:w="8820" w:type="dxa"/>
        <w:jc w:val="center"/>
        <w:tblLook w:val="01E0" w:firstRow="1" w:lastRow="1" w:firstColumn="1" w:lastColumn="1" w:noHBand="0" w:noVBand="0"/>
      </w:tblPr>
      <w:tblGrid>
        <w:gridCol w:w="1195"/>
        <w:gridCol w:w="4232"/>
        <w:gridCol w:w="3393"/>
      </w:tblGrid>
      <w:tr w:rsidRPr="00250B83" w:rsidR="00CE2F98" w:rsidTr="0046211B">
        <w:trPr>
          <w:trHeight w:val="295"/>
          <w:jc w:val="center"/>
        </w:trPr>
        <w:tc>
          <w:tcPr>
            <w:tcW w:w="8820" w:type="dxa"/>
            <w:gridSpan w:val="3"/>
            <w:tcBorders>
              <w:top w:val="nil"/>
              <w:left w:val="nil"/>
              <w:bottom w:val="nil"/>
              <w:right w:val="nil"/>
            </w:tcBorders>
          </w:tcPr>
          <w:p w:rsidRPr="001359DB" w:rsidR="00CE2F98" w:rsidP="001359DB" w:rsidRDefault="00CE2F98">
            <w:pPr>
              <w:jc w:val="both"/>
              <w:rPr>
                <w:rFonts w:ascii="Arial" w:hAnsi="Arial"/>
                <w:b/>
                <w:bCs/>
                <w:sz w:val="26"/>
                <w:szCs w:val="26"/>
              </w:rPr>
            </w:pPr>
            <w:r w:rsidRPr="007F745F">
              <w:rPr>
                <w:rFonts w:hint="cs" w:ascii="Arial" w:hAnsi="Arial"/>
                <w:b/>
                <w:bCs/>
                <w:sz w:val="26"/>
                <w:szCs w:val="26"/>
                <w:rtl/>
              </w:rPr>
              <w:t>ל</w:t>
            </w:r>
            <w:r w:rsidRPr="007F745F">
              <w:rPr>
                <w:rFonts w:ascii="Arial" w:hAnsi="Arial"/>
                <w:b/>
                <w:bCs/>
                <w:sz w:val="26"/>
                <w:szCs w:val="26"/>
                <w:rtl/>
              </w:rPr>
              <w:t xml:space="preserve">פני </w:t>
            </w:r>
            <w:r w:rsidRPr="00250B83">
              <w:rPr>
                <w:rFonts w:hint="cs" w:ascii="Arial" w:hAnsi="Arial"/>
                <w:b/>
                <w:bCs/>
                <w:sz w:val="26"/>
                <w:szCs w:val="26"/>
                <w:rtl/>
              </w:rPr>
              <w:t>כבוד ה</w:t>
            </w:r>
            <w:sdt>
              <w:sdtPr>
                <w:rPr>
                  <w:sz w:val="26"/>
                  <w:szCs w:val="26"/>
                  <w:rtl/>
                </w:rPr>
                <w:alias w:val="1574"/>
                <w:tag w:val="1574"/>
                <w:id w:val="-1615122647"/>
                <w:text w:multiLine="1"/>
              </w:sdtPr>
              <w:sdtEndPr/>
              <w:sdtContent>
                <w:r>
                  <w:rPr>
                    <w:rFonts w:ascii="Arial" w:hAnsi="Arial"/>
                    <w:b/>
                    <w:bCs/>
                    <w:sz w:val="26"/>
                    <w:szCs w:val="26"/>
                    <w:rtl/>
                  </w:rPr>
                  <w:t>שופטת</w:t>
                </w:r>
              </w:sdtContent>
            </w:sdt>
            <w:r w:rsidRPr="00250B83">
              <w:rPr>
                <w:rFonts w:hint="cs" w:ascii="Arial" w:hAnsi="Arial"/>
                <w:b/>
                <w:bCs/>
                <w:sz w:val="26"/>
                <w:szCs w:val="26"/>
                <w:rtl/>
              </w:rPr>
              <w:t xml:space="preserve">  </w:t>
            </w:r>
            <w:sdt>
              <w:sdtPr>
                <w:rPr>
                  <w:sz w:val="26"/>
                  <w:szCs w:val="26"/>
                  <w:rtl/>
                </w:rPr>
                <w:alias w:val="1573"/>
                <w:tag w:val="1573"/>
                <w:id w:val="-1715807626"/>
                <w:text w:multiLine="1"/>
              </w:sdtPr>
              <w:sdtEndPr/>
              <w:sdtContent>
                <w:r>
                  <w:rPr>
                    <w:rFonts w:ascii="Arial" w:hAnsi="Arial"/>
                    <w:b/>
                    <w:bCs/>
                    <w:sz w:val="26"/>
                    <w:szCs w:val="26"/>
                    <w:rtl/>
                  </w:rPr>
                  <w:t>דנה אמיר</w:t>
                </w:r>
              </w:sdtContent>
            </w:sdt>
          </w:p>
        </w:tc>
      </w:tr>
      <w:tr w:rsidRPr="00250B83" w:rsidR="00507694" w:rsidTr="004D24E2">
        <w:trPr>
          <w:trHeight w:val="355"/>
          <w:jc w:val="center"/>
        </w:trPr>
        <w:tc>
          <w:tcPr>
            <w:tcW w:w="885" w:type="dxa"/>
            <w:tcBorders>
              <w:top w:val="nil"/>
              <w:left w:val="nil"/>
              <w:bottom w:val="nil"/>
              <w:right w:val="nil"/>
            </w:tcBorders>
          </w:tcPr>
          <w:p w:rsidRPr="007F745F" w:rsidR="00507694" w:rsidRDefault="00632D94">
            <w:pPr>
              <w:jc w:val="both"/>
              <w:rPr>
                <w:rFonts w:ascii="Arial" w:hAnsi="Arial"/>
                <w:b/>
                <w:bCs/>
                <w:sz w:val="26"/>
                <w:szCs w:val="26"/>
              </w:rPr>
            </w:pPr>
            <w:r w:rsidRPr="00250B83">
              <w:rPr>
                <w:rFonts w:hint="cs" w:ascii="Arial" w:hAnsi="Arial"/>
                <w:sz w:val="26"/>
                <w:szCs w:val="26"/>
                <w:rtl/>
              </w:rPr>
              <w:t>ה</w:t>
            </w:r>
            <w:sdt>
              <w:sdtPr>
                <w:rPr>
                  <w:sz w:val="26"/>
                  <w:szCs w:val="26"/>
                  <w:rtl/>
                </w:rPr>
                <w:alias w:val="1180"/>
                <w:tag w:val="1180"/>
                <w:id w:val="-217131131"/>
                <w:text w:multiLine="1"/>
              </w:sdtPr>
              <w:sdtEndPr/>
              <w:sdtContent>
                <w:r>
                  <w:rPr>
                    <w:rFonts w:ascii="Arial" w:hAnsi="Arial"/>
                    <w:sz w:val="26"/>
                    <w:szCs w:val="26"/>
                    <w:rtl/>
                  </w:rPr>
                  <w:t>מאשימה</w:t>
                </w:r>
              </w:sdtContent>
            </w:sdt>
          </w:p>
        </w:tc>
        <w:tc>
          <w:tcPr>
            <w:tcW w:w="4384" w:type="dxa"/>
            <w:tcBorders>
              <w:top w:val="nil"/>
              <w:left w:val="nil"/>
              <w:bottom w:val="nil"/>
              <w:right w:val="nil"/>
            </w:tcBorders>
          </w:tcPr>
          <w:p w:rsidR="00507694" w:rsidP="003E0C9F" w:rsidRDefault="00B32863">
            <w:pPr>
              <w:rPr>
                <w:sz w:val="26"/>
                <w:szCs w:val="26"/>
                <w:rtl/>
              </w:rPr>
            </w:pPr>
            <w:sdt>
              <w:sdtPr>
                <w:rPr>
                  <w:sz w:val="26"/>
                  <w:szCs w:val="26"/>
                  <w:rtl/>
                </w:rPr>
                <w:alias w:val="1478"/>
                <w:tag w:val="1478"/>
                <w:id w:val="-1270384266"/>
                <w:text w:multiLine="1"/>
              </w:sdtPr>
              <w:sdtEndPr/>
              <w:sdtContent>
                <w:r w:rsidR="001359DB">
                  <w:rPr>
                    <w:rFonts w:ascii="Arial" w:hAnsi="Arial"/>
                    <w:sz w:val="26"/>
                    <w:szCs w:val="26"/>
                    <w:rtl/>
                  </w:rPr>
                  <w:t>מדינת ישראל</w:t>
                </w:r>
              </w:sdtContent>
            </w:sdt>
          </w:p>
          <w:p w:rsidRPr="00250B83" w:rsidR="007F745F" w:rsidP="003E0C9F" w:rsidRDefault="007F745F">
            <w:pPr>
              <w:rPr>
                <w:sz w:val="26"/>
                <w:szCs w:val="26"/>
              </w:rPr>
            </w:pPr>
          </w:p>
        </w:tc>
        <w:tc>
          <w:tcPr>
            <w:tcW w:w="3551" w:type="dxa"/>
            <w:tcBorders>
              <w:top w:val="nil"/>
              <w:left w:val="nil"/>
              <w:bottom w:val="nil"/>
              <w:right w:val="nil"/>
            </w:tcBorders>
          </w:tcPr>
          <w:p w:rsidRPr="00250B83" w:rsidR="00507694" w:rsidRDefault="00507694">
            <w:pPr>
              <w:jc w:val="both"/>
              <w:rPr>
                <w:rFonts w:ascii="Arial" w:hAnsi="Arial"/>
                <w:sz w:val="26"/>
                <w:szCs w:val="26"/>
              </w:rPr>
            </w:pPr>
          </w:p>
        </w:tc>
      </w:tr>
      <w:tr w:rsidRPr="00250B83" w:rsidR="00212457" w:rsidTr="004D24E2">
        <w:trPr>
          <w:trHeight w:val="373"/>
          <w:jc w:val="center"/>
        </w:trPr>
        <w:tc>
          <w:tcPr>
            <w:tcW w:w="885" w:type="dxa"/>
            <w:tcBorders>
              <w:top w:val="nil"/>
              <w:left w:val="nil"/>
              <w:bottom w:val="nil"/>
              <w:right w:val="nil"/>
            </w:tcBorders>
          </w:tcPr>
          <w:p w:rsidRPr="00250B83" w:rsidR="00212457" w:rsidP="00212457" w:rsidRDefault="00212457">
            <w:pPr>
              <w:jc w:val="both"/>
              <w:rPr>
                <w:rFonts w:ascii="Arial" w:hAnsi="Arial"/>
                <w:sz w:val="26"/>
                <w:szCs w:val="26"/>
                <w:rtl/>
              </w:rPr>
            </w:pPr>
          </w:p>
        </w:tc>
        <w:tc>
          <w:tcPr>
            <w:tcW w:w="7935" w:type="dxa"/>
            <w:gridSpan w:val="2"/>
            <w:tcBorders>
              <w:top w:val="nil"/>
              <w:left w:val="nil"/>
              <w:bottom w:val="nil"/>
              <w:right w:val="nil"/>
            </w:tcBorders>
          </w:tcPr>
          <w:p w:rsidRPr="00250B83" w:rsidR="00212457" w:rsidP="00212457" w:rsidRDefault="00212457">
            <w:pPr>
              <w:jc w:val="center"/>
              <w:rPr>
                <w:rFonts w:ascii="Arial" w:hAnsi="Arial"/>
                <w:b/>
                <w:bCs/>
                <w:sz w:val="26"/>
                <w:szCs w:val="26"/>
                <w:rtl/>
              </w:rPr>
            </w:pPr>
          </w:p>
          <w:p w:rsidRPr="00250B83" w:rsidR="00212457" w:rsidP="00212457" w:rsidRDefault="00212457">
            <w:pPr>
              <w:jc w:val="center"/>
              <w:rPr>
                <w:rFonts w:ascii="Arial" w:hAnsi="Arial"/>
                <w:b/>
                <w:bCs/>
                <w:sz w:val="26"/>
                <w:szCs w:val="26"/>
                <w:rtl/>
              </w:rPr>
            </w:pPr>
            <w:r w:rsidRPr="00250B83">
              <w:rPr>
                <w:rFonts w:ascii="Arial" w:hAnsi="Arial"/>
                <w:b/>
                <w:bCs/>
                <w:sz w:val="26"/>
                <w:szCs w:val="26"/>
                <w:rtl/>
              </w:rPr>
              <w:t>נגד</w:t>
            </w:r>
          </w:p>
          <w:p w:rsidRPr="00250B83" w:rsidR="00212457" w:rsidP="00212457" w:rsidRDefault="00212457">
            <w:pPr>
              <w:jc w:val="both"/>
              <w:rPr>
                <w:rFonts w:ascii="Arial" w:hAnsi="Arial"/>
                <w:sz w:val="26"/>
                <w:szCs w:val="26"/>
              </w:rPr>
            </w:pPr>
          </w:p>
        </w:tc>
      </w:tr>
      <w:tr w:rsidRPr="00250B83" w:rsidR="00212457" w:rsidTr="004D24E2">
        <w:trPr>
          <w:trHeight w:val="355"/>
          <w:jc w:val="center"/>
        </w:trPr>
        <w:tc>
          <w:tcPr>
            <w:tcW w:w="885" w:type="dxa"/>
            <w:tcBorders>
              <w:top w:val="nil"/>
              <w:left w:val="nil"/>
              <w:bottom w:val="nil"/>
              <w:right w:val="nil"/>
            </w:tcBorders>
          </w:tcPr>
          <w:p w:rsidRPr="00250B83" w:rsidR="00212457" w:rsidP="00212457" w:rsidRDefault="00632D94">
            <w:pPr>
              <w:rPr>
                <w:rFonts w:ascii="Arial" w:hAnsi="Arial"/>
                <w:sz w:val="26"/>
                <w:szCs w:val="26"/>
                <w:rtl/>
              </w:rPr>
            </w:pPr>
            <w:r w:rsidRPr="00250B83">
              <w:rPr>
                <w:rFonts w:hint="cs" w:ascii="Arial" w:hAnsi="Arial"/>
                <w:sz w:val="26"/>
                <w:szCs w:val="26"/>
                <w:rtl/>
              </w:rPr>
              <w:t>ה</w:t>
            </w:r>
            <w:sdt>
              <w:sdtPr>
                <w:rPr>
                  <w:sz w:val="26"/>
                  <w:szCs w:val="26"/>
                  <w:rtl/>
                </w:rPr>
                <w:alias w:val="1184"/>
                <w:tag w:val="1184"/>
                <w:id w:val="-1508059094"/>
                <w:text w:multiLine="1"/>
              </w:sdtPr>
              <w:sdtEndPr/>
              <w:sdtContent>
                <w:r>
                  <w:rPr>
                    <w:rFonts w:ascii="Arial" w:hAnsi="Arial"/>
                    <w:sz w:val="26"/>
                    <w:szCs w:val="26"/>
                    <w:rtl/>
                  </w:rPr>
                  <w:t>נאשמים</w:t>
                </w:r>
              </w:sdtContent>
            </w:sdt>
          </w:p>
        </w:tc>
        <w:tc>
          <w:tcPr>
            <w:tcW w:w="4384" w:type="dxa"/>
            <w:tcBorders>
              <w:top w:val="nil"/>
              <w:left w:val="nil"/>
              <w:bottom w:val="nil"/>
              <w:right w:val="nil"/>
            </w:tcBorders>
          </w:tcPr>
          <w:p w:rsidR="00212457" w:rsidP="00212457" w:rsidRDefault="00B32863">
            <w:pPr>
              <w:rPr>
                <w:sz w:val="26"/>
                <w:szCs w:val="26"/>
                <w:rtl/>
              </w:rPr>
            </w:pPr>
            <w:sdt>
              <w:sdtPr>
                <w:rPr>
                  <w:sz w:val="26"/>
                  <w:szCs w:val="26"/>
                  <w:rtl/>
                </w:rPr>
                <w:alias w:val="1571"/>
                <w:tag w:val="1571"/>
                <w:id w:val="1944566627"/>
                <w:text w:multiLine="1"/>
              </w:sdtPr>
              <w:sdtEndPr/>
              <w:sdtContent>
                <w:r w:rsidR="001359DB">
                  <w:rPr>
                    <w:rFonts w:ascii="Arial" w:hAnsi="Arial"/>
                    <w:sz w:val="26"/>
                    <w:szCs w:val="26"/>
                    <w:rtl/>
                  </w:rPr>
                  <w:t>1</w:t>
                </w:r>
              </w:sdtContent>
            </w:sdt>
            <w:r w:rsidRPr="00250B83" w:rsidR="00212457">
              <w:rPr>
                <w:rFonts w:hint="cs" w:ascii="Arial" w:hAnsi="Arial"/>
                <w:sz w:val="26"/>
                <w:szCs w:val="26"/>
                <w:rtl/>
              </w:rPr>
              <w:t>.</w:t>
            </w:r>
            <w:sdt>
              <w:sdtPr>
                <w:rPr>
                  <w:sz w:val="26"/>
                  <w:szCs w:val="26"/>
                  <w:rtl/>
                </w:rPr>
                <w:alias w:val="1486"/>
                <w:tag w:val="1486"/>
                <w:id w:val="-1964416617"/>
                <w:text w:multiLine="1"/>
              </w:sdtPr>
              <w:sdtEndPr/>
              <w:sdtContent>
                <w:r w:rsidR="001359DB">
                  <w:rPr>
                    <w:rFonts w:ascii="Arial" w:hAnsi="Arial"/>
                    <w:sz w:val="26"/>
                    <w:szCs w:val="26"/>
                    <w:rtl/>
                  </w:rPr>
                  <w:t>לימונדה  א.א.נ בע"מ</w:t>
                </w:r>
              </w:sdtContent>
            </w:sdt>
          </w:p>
          <w:p w:rsidR="00212457" w:rsidP="00212457" w:rsidRDefault="00B32863">
            <w:pPr>
              <w:rPr>
                <w:sz w:val="26"/>
                <w:szCs w:val="26"/>
                <w:rtl/>
              </w:rPr>
            </w:pPr>
            <w:sdt>
              <w:sdtPr>
                <w:rPr>
                  <w:sz w:val="26"/>
                  <w:szCs w:val="26"/>
                  <w:rtl/>
                </w:rPr>
                <w:alias w:val="1571"/>
                <w:tag w:val="1571"/>
                <w:id w:val="-1855723669"/>
                <w:text w:multiLine="1"/>
              </w:sdtPr>
              <w:sdtEndPr/>
              <w:sdtContent>
                <w:r w:rsidR="001359DB">
                  <w:rPr>
                    <w:rFonts w:ascii="Arial" w:hAnsi="Arial"/>
                    <w:sz w:val="26"/>
                    <w:szCs w:val="26"/>
                    <w:rtl/>
                  </w:rPr>
                  <w:t>2</w:t>
                </w:r>
              </w:sdtContent>
            </w:sdt>
            <w:r w:rsidRPr="00250B83" w:rsidR="00212457">
              <w:rPr>
                <w:rFonts w:hint="cs" w:ascii="Arial" w:hAnsi="Arial"/>
                <w:sz w:val="26"/>
                <w:szCs w:val="26"/>
                <w:rtl/>
              </w:rPr>
              <w:t>.</w:t>
            </w:r>
            <w:sdt>
              <w:sdtPr>
                <w:rPr>
                  <w:sz w:val="26"/>
                  <w:szCs w:val="26"/>
                  <w:rtl/>
                </w:rPr>
                <w:alias w:val="1486"/>
                <w:tag w:val="1486"/>
                <w:id w:val="1490591175"/>
                <w:text w:multiLine="1"/>
              </w:sdtPr>
              <w:sdtEndPr/>
              <w:sdtContent>
                <w:r w:rsidR="001359DB">
                  <w:rPr>
                    <w:rFonts w:ascii="Arial" w:hAnsi="Arial"/>
                    <w:sz w:val="26"/>
                    <w:szCs w:val="26"/>
                    <w:rtl/>
                  </w:rPr>
                  <w:t>מחמוד עטון</w:t>
                </w:r>
              </w:sdtContent>
            </w:sdt>
          </w:p>
          <w:p w:rsidRPr="00250B83" w:rsidR="00212457" w:rsidP="00212457" w:rsidRDefault="00212457">
            <w:pPr>
              <w:rPr>
                <w:sz w:val="26"/>
                <w:szCs w:val="26"/>
                <w:rtl/>
              </w:rPr>
            </w:pPr>
          </w:p>
        </w:tc>
        <w:tc>
          <w:tcPr>
            <w:tcW w:w="3551" w:type="dxa"/>
            <w:tcBorders>
              <w:top w:val="nil"/>
              <w:left w:val="nil"/>
              <w:bottom w:val="nil"/>
              <w:right w:val="nil"/>
            </w:tcBorders>
          </w:tcPr>
          <w:p w:rsidRPr="00250B83" w:rsidR="00212457" w:rsidP="00212457" w:rsidRDefault="00212457">
            <w:pPr>
              <w:jc w:val="right"/>
              <w:rPr>
                <w:rFonts w:ascii="Arial" w:hAnsi="Arial"/>
                <w:sz w:val="26"/>
                <w:szCs w:val="26"/>
              </w:rPr>
            </w:pPr>
          </w:p>
        </w:tc>
      </w:tr>
    </w:tbl>
    <w:p w:rsidR="00507694" w:rsidRDefault="00507694">
      <w:pPr>
        <w:rPr>
          <w:rtl/>
        </w:rPr>
      </w:pPr>
    </w:p>
    <w:p w:rsidRPr="00E909C9" w:rsidR="00E909C9" w:rsidRDefault="00E909C9">
      <w:pPr>
        <w:rPr>
          <w:b/>
          <w:bCs/>
          <w:u w:val="single"/>
          <w:rtl/>
        </w:rPr>
      </w:pPr>
      <w:r w:rsidRPr="00E909C9">
        <w:rPr>
          <w:rFonts w:hint="cs"/>
          <w:b/>
          <w:bCs/>
          <w:u w:val="single"/>
          <w:rtl/>
        </w:rPr>
        <w:t>נוכחים:</w:t>
      </w:r>
    </w:p>
    <w:p w:rsidR="00E909C9" w:rsidRDefault="00E909C9">
      <w:pPr>
        <w:rPr>
          <w:rFonts w:hint="cs"/>
          <w:rtl/>
        </w:rPr>
      </w:pPr>
      <w:r>
        <w:rPr>
          <w:rFonts w:hint="cs"/>
          <w:rtl/>
        </w:rPr>
        <w:t>ב"כ המאשימה, עו"ד לנא אבו-עיסא</w:t>
      </w:r>
    </w:p>
    <w:p w:rsidR="00E909C9" w:rsidRDefault="00E909C9">
      <w:pPr>
        <w:rPr>
          <w:rFonts w:hint="cs"/>
          <w:rtl/>
        </w:rPr>
      </w:pPr>
      <w:r>
        <w:rPr>
          <w:rFonts w:hint="cs"/>
          <w:rtl/>
        </w:rPr>
        <w:t>ב"כ הנאשמים, עו"ד וואסמי עלי</w:t>
      </w:r>
    </w:p>
    <w:p w:rsidR="00E909C9" w:rsidP="00E909C9" w:rsidRDefault="00E909C9">
      <w:pPr>
        <w:rPr>
          <w:rtl/>
        </w:rPr>
      </w:pPr>
      <w:r>
        <w:rPr>
          <w:rFonts w:hint="cs"/>
          <w:rtl/>
        </w:rPr>
        <w:t xml:space="preserve">הנאשם 2 </w:t>
      </w:r>
      <w:r>
        <w:rPr>
          <w:rtl/>
        </w:rPr>
        <w:t>–</w:t>
      </w:r>
      <w:r>
        <w:rPr>
          <w:rFonts w:hint="cs"/>
          <w:rtl/>
        </w:rPr>
        <w:t xml:space="preserve"> בעצמו </w:t>
      </w:r>
    </w:p>
    <w:p w:rsidR="000B45A9" w:rsidP="00E909C9" w:rsidRDefault="000B45A9">
      <w:pPr>
        <w:rPr>
          <w:rtl/>
        </w:rPr>
      </w:pPr>
      <w:r>
        <w:rPr>
          <w:rFonts w:hint="cs"/>
          <w:rtl/>
        </w:rPr>
        <w:t>הדיון מתורגם לערבית ע"י הסנגור המלומד</w:t>
      </w:r>
    </w:p>
    <w:p w:rsidR="00E909C9" w:rsidRDefault="00E909C9"/>
    <w:tbl>
      <w:tblPr>
        <w:tblStyle w:val="aa"/>
        <w:bidiVisual/>
        <w:tblW w:w="8820" w:type="dxa"/>
        <w:jc w:val="center"/>
        <w:tblLook w:val="01E0" w:firstRow="1" w:lastRow="1" w:firstColumn="1" w:lastColumn="1" w:noHBand="0" w:noVBand="0"/>
      </w:tblPr>
      <w:tblGrid>
        <w:gridCol w:w="8820"/>
      </w:tblGrid>
      <w:tr w:rsidR="00507694" w:rsidTr="00640C53">
        <w:trPr>
          <w:trHeight w:val="445"/>
          <w:jc w:val="center"/>
        </w:trPr>
        <w:tc>
          <w:tcPr>
            <w:tcW w:w="8820" w:type="dxa"/>
            <w:tcBorders>
              <w:top w:val="nil"/>
              <w:left w:val="nil"/>
              <w:bottom w:val="nil"/>
              <w:right w:val="nil"/>
            </w:tcBorders>
          </w:tcPr>
          <w:p w:rsidRPr="00250B83" w:rsidR="00507694" w:rsidRDefault="00684E84">
            <w:pPr>
              <w:jc w:val="center"/>
              <w:rPr>
                <w:rFonts w:ascii="Arial" w:hAnsi="Arial"/>
                <w:sz w:val="28"/>
                <w:szCs w:val="28"/>
                <w:u w:val="single"/>
                <w:rtl/>
              </w:rPr>
            </w:pPr>
            <w:r w:rsidRPr="00250B83">
              <w:rPr>
                <w:rFonts w:hint="cs" w:ascii="Arial" w:hAnsi="Arial"/>
                <w:b/>
                <w:bCs/>
                <w:sz w:val="28"/>
                <w:szCs w:val="28"/>
                <w:u w:val="single"/>
                <w:rtl/>
              </w:rPr>
              <w:t>גזר דין</w:t>
            </w:r>
          </w:p>
        </w:tc>
      </w:tr>
    </w:tbl>
    <w:p w:rsidRPr="00B05847" w:rsidR="00507694" w:rsidRDefault="00507694">
      <w:pPr>
        <w:rPr>
          <w:rFonts w:ascii="Arial" w:hAnsi="Arial"/>
          <w:rtl/>
        </w:rPr>
      </w:pPr>
    </w:p>
    <w:p w:rsidR="0014473F" w:rsidP="0014473F" w:rsidRDefault="00B22F6E">
      <w:pPr>
        <w:pStyle w:val="10"/>
        <w:numPr>
          <w:ilvl w:val="0"/>
          <w:numId w:val="5"/>
        </w:numPr>
        <w:spacing w:line="360" w:lineRule="auto"/>
        <w:ind w:left="-142" w:firstLine="0"/>
        <w:jc w:val="both"/>
      </w:pPr>
      <w:bookmarkStart w:name="ABSTRACT_START" w:id="0"/>
      <w:bookmarkStart w:name="LastJudge" w:id="1"/>
      <w:bookmarkEnd w:id="0"/>
      <w:r w:rsidRPr="00F1652B">
        <w:rPr>
          <w:rtl/>
        </w:rPr>
        <w:t xml:space="preserve">נאשם 2 (להלן : </w:t>
      </w:r>
      <w:r w:rsidRPr="00F1652B">
        <w:rPr>
          <w:b/>
          <w:bCs/>
          <w:rtl/>
        </w:rPr>
        <w:t>"הנאשם"</w:t>
      </w:r>
      <w:r w:rsidRPr="00F1652B">
        <w:rPr>
          <w:rtl/>
        </w:rPr>
        <w:t>) ונאשמת</w:t>
      </w:r>
      <w:r w:rsidR="00B72BFB">
        <w:rPr>
          <w:rFonts w:hint="cs"/>
          <w:rtl/>
        </w:rPr>
        <w:t xml:space="preserve"> 1</w:t>
      </w:r>
      <w:r w:rsidRPr="00F1652B">
        <w:rPr>
          <w:rtl/>
        </w:rPr>
        <w:t xml:space="preserve"> (להלן: </w:t>
      </w:r>
      <w:r w:rsidRPr="00F1652B">
        <w:rPr>
          <w:b/>
          <w:bCs/>
          <w:rtl/>
        </w:rPr>
        <w:t>"הנאשמת"</w:t>
      </w:r>
      <w:r w:rsidRPr="00F1652B">
        <w:rPr>
          <w:rtl/>
        </w:rPr>
        <w:t xml:space="preserve">) הורשעו </w:t>
      </w:r>
      <w:r w:rsidR="00370527">
        <w:rPr>
          <w:rFonts w:hint="cs"/>
          <w:rtl/>
        </w:rPr>
        <w:t xml:space="preserve">על פי </w:t>
      </w:r>
      <w:r w:rsidRPr="00F1652B">
        <w:rPr>
          <w:rtl/>
        </w:rPr>
        <w:t xml:space="preserve">הודאת הנאשם </w:t>
      </w:r>
      <w:r w:rsidR="00370527">
        <w:rPr>
          <w:rFonts w:hint="cs"/>
          <w:rtl/>
        </w:rPr>
        <w:t xml:space="preserve">בשמו ובשם הנאשמת, </w:t>
      </w:r>
      <w:r w:rsidRPr="00F1652B">
        <w:rPr>
          <w:rtl/>
        </w:rPr>
        <w:t xml:space="preserve">במפורט בכתב האישום המתוקן במסגרת </w:t>
      </w:r>
      <w:r w:rsidRPr="00054075">
        <w:rPr>
          <w:rtl/>
        </w:rPr>
        <w:t>הסדר טיעון</w:t>
      </w:r>
      <w:r w:rsidR="00370527">
        <w:rPr>
          <w:rFonts w:hint="cs"/>
          <w:rtl/>
        </w:rPr>
        <w:t>. במסגרת זו הורשעו הנאשמים</w:t>
      </w:r>
      <w:r w:rsidR="009E1CD8">
        <w:rPr>
          <w:rFonts w:hint="cs"/>
          <w:rtl/>
        </w:rPr>
        <w:t xml:space="preserve"> ב-</w:t>
      </w:r>
      <w:r w:rsidR="00370527">
        <w:rPr>
          <w:rFonts w:hint="cs"/>
          <w:rtl/>
        </w:rPr>
        <w:t xml:space="preserve"> </w:t>
      </w:r>
      <w:r w:rsidRPr="00054075">
        <w:rPr>
          <w:rtl/>
        </w:rPr>
        <w:t xml:space="preserve"> </w:t>
      </w:r>
      <w:r w:rsidRPr="00054075">
        <w:rPr>
          <w:rFonts w:hint="cs"/>
          <w:rtl/>
        </w:rPr>
        <w:t>112</w:t>
      </w:r>
      <w:r w:rsidRPr="00054075">
        <w:rPr>
          <w:rtl/>
        </w:rPr>
        <w:t xml:space="preserve"> עבירות ש</w:t>
      </w:r>
      <w:r w:rsidR="00370527">
        <w:rPr>
          <w:rtl/>
        </w:rPr>
        <w:t>ל ניכוי מס תשומות ללא מסמך כדין</w:t>
      </w:r>
      <w:r w:rsidR="00370527">
        <w:rPr>
          <w:rFonts w:hint="cs"/>
          <w:rtl/>
        </w:rPr>
        <w:t xml:space="preserve">, </w:t>
      </w:r>
      <w:r w:rsidRPr="00054075">
        <w:rPr>
          <w:rtl/>
        </w:rPr>
        <w:t>במטרה להתחמק מתשלום מס</w:t>
      </w:r>
      <w:r w:rsidR="009E1CD8">
        <w:rPr>
          <w:rFonts w:hint="cs"/>
          <w:rtl/>
        </w:rPr>
        <w:t>,</w:t>
      </w:r>
      <w:r w:rsidRPr="00054075">
        <w:rPr>
          <w:rtl/>
        </w:rPr>
        <w:t xml:space="preserve"> על פי </w:t>
      </w:r>
      <w:hyperlink w:history="1" r:id="rId9">
        <w:r w:rsidRPr="00054075">
          <w:rPr>
            <w:rtl/>
          </w:rPr>
          <w:t>סעיף 117(ב)(5)</w:t>
        </w:r>
      </w:hyperlink>
      <w:r w:rsidRPr="00054075">
        <w:rPr>
          <w:rtl/>
        </w:rPr>
        <w:t xml:space="preserve"> ל</w:t>
      </w:r>
      <w:hyperlink w:history="1" r:id="rId10">
        <w:r w:rsidRPr="00054075">
          <w:rPr>
            <w:rStyle w:val="Hyperlink"/>
            <w:rFonts w:cs="David"/>
            <w:color w:val="auto"/>
            <w:u w:val="none"/>
            <w:rtl/>
          </w:rPr>
          <w:t>חוק מס ערך מוסף</w:t>
        </w:r>
      </w:hyperlink>
      <w:r w:rsidRPr="00054075">
        <w:rPr>
          <w:rtl/>
        </w:rPr>
        <w:t xml:space="preserve">, תשל"ו - 1975 (להלן: </w:t>
      </w:r>
      <w:r w:rsidRPr="00054075">
        <w:rPr>
          <w:b/>
          <w:bCs/>
          <w:rtl/>
        </w:rPr>
        <w:t>"החוק"</w:t>
      </w:r>
      <w:r w:rsidRPr="00054075">
        <w:rPr>
          <w:rtl/>
        </w:rPr>
        <w:t>)</w:t>
      </w:r>
      <w:r w:rsidRPr="00054075" w:rsidR="00054075">
        <w:rPr>
          <w:rFonts w:hint="cs"/>
          <w:rtl/>
        </w:rPr>
        <w:t xml:space="preserve"> ובעבירה אחת </w:t>
      </w:r>
      <w:r w:rsidR="00370527">
        <w:rPr>
          <w:rFonts w:hint="cs"/>
          <w:rtl/>
        </w:rPr>
        <w:t>של הכנה וניהול של פנקסי חשבונות כוזבים, במטרה להתחמק מתשלום מס</w:t>
      </w:r>
      <w:r w:rsidR="009E1CD8">
        <w:rPr>
          <w:rFonts w:hint="cs"/>
          <w:rtl/>
        </w:rPr>
        <w:t>,</w:t>
      </w:r>
      <w:r w:rsidR="00370527">
        <w:rPr>
          <w:rFonts w:hint="cs"/>
          <w:rtl/>
        </w:rPr>
        <w:t xml:space="preserve"> </w:t>
      </w:r>
      <w:r w:rsidRPr="00054075" w:rsidR="00054075">
        <w:rPr>
          <w:rFonts w:hint="cs"/>
          <w:rtl/>
        </w:rPr>
        <w:t>לפי סעיף 117(ב)(6)</w:t>
      </w:r>
      <w:r w:rsidR="005B61C0">
        <w:rPr>
          <w:rFonts w:hint="cs"/>
          <w:rtl/>
        </w:rPr>
        <w:t xml:space="preserve"> לחוק</w:t>
      </w:r>
      <w:r w:rsidRPr="00054075" w:rsidR="00054075">
        <w:rPr>
          <w:rFonts w:hint="cs"/>
          <w:rtl/>
        </w:rPr>
        <w:t xml:space="preserve">. </w:t>
      </w:r>
      <w:bookmarkStart w:name="ABSTRACT_END" w:id="2"/>
      <w:bookmarkEnd w:id="2"/>
    </w:p>
    <w:p w:rsidR="0014473F" w:rsidP="0014473F" w:rsidRDefault="0014473F">
      <w:pPr>
        <w:pStyle w:val="10"/>
        <w:spacing w:line="360" w:lineRule="auto"/>
        <w:ind w:left="-142"/>
        <w:jc w:val="both"/>
        <w:rPr>
          <w:rtl/>
        </w:rPr>
      </w:pPr>
    </w:p>
    <w:p w:rsidRPr="0014473F" w:rsidR="00640C53" w:rsidP="0014473F" w:rsidRDefault="0014473F">
      <w:pPr>
        <w:pStyle w:val="10"/>
        <w:spacing w:line="360" w:lineRule="auto"/>
        <w:ind w:left="-142"/>
        <w:jc w:val="both"/>
        <w:rPr>
          <w:rtl/>
        </w:rPr>
      </w:pPr>
      <w:r>
        <w:rPr>
          <w:b/>
          <w:bCs/>
          <w:u w:val="single"/>
          <w:rtl/>
        </w:rPr>
        <w:t>תמצית כתב האישום</w:t>
      </w:r>
    </w:p>
    <w:p w:rsidR="0014473F" w:rsidP="009E1CD8" w:rsidRDefault="00B22F6E">
      <w:pPr>
        <w:pStyle w:val="10"/>
        <w:numPr>
          <w:ilvl w:val="0"/>
          <w:numId w:val="5"/>
        </w:numPr>
        <w:spacing w:line="360" w:lineRule="auto"/>
        <w:ind w:left="-142" w:firstLine="0"/>
        <w:jc w:val="both"/>
      </w:pPr>
      <w:r w:rsidRPr="00F1652B">
        <w:rPr>
          <w:rtl/>
        </w:rPr>
        <w:t xml:space="preserve">על פי </w:t>
      </w:r>
      <w:r w:rsidR="00640C53">
        <w:rPr>
          <w:rFonts w:hint="cs"/>
          <w:rtl/>
        </w:rPr>
        <w:t xml:space="preserve">החלק הכללי </w:t>
      </w:r>
      <w:r w:rsidR="006341B3">
        <w:rPr>
          <w:rFonts w:hint="cs"/>
          <w:rtl/>
        </w:rPr>
        <w:t>ל</w:t>
      </w:r>
      <w:r w:rsidRPr="00F1652B">
        <w:rPr>
          <w:rtl/>
        </w:rPr>
        <w:t>כתב האישום המתוקן, הנאשמת היא חברה</w:t>
      </w:r>
      <w:r w:rsidR="00387B12">
        <w:rPr>
          <w:rtl/>
        </w:rPr>
        <w:t xml:space="preserve"> פרטית מוגבלת במניות </w:t>
      </w:r>
      <w:r w:rsidR="00370527">
        <w:rPr>
          <w:rFonts w:hint="cs"/>
          <w:rtl/>
        </w:rPr>
        <w:t>אשר עסקה בתקופה הרלבנטית</w:t>
      </w:r>
      <w:r w:rsidR="00387B12">
        <w:rPr>
          <w:rFonts w:hint="cs"/>
          <w:rtl/>
        </w:rPr>
        <w:t xml:space="preserve"> </w:t>
      </w:r>
      <w:r w:rsidR="005B61C0">
        <w:rPr>
          <w:rFonts w:hint="cs"/>
          <w:rtl/>
        </w:rPr>
        <w:t>בעבודות בנייה</w:t>
      </w:r>
      <w:r w:rsidR="009E1CD8">
        <w:rPr>
          <w:rFonts w:hint="cs"/>
          <w:rtl/>
        </w:rPr>
        <w:t xml:space="preserve">. </w:t>
      </w:r>
      <w:r w:rsidR="00640C53">
        <w:rPr>
          <w:rFonts w:hint="cs"/>
          <w:rtl/>
        </w:rPr>
        <w:t xml:space="preserve">הנאשם שימש בתקופה </w:t>
      </w:r>
      <w:r w:rsidR="00370527">
        <w:rPr>
          <w:rFonts w:hint="cs"/>
          <w:rtl/>
        </w:rPr>
        <w:t>זו</w:t>
      </w:r>
      <w:r w:rsidR="00640C53">
        <w:rPr>
          <w:rFonts w:hint="cs"/>
          <w:rtl/>
        </w:rPr>
        <w:t xml:space="preserve"> כמנהל</w:t>
      </w:r>
      <w:r w:rsidR="00370527">
        <w:rPr>
          <w:rFonts w:hint="cs"/>
          <w:rtl/>
        </w:rPr>
        <w:t>ה</w:t>
      </w:r>
      <w:r w:rsidR="0014473F">
        <w:rPr>
          <w:rFonts w:hint="cs"/>
          <w:rtl/>
        </w:rPr>
        <w:t xml:space="preserve"> </w:t>
      </w:r>
      <w:r w:rsidR="00640C53">
        <w:rPr>
          <w:rFonts w:hint="cs"/>
          <w:rtl/>
        </w:rPr>
        <w:t xml:space="preserve">הפעיל וכבעל מניות יחיד </w:t>
      </w:r>
      <w:r w:rsidR="00370527">
        <w:rPr>
          <w:rFonts w:hint="cs"/>
          <w:rtl/>
        </w:rPr>
        <w:t>בה</w:t>
      </w:r>
      <w:r w:rsidR="00640C53">
        <w:rPr>
          <w:rFonts w:hint="cs"/>
          <w:rtl/>
        </w:rPr>
        <w:t xml:space="preserve">. </w:t>
      </w:r>
      <w:r w:rsidR="00370527">
        <w:rPr>
          <w:rFonts w:hint="cs"/>
          <w:rtl/>
        </w:rPr>
        <w:t xml:space="preserve"> על פי האישום הראשון, </w:t>
      </w:r>
      <w:r w:rsidRPr="00F1652B">
        <w:rPr>
          <w:rtl/>
        </w:rPr>
        <w:t xml:space="preserve">בתקופה שבין </w:t>
      </w:r>
      <w:r w:rsidR="006341B3">
        <w:rPr>
          <w:rFonts w:hint="cs"/>
          <w:rtl/>
        </w:rPr>
        <w:t>יולי</w:t>
      </w:r>
      <w:r w:rsidRPr="00F1652B">
        <w:rPr>
          <w:rtl/>
        </w:rPr>
        <w:t xml:space="preserve"> </w:t>
      </w:r>
      <w:r w:rsidR="005B61C0">
        <w:rPr>
          <w:rFonts w:hint="cs"/>
          <w:rtl/>
        </w:rPr>
        <w:t>2013</w:t>
      </w:r>
      <w:r w:rsidRPr="00F1652B">
        <w:rPr>
          <w:rtl/>
        </w:rPr>
        <w:t xml:space="preserve"> עד </w:t>
      </w:r>
      <w:r w:rsidR="005B61C0">
        <w:rPr>
          <w:rFonts w:hint="cs"/>
          <w:rtl/>
        </w:rPr>
        <w:t xml:space="preserve">אוגוסט </w:t>
      </w:r>
      <w:bookmarkEnd w:id="1"/>
      <w:r w:rsidR="006341B3">
        <w:rPr>
          <w:rFonts w:hint="cs"/>
          <w:rtl/>
        </w:rPr>
        <w:t>2014</w:t>
      </w:r>
      <w:r>
        <w:rPr>
          <w:rtl/>
        </w:rPr>
        <w:t xml:space="preserve"> ניכו הנאשמים מס תשומות בסך של</w:t>
      </w:r>
      <w:r w:rsidRPr="0014473F" w:rsidR="00640C53">
        <w:rPr>
          <w:rFonts w:hint="cs"/>
          <w:b/>
          <w:bCs/>
          <w:rtl/>
        </w:rPr>
        <w:t xml:space="preserve"> 1,694,474 </w:t>
      </w:r>
      <w:r w:rsidRPr="0014473F">
        <w:rPr>
          <w:b/>
          <w:bCs/>
          <w:rtl/>
        </w:rPr>
        <w:t>₪</w:t>
      </w:r>
      <w:r w:rsidR="009E1CD8">
        <w:rPr>
          <w:rFonts w:hint="cs"/>
          <w:rtl/>
        </w:rPr>
        <w:t xml:space="preserve"> על שם הנאשמת</w:t>
      </w:r>
      <w:r w:rsidR="00640C53">
        <w:rPr>
          <w:rFonts w:hint="cs"/>
          <w:rtl/>
        </w:rPr>
        <w:t xml:space="preserve">, </w:t>
      </w:r>
      <w:r w:rsidR="0014473F">
        <w:rPr>
          <w:rFonts w:hint="cs"/>
          <w:rtl/>
        </w:rPr>
        <w:t xml:space="preserve">באמצעות 112 חשבוניות, </w:t>
      </w:r>
      <w:r w:rsidR="00370527">
        <w:rPr>
          <w:rFonts w:hint="cs"/>
          <w:rtl/>
        </w:rPr>
        <w:t xml:space="preserve">מבלי שסופקו להם השירותים או הטובין המפורטים </w:t>
      </w:r>
      <w:r w:rsidR="0014473F">
        <w:rPr>
          <w:rFonts w:hint="cs"/>
          <w:rtl/>
        </w:rPr>
        <w:t>בהן</w:t>
      </w:r>
      <w:r w:rsidR="00370527">
        <w:rPr>
          <w:rFonts w:hint="cs"/>
          <w:rtl/>
        </w:rPr>
        <w:t xml:space="preserve"> </w:t>
      </w:r>
      <w:r w:rsidR="0014473F">
        <w:rPr>
          <w:rFonts w:hint="cs"/>
          <w:rtl/>
        </w:rPr>
        <w:t xml:space="preserve">(להלן: </w:t>
      </w:r>
      <w:r w:rsidRPr="0014473F" w:rsidR="0014473F">
        <w:rPr>
          <w:rFonts w:hint="cs"/>
          <w:b/>
          <w:bCs/>
          <w:rtl/>
        </w:rPr>
        <w:t>"החשבוניות הכוזבות"</w:t>
      </w:r>
      <w:r w:rsidR="009E1CD8">
        <w:rPr>
          <w:rFonts w:hint="cs"/>
          <w:rtl/>
        </w:rPr>
        <w:t xml:space="preserve">). הנאשמים פעלו כאמור </w:t>
      </w:r>
      <w:r w:rsidR="0014473F">
        <w:rPr>
          <w:rFonts w:hint="cs"/>
          <w:rtl/>
        </w:rPr>
        <w:t xml:space="preserve">במטרה להתחמק מתשלום מס. החשבוניות הכוזבות אשר נוכו על ידי הנאשמים כמפורט לעיל הן על שם העוסקים הבאים: </w:t>
      </w:r>
      <w:r w:rsidR="006341B3">
        <w:rPr>
          <w:rFonts w:hint="cs"/>
          <w:rtl/>
        </w:rPr>
        <w:t xml:space="preserve">ירח וכוכבים פרויקטים בע"מ ח.פ 513612978, ב.ע. לבניין בע"מ ח.פ. 513920363 וג'אברין עלי מוסטפא ובניו בע"מ ח.פ. </w:t>
      </w:r>
      <w:r w:rsidR="00387B12">
        <w:rPr>
          <w:rFonts w:hint="cs"/>
          <w:rtl/>
        </w:rPr>
        <w:t>514081504</w:t>
      </w:r>
      <w:r w:rsidR="0014473F">
        <w:rPr>
          <w:rFonts w:hint="cs"/>
          <w:rtl/>
        </w:rPr>
        <w:t xml:space="preserve">. </w:t>
      </w:r>
      <w:r w:rsidR="00091752">
        <w:rPr>
          <w:rFonts w:hint="cs"/>
          <w:rtl/>
        </w:rPr>
        <w:t xml:space="preserve">על </w:t>
      </w:r>
      <w:r w:rsidR="00B16BFF">
        <w:rPr>
          <w:rFonts w:hint="cs"/>
          <w:rtl/>
        </w:rPr>
        <w:t xml:space="preserve">פי האישום השני </w:t>
      </w:r>
      <w:r w:rsidR="008050B0">
        <w:rPr>
          <w:rFonts w:hint="cs"/>
          <w:rtl/>
        </w:rPr>
        <w:t>לכתב האישום</w:t>
      </w:r>
      <w:r w:rsidR="00B16BFF">
        <w:rPr>
          <w:rFonts w:hint="cs"/>
          <w:rtl/>
        </w:rPr>
        <w:t xml:space="preserve"> </w:t>
      </w:r>
      <w:r w:rsidR="009E1CD8">
        <w:rPr>
          <w:rFonts w:hint="cs"/>
          <w:rtl/>
        </w:rPr>
        <w:t xml:space="preserve">המתוקן </w:t>
      </w:r>
      <w:r w:rsidR="00B16BFF">
        <w:rPr>
          <w:rFonts w:hint="cs"/>
          <w:rtl/>
        </w:rPr>
        <w:t xml:space="preserve">הכינו הנאשמים </w:t>
      </w:r>
      <w:r w:rsidR="00AE5B97">
        <w:rPr>
          <w:rFonts w:hint="cs"/>
          <w:rtl/>
        </w:rPr>
        <w:t xml:space="preserve">פנקסי חשבונות כוזבים </w:t>
      </w:r>
      <w:r w:rsidR="0014473F">
        <w:rPr>
          <w:rFonts w:hint="cs"/>
          <w:rtl/>
        </w:rPr>
        <w:t>כך שכללו בספרי הנאשמת את החשבוניות הכוזבות</w:t>
      </w:r>
      <w:r w:rsidR="00AE5B97">
        <w:rPr>
          <w:rFonts w:hint="cs"/>
          <w:rtl/>
        </w:rPr>
        <w:t xml:space="preserve"> </w:t>
      </w:r>
      <w:r w:rsidR="009E1CD8">
        <w:rPr>
          <w:rFonts w:hint="cs"/>
          <w:rtl/>
        </w:rPr>
        <w:t xml:space="preserve">כתשומות וזאת </w:t>
      </w:r>
      <w:r w:rsidR="003061BD">
        <w:rPr>
          <w:rFonts w:hint="cs"/>
          <w:rtl/>
        </w:rPr>
        <w:t xml:space="preserve">במטרה להתחמק מתשלום </w:t>
      </w:r>
      <w:r w:rsidR="0014473F">
        <w:rPr>
          <w:rFonts w:hint="cs"/>
          <w:rtl/>
        </w:rPr>
        <w:t>מס</w:t>
      </w:r>
      <w:r w:rsidR="003061BD">
        <w:rPr>
          <w:rFonts w:hint="cs"/>
          <w:rtl/>
        </w:rPr>
        <w:t xml:space="preserve">. </w:t>
      </w:r>
    </w:p>
    <w:p w:rsidR="0014473F" w:rsidP="0014473F" w:rsidRDefault="0014473F">
      <w:pPr>
        <w:pStyle w:val="10"/>
        <w:spacing w:line="360" w:lineRule="auto"/>
        <w:ind w:left="-142"/>
        <w:jc w:val="both"/>
        <w:rPr>
          <w:rtl/>
        </w:rPr>
      </w:pPr>
    </w:p>
    <w:p w:rsidR="00E909C9" w:rsidP="0014473F" w:rsidRDefault="00E909C9">
      <w:pPr>
        <w:pStyle w:val="10"/>
        <w:spacing w:line="360" w:lineRule="auto"/>
        <w:ind w:left="-142"/>
        <w:jc w:val="both"/>
        <w:rPr>
          <w:rtl/>
        </w:rPr>
      </w:pPr>
    </w:p>
    <w:p w:rsidR="00E909C9" w:rsidP="0014473F" w:rsidRDefault="00E909C9">
      <w:pPr>
        <w:pStyle w:val="10"/>
        <w:spacing w:line="360" w:lineRule="auto"/>
        <w:ind w:left="-142"/>
        <w:jc w:val="both"/>
        <w:rPr>
          <w:rtl/>
        </w:rPr>
      </w:pPr>
    </w:p>
    <w:p w:rsidRPr="0014473F" w:rsidR="00B22F6E" w:rsidP="0014473F" w:rsidRDefault="0014473F">
      <w:pPr>
        <w:pStyle w:val="10"/>
        <w:spacing w:line="360" w:lineRule="auto"/>
        <w:ind w:left="-142"/>
        <w:jc w:val="both"/>
        <w:rPr>
          <w:rtl/>
        </w:rPr>
      </w:pPr>
      <w:r>
        <w:rPr>
          <w:b/>
          <w:bCs/>
          <w:u w:val="single"/>
          <w:rtl/>
        </w:rPr>
        <w:t>הסדר הטיעון</w:t>
      </w:r>
    </w:p>
    <w:p w:rsidR="008B13D0" w:rsidP="000069F0" w:rsidRDefault="00D46116">
      <w:pPr>
        <w:pStyle w:val="10"/>
        <w:numPr>
          <w:ilvl w:val="0"/>
          <w:numId w:val="5"/>
        </w:numPr>
        <w:spacing w:line="360" w:lineRule="auto"/>
        <w:ind w:left="-142" w:firstLine="0"/>
        <w:jc w:val="both"/>
        <w:rPr>
          <w:b/>
          <w:bCs/>
          <w:u w:val="single"/>
        </w:rPr>
      </w:pPr>
      <w:r>
        <w:rPr>
          <w:rFonts w:hint="cs"/>
          <w:rtl/>
        </w:rPr>
        <w:t xml:space="preserve">בהמשך להליך גישור, </w:t>
      </w:r>
      <w:r w:rsidRPr="008257AC" w:rsidR="00B22F6E">
        <w:rPr>
          <w:rtl/>
        </w:rPr>
        <w:t xml:space="preserve">ביום </w:t>
      </w:r>
      <w:r w:rsidR="00C503E4">
        <w:rPr>
          <w:rFonts w:hint="cs"/>
          <w:rtl/>
        </w:rPr>
        <w:t>16.10.17</w:t>
      </w:r>
      <w:r w:rsidRPr="008257AC" w:rsidR="00B22F6E">
        <w:rPr>
          <w:rtl/>
        </w:rPr>
        <w:t xml:space="preserve"> </w:t>
      </w:r>
      <w:r w:rsidR="00B22F6E">
        <w:rPr>
          <w:rtl/>
        </w:rPr>
        <w:t xml:space="preserve">הגיעו </w:t>
      </w:r>
      <w:r w:rsidR="008B13D0">
        <w:rPr>
          <w:rFonts w:hint="cs"/>
          <w:rtl/>
        </w:rPr>
        <w:t xml:space="preserve">הצדדים </w:t>
      </w:r>
      <w:r w:rsidR="00B22F6E">
        <w:rPr>
          <w:rtl/>
        </w:rPr>
        <w:t xml:space="preserve">להסכמה לפיה יודה </w:t>
      </w:r>
      <w:r>
        <w:rPr>
          <w:rFonts w:hint="cs"/>
          <w:rtl/>
        </w:rPr>
        <w:t xml:space="preserve">הנאשם </w:t>
      </w:r>
      <w:r w:rsidR="00C503E4">
        <w:rPr>
          <w:rFonts w:hint="cs"/>
          <w:rtl/>
        </w:rPr>
        <w:t>בעובדות כתב האישום המתוקן</w:t>
      </w:r>
      <w:r w:rsidR="00B22F6E">
        <w:rPr>
          <w:rtl/>
        </w:rPr>
        <w:t xml:space="preserve"> בשמו ובשם הנאשמת</w:t>
      </w:r>
      <w:r w:rsidR="00C503E4">
        <w:rPr>
          <w:rFonts w:hint="cs"/>
          <w:rtl/>
        </w:rPr>
        <w:t xml:space="preserve"> ו</w:t>
      </w:r>
      <w:r>
        <w:rPr>
          <w:rFonts w:hint="cs"/>
          <w:rtl/>
        </w:rPr>
        <w:t xml:space="preserve">הנאשמים </w:t>
      </w:r>
      <w:r w:rsidR="00C503E4">
        <w:rPr>
          <w:rFonts w:hint="cs"/>
          <w:rtl/>
        </w:rPr>
        <w:t>יורשע</w:t>
      </w:r>
      <w:r>
        <w:rPr>
          <w:rFonts w:hint="cs"/>
          <w:rtl/>
        </w:rPr>
        <w:t>ו</w:t>
      </w:r>
      <w:r w:rsidR="009E1CD8">
        <w:rPr>
          <w:rFonts w:hint="cs"/>
          <w:rtl/>
        </w:rPr>
        <w:t xml:space="preserve">. כן הוסכם כי על הנאשם יוטל קנס בסך 100,000 ₪ </w:t>
      </w:r>
      <w:r w:rsidR="00B22F6E">
        <w:rPr>
          <w:rtl/>
        </w:rPr>
        <w:t xml:space="preserve">. </w:t>
      </w:r>
      <w:r>
        <w:rPr>
          <w:rFonts w:hint="cs"/>
          <w:rtl/>
        </w:rPr>
        <w:t>עוד</w:t>
      </w:r>
      <w:r w:rsidR="00C503E4">
        <w:rPr>
          <w:rFonts w:hint="cs"/>
          <w:rtl/>
        </w:rPr>
        <w:t xml:space="preserve"> הוסכם כי המאשימה תעתור לעונש של 24 חודשי מאסר בפועל</w:t>
      </w:r>
      <w:r w:rsidR="008B13D0">
        <w:rPr>
          <w:rFonts w:hint="cs"/>
          <w:rtl/>
        </w:rPr>
        <w:t xml:space="preserve"> לנאשם</w:t>
      </w:r>
      <w:r w:rsidR="00C503E4">
        <w:rPr>
          <w:rFonts w:hint="cs"/>
          <w:rtl/>
        </w:rPr>
        <w:t xml:space="preserve">, לצד מאסר על תנאי, </w:t>
      </w:r>
      <w:r>
        <w:rPr>
          <w:rFonts w:hint="cs"/>
          <w:rtl/>
        </w:rPr>
        <w:t xml:space="preserve">וקנס לנאשמת, אשר גובהו </w:t>
      </w:r>
      <w:r w:rsidR="008050B0">
        <w:rPr>
          <w:rFonts w:hint="cs"/>
          <w:rtl/>
        </w:rPr>
        <w:t xml:space="preserve">יקבע לפי </w:t>
      </w:r>
      <w:r w:rsidR="002F7E1E">
        <w:rPr>
          <w:rFonts w:hint="cs"/>
          <w:rtl/>
        </w:rPr>
        <w:t>שיקול דעת בית המשפט</w:t>
      </w:r>
      <w:r w:rsidR="00607C62">
        <w:rPr>
          <w:rFonts w:hint="cs"/>
          <w:rtl/>
        </w:rPr>
        <w:t>.</w:t>
      </w:r>
      <w:r w:rsidR="002F7E1E">
        <w:rPr>
          <w:rFonts w:hint="cs"/>
          <w:rtl/>
        </w:rPr>
        <w:t xml:space="preserve"> ב"כ הנאשם יהיה חופשי בטיעוניו </w:t>
      </w:r>
      <w:r>
        <w:rPr>
          <w:rFonts w:hint="cs"/>
          <w:rtl/>
        </w:rPr>
        <w:t xml:space="preserve">לעניין </w:t>
      </w:r>
      <w:r w:rsidR="002F7E1E">
        <w:rPr>
          <w:rFonts w:hint="cs"/>
          <w:rtl/>
        </w:rPr>
        <w:t xml:space="preserve">עונש המאסר </w:t>
      </w:r>
      <w:r w:rsidR="00607C62">
        <w:rPr>
          <w:rFonts w:hint="cs"/>
          <w:rtl/>
        </w:rPr>
        <w:t xml:space="preserve">אשר </w:t>
      </w:r>
      <w:r>
        <w:rPr>
          <w:rFonts w:hint="cs"/>
          <w:rtl/>
        </w:rPr>
        <w:t xml:space="preserve">יוטל על הנאשם ולעניין גובה הקנס אשר </w:t>
      </w:r>
      <w:r w:rsidR="002F7E1E">
        <w:rPr>
          <w:rFonts w:hint="cs"/>
          <w:rtl/>
        </w:rPr>
        <w:t xml:space="preserve">יוטל </w:t>
      </w:r>
      <w:r w:rsidR="00607C62">
        <w:rPr>
          <w:rFonts w:hint="cs"/>
          <w:rtl/>
        </w:rPr>
        <w:t xml:space="preserve">על הנאשמת. תקופת המאסר על תנאי אשר </w:t>
      </w:r>
      <w:r w:rsidR="000069F0">
        <w:rPr>
          <w:rFonts w:hint="cs"/>
          <w:rtl/>
        </w:rPr>
        <w:t>ת</w:t>
      </w:r>
      <w:r w:rsidR="002F7E1E">
        <w:rPr>
          <w:rFonts w:hint="cs"/>
          <w:rtl/>
        </w:rPr>
        <w:t xml:space="preserve">וטל על הנאשם </w:t>
      </w:r>
      <w:r w:rsidR="008B13D0">
        <w:rPr>
          <w:rFonts w:hint="cs"/>
          <w:rtl/>
        </w:rPr>
        <w:t>ת</w:t>
      </w:r>
      <w:r w:rsidR="00387B12">
        <w:rPr>
          <w:rFonts w:hint="cs"/>
          <w:rtl/>
        </w:rPr>
        <w:t xml:space="preserve">קבע לפי </w:t>
      </w:r>
      <w:r w:rsidR="002F7E1E">
        <w:rPr>
          <w:rFonts w:hint="cs"/>
          <w:rtl/>
        </w:rPr>
        <w:t xml:space="preserve">שיקול דעת בית המשפט. </w:t>
      </w:r>
    </w:p>
    <w:p w:rsidR="008B13D0" w:rsidP="008B13D0" w:rsidRDefault="008B13D0">
      <w:pPr>
        <w:pStyle w:val="10"/>
        <w:spacing w:line="360" w:lineRule="auto"/>
        <w:ind w:left="-142"/>
        <w:jc w:val="both"/>
        <w:rPr>
          <w:b/>
          <w:bCs/>
          <w:u w:val="single"/>
        </w:rPr>
      </w:pPr>
    </w:p>
    <w:p w:rsidR="008B13D0" w:rsidP="008B13D0" w:rsidRDefault="008B13D0">
      <w:pPr>
        <w:pStyle w:val="10"/>
        <w:spacing w:line="360" w:lineRule="auto"/>
        <w:ind w:left="-142"/>
        <w:jc w:val="both"/>
        <w:rPr>
          <w:b/>
          <w:bCs/>
          <w:u w:val="single"/>
        </w:rPr>
      </w:pPr>
      <w:r>
        <w:rPr>
          <w:rFonts w:hint="cs"/>
          <w:b/>
          <w:bCs/>
          <w:u w:val="single"/>
          <w:rtl/>
        </w:rPr>
        <w:t>טיעוני המאשימה</w:t>
      </w:r>
    </w:p>
    <w:p w:rsidR="004B5D27" w:rsidP="00E909C9" w:rsidRDefault="008B13D0">
      <w:pPr>
        <w:pStyle w:val="10"/>
        <w:numPr>
          <w:ilvl w:val="0"/>
          <w:numId w:val="5"/>
        </w:numPr>
        <w:spacing w:line="360" w:lineRule="auto"/>
        <w:ind w:left="-142" w:firstLine="0"/>
        <w:jc w:val="both"/>
      </w:pPr>
      <w:r>
        <w:rPr>
          <w:rFonts w:hint="cs"/>
          <w:rtl/>
        </w:rPr>
        <w:t>לטענת ב"כ המאשימה</w:t>
      </w:r>
      <w:r w:rsidR="0011693E">
        <w:rPr>
          <w:rFonts w:hint="cs"/>
          <w:rtl/>
        </w:rPr>
        <w:t xml:space="preserve"> </w:t>
      </w:r>
      <w:r>
        <w:rPr>
          <w:rFonts w:hint="cs"/>
          <w:rtl/>
        </w:rPr>
        <w:t xml:space="preserve">עובדות כתב האישום המתוקן מלמדות כי הנאשם </w:t>
      </w:r>
      <w:r w:rsidR="00607C62">
        <w:rPr>
          <w:rFonts w:hint="cs"/>
          <w:rtl/>
        </w:rPr>
        <w:t xml:space="preserve">פעל </w:t>
      </w:r>
      <w:r>
        <w:rPr>
          <w:rFonts w:hint="cs"/>
          <w:rtl/>
        </w:rPr>
        <w:t>בצורה שיטתית ומתמשכת וה</w:t>
      </w:r>
      <w:r w:rsidR="0011693E">
        <w:rPr>
          <w:rFonts w:hint="cs"/>
          <w:rtl/>
        </w:rPr>
        <w:t xml:space="preserve">דבר מעיד על מחשבה ותכנון בשונה ממעידה חד פעמית. </w:t>
      </w:r>
      <w:r>
        <w:rPr>
          <w:rFonts w:hint="cs"/>
          <w:rtl/>
        </w:rPr>
        <w:t xml:space="preserve">עוד ציינה כי </w:t>
      </w:r>
      <w:r w:rsidR="00F816FC">
        <w:rPr>
          <w:rFonts w:hint="cs"/>
          <w:rtl/>
        </w:rPr>
        <w:t xml:space="preserve">הנהנה העיקרי מפירות העבירה הוא הנאשם. </w:t>
      </w:r>
      <w:r>
        <w:rPr>
          <w:rFonts w:hint="cs"/>
          <w:rtl/>
        </w:rPr>
        <w:t>ב"כ המאשימה</w:t>
      </w:r>
      <w:r w:rsidR="00F816FC">
        <w:rPr>
          <w:rFonts w:hint="cs"/>
          <w:rtl/>
        </w:rPr>
        <w:t xml:space="preserve"> </w:t>
      </w:r>
      <w:r w:rsidR="00607C62">
        <w:rPr>
          <w:rFonts w:hint="cs"/>
          <w:rtl/>
        </w:rPr>
        <w:t>טענה</w:t>
      </w:r>
      <w:r w:rsidR="00F816FC">
        <w:rPr>
          <w:rFonts w:hint="cs"/>
          <w:rtl/>
        </w:rPr>
        <w:t xml:space="preserve"> כי </w:t>
      </w:r>
      <w:r>
        <w:rPr>
          <w:rFonts w:hint="cs"/>
          <w:rtl/>
        </w:rPr>
        <w:t>ה</w:t>
      </w:r>
      <w:r w:rsidR="00F816FC">
        <w:rPr>
          <w:rFonts w:hint="cs"/>
          <w:rtl/>
        </w:rPr>
        <w:t xml:space="preserve">מדובר בעבירות מס </w:t>
      </w:r>
      <w:r>
        <w:rPr>
          <w:rFonts w:hint="cs"/>
          <w:rtl/>
        </w:rPr>
        <w:t xml:space="preserve">שביצוען קל, גילוין קשה </w:t>
      </w:r>
      <w:r w:rsidR="00F816FC">
        <w:rPr>
          <w:rFonts w:hint="cs"/>
          <w:rtl/>
        </w:rPr>
        <w:t xml:space="preserve">ומטרתן </w:t>
      </w:r>
      <w:r>
        <w:rPr>
          <w:rFonts w:hint="cs"/>
          <w:rtl/>
        </w:rPr>
        <w:t xml:space="preserve">- </w:t>
      </w:r>
      <w:r w:rsidR="00F816FC">
        <w:rPr>
          <w:rFonts w:hint="cs"/>
          <w:rtl/>
        </w:rPr>
        <w:t xml:space="preserve">הפקת רווח כספי. ב"כ המאשימה </w:t>
      </w:r>
      <w:r w:rsidR="00607C62">
        <w:rPr>
          <w:rFonts w:hint="cs"/>
          <w:rtl/>
        </w:rPr>
        <w:t>הפנתה</w:t>
      </w:r>
      <w:r w:rsidR="00457E86">
        <w:rPr>
          <w:rFonts w:hint="cs"/>
          <w:rtl/>
        </w:rPr>
        <w:t xml:space="preserve"> </w:t>
      </w:r>
      <w:r>
        <w:rPr>
          <w:rFonts w:hint="cs"/>
          <w:rtl/>
        </w:rPr>
        <w:t>לפגיעה ב</w:t>
      </w:r>
      <w:r w:rsidR="008D151F">
        <w:rPr>
          <w:rtl/>
        </w:rPr>
        <w:t xml:space="preserve">ערכים </w:t>
      </w:r>
      <w:r w:rsidR="00B22F6E">
        <w:rPr>
          <w:rtl/>
        </w:rPr>
        <w:t xml:space="preserve">מוגנים </w:t>
      </w:r>
      <w:r>
        <w:rPr>
          <w:rFonts w:hint="cs"/>
          <w:rtl/>
        </w:rPr>
        <w:t>הכ</w:t>
      </w:r>
      <w:r w:rsidR="008D151F">
        <w:rPr>
          <w:rFonts w:hint="cs"/>
          <w:rtl/>
        </w:rPr>
        <w:t>וללת</w:t>
      </w:r>
      <w:r>
        <w:rPr>
          <w:rFonts w:hint="cs"/>
          <w:rtl/>
        </w:rPr>
        <w:t xml:space="preserve"> פגיעה</w:t>
      </w:r>
      <w:r w:rsidR="00457E86">
        <w:rPr>
          <w:rFonts w:hint="cs"/>
          <w:rtl/>
        </w:rPr>
        <w:t xml:space="preserve"> בשוויון נשיאת נטל המס, פגיעה בקופה הציבורית ובאפשרות המדינה לגבות מס אמת</w:t>
      </w:r>
      <w:r w:rsidR="00607C62">
        <w:rPr>
          <w:rFonts w:hint="cs"/>
          <w:rtl/>
        </w:rPr>
        <w:t>,</w:t>
      </w:r>
      <w:r w:rsidR="008D151F">
        <w:rPr>
          <w:rFonts w:hint="cs"/>
          <w:rtl/>
        </w:rPr>
        <w:t xml:space="preserve"> ו</w:t>
      </w:r>
      <w:r w:rsidR="00607C62">
        <w:rPr>
          <w:rFonts w:hint="cs"/>
          <w:rtl/>
        </w:rPr>
        <w:t xml:space="preserve">אף </w:t>
      </w:r>
      <w:r w:rsidR="008D151F">
        <w:rPr>
          <w:rFonts w:hint="cs"/>
          <w:rtl/>
        </w:rPr>
        <w:t>ציינה כי העבירות בהן הורשעו הנאשמים משבשות את מהלך הדיווח התקין לרשות המסים.</w:t>
      </w:r>
      <w:r w:rsidR="00457E86">
        <w:rPr>
          <w:rFonts w:hint="cs"/>
          <w:rtl/>
        </w:rPr>
        <w:t xml:space="preserve"> </w:t>
      </w:r>
      <w:r w:rsidR="008D151F">
        <w:rPr>
          <w:rFonts w:hint="cs"/>
          <w:rtl/>
        </w:rPr>
        <w:t xml:space="preserve">לטעמה במקרה זה נפגעו הערכים </w:t>
      </w:r>
      <w:r w:rsidR="00A56F7C">
        <w:rPr>
          <w:rFonts w:hint="cs"/>
          <w:rtl/>
        </w:rPr>
        <w:t>המוגנים במידה רבה</w:t>
      </w:r>
      <w:r w:rsidR="00607C62">
        <w:rPr>
          <w:rFonts w:hint="cs"/>
          <w:rtl/>
        </w:rPr>
        <w:t>,</w:t>
      </w:r>
      <w:r w:rsidR="00A56F7C">
        <w:rPr>
          <w:rFonts w:hint="cs"/>
          <w:rtl/>
        </w:rPr>
        <w:t xml:space="preserve"> לא</w:t>
      </w:r>
      <w:r w:rsidR="0011693E">
        <w:rPr>
          <w:rFonts w:hint="cs"/>
          <w:rtl/>
        </w:rPr>
        <w:t>ור נסיבות ביצוע העבירות</w:t>
      </w:r>
      <w:r w:rsidR="008D151F">
        <w:rPr>
          <w:rFonts w:hint="cs"/>
          <w:rtl/>
        </w:rPr>
        <w:t xml:space="preserve"> </w:t>
      </w:r>
      <w:r w:rsidR="00193511">
        <w:rPr>
          <w:rFonts w:hint="cs"/>
          <w:rtl/>
        </w:rPr>
        <w:t xml:space="preserve">והנזק המשמעותי לקופה הציבורית </w:t>
      </w:r>
      <w:r w:rsidR="008D151F">
        <w:rPr>
          <w:rFonts w:hint="cs"/>
          <w:rtl/>
        </w:rPr>
        <w:t>בסך של כ</w:t>
      </w:r>
      <w:r w:rsidR="00D63AE1">
        <w:rPr>
          <w:rFonts w:hint="cs"/>
          <w:rtl/>
        </w:rPr>
        <w:t>-</w:t>
      </w:r>
      <w:r w:rsidR="008D151F">
        <w:rPr>
          <w:rFonts w:hint="cs"/>
          <w:rtl/>
        </w:rPr>
        <w:t xml:space="preserve"> 1,700,000 ₪. </w:t>
      </w:r>
    </w:p>
    <w:p w:rsidR="008D151F" w:rsidP="008D151F" w:rsidRDefault="008D151F">
      <w:pPr>
        <w:pStyle w:val="10"/>
        <w:spacing w:line="360" w:lineRule="auto"/>
        <w:ind w:left="-142"/>
        <w:jc w:val="both"/>
      </w:pPr>
    </w:p>
    <w:p w:rsidR="00D02A79" w:rsidP="00607C62" w:rsidRDefault="00F816FC">
      <w:pPr>
        <w:pStyle w:val="10"/>
        <w:numPr>
          <w:ilvl w:val="0"/>
          <w:numId w:val="5"/>
        </w:numPr>
        <w:spacing w:line="360" w:lineRule="auto"/>
        <w:ind w:left="-142" w:firstLine="0"/>
        <w:jc w:val="both"/>
        <w:rPr>
          <w:b/>
          <w:bCs/>
          <w:u w:val="single"/>
        </w:rPr>
      </w:pPr>
      <w:r>
        <w:rPr>
          <w:rtl/>
        </w:rPr>
        <w:t xml:space="preserve">ב"כ המאשימה </w:t>
      </w:r>
      <w:r>
        <w:rPr>
          <w:rFonts w:hint="cs"/>
          <w:rtl/>
        </w:rPr>
        <w:t>ביקשה לראות את המפורט באישום הראשון ובאישום השני כאירוע אחד ועתרה לקבוע מתחם עונש בין 18 ל - 3</w:t>
      </w:r>
      <w:r w:rsidR="00607C62">
        <w:rPr>
          <w:rFonts w:hint="cs"/>
          <w:rtl/>
        </w:rPr>
        <w:t xml:space="preserve">6 חודשי מאסר בפועל. </w:t>
      </w:r>
      <w:r>
        <w:rPr>
          <w:rFonts w:hint="cs"/>
          <w:rtl/>
        </w:rPr>
        <w:t xml:space="preserve">כן עתרה למתחם קנס שנע בין 85,000 ₪ </w:t>
      </w:r>
      <w:r w:rsidR="008050B0">
        <w:rPr>
          <w:rFonts w:hint="cs"/>
          <w:rtl/>
        </w:rPr>
        <w:t>ל -</w:t>
      </w:r>
      <w:r>
        <w:rPr>
          <w:rFonts w:hint="cs"/>
          <w:rtl/>
        </w:rPr>
        <w:t xml:space="preserve"> 170,000 ₪.</w:t>
      </w:r>
      <w:r w:rsidRPr="00F816FC">
        <w:rPr>
          <w:rFonts w:hint="cs"/>
          <w:b/>
          <w:bCs/>
          <w:rtl/>
        </w:rPr>
        <w:t xml:space="preserve"> </w:t>
      </w:r>
      <w:r w:rsidRPr="00F816FC">
        <w:rPr>
          <w:rFonts w:hint="cs"/>
          <w:rtl/>
        </w:rPr>
        <w:t>ב</w:t>
      </w:r>
      <w:r>
        <w:rPr>
          <w:rFonts w:hint="cs"/>
          <w:rtl/>
        </w:rPr>
        <w:t xml:space="preserve">"כ </w:t>
      </w:r>
      <w:r w:rsidR="008D151F">
        <w:rPr>
          <w:rFonts w:hint="cs"/>
          <w:rtl/>
        </w:rPr>
        <w:t xml:space="preserve">המאשימה הגישה טבלת פסיקה לתמיכה בעמדתה </w:t>
      </w:r>
      <w:r w:rsidRPr="00F816FC">
        <w:rPr>
          <w:rFonts w:hint="cs"/>
          <w:rtl/>
        </w:rPr>
        <w:t xml:space="preserve">ועתרה למקם את הנאשם באמצע </w:t>
      </w:r>
      <w:r w:rsidR="008D151F">
        <w:rPr>
          <w:rFonts w:hint="cs"/>
          <w:rtl/>
        </w:rPr>
        <w:t>ה</w:t>
      </w:r>
      <w:r w:rsidRPr="00F816FC">
        <w:rPr>
          <w:rFonts w:hint="cs"/>
          <w:rtl/>
        </w:rPr>
        <w:t xml:space="preserve">מתחם </w:t>
      </w:r>
      <w:r w:rsidR="008D151F">
        <w:rPr>
          <w:rFonts w:hint="cs"/>
          <w:rtl/>
        </w:rPr>
        <w:t xml:space="preserve">ולגזור </w:t>
      </w:r>
      <w:r w:rsidR="00607C62">
        <w:rPr>
          <w:rFonts w:hint="cs"/>
          <w:rtl/>
        </w:rPr>
        <w:t xml:space="preserve">עליו </w:t>
      </w:r>
      <w:r w:rsidR="008D151F">
        <w:rPr>
          <w:rFonts w:hint="cs"/>
          <w:rtl/>
        </w:rPr>
        <w:t>עונש של</w:t>
      </w:r>
      <w:r w:rsidRPr="00F816FC">
        <w:rPr>
          <w:rFonts w:hint="cs"/>
          <w:rtl/>
        </w:rPr>
        <w:t xml:space="preserve"> 24 חודשי מאסר בפועל. </w:t>
      </w:r>
      <w:r w:rsidR="008D151F">
        <w:rPr>
          <w:rFonts w:hint="cs"/>
          <w:rtl/>
        </w:rPr>
        <w:t xml:space="preserve">עוד הפנתה לכך שהמאשימה שקלה </w:t>
      </w:r>
      <w:r>
        <w:rPr>
          <w:rFonts w:hint="cs"/>
          <w:rtl/>
        </w:rPr>
        <w:t xml:space="preserve"> לקולא </w:t>
      </w:r>
      <w:r w:rsidR="008D151F">
        <w:rPr>
          <w:rFonts w:hint="cs"/>
          <w:rtl/>
        </w:rPr>
        <w:t>את הודיית הנאשם וחסכון הזמן השיפוטי על ידו</w:t>
      </w:r>
      <w:r w:rsidR="00ED1E6A">
        <w:rPr>
          <w:rFonts w:hint="cs"/>
          <w:rtl/>
        </w:rPr>
        <w:t xml:space="preserve"> וכן </w:t>
      </w:r>
      <w:r w:rsidR="008D151F">
        <w:rPr>
          <w:rFonts w:hint="cs"/>
          <w:rtl/>
        </w:rPr>
        <w:t xml:space="preserve">את </w:t>
      </w:r>
      <w:r w:rsidR="00ED1E6A">
        <w:rPr>
          <w:rFonts w:hint="cs"/>
          <w:rtl/>
        </w:rPr>
        <w:t xml:space="preserve">העובדה שהנאשם נעדר עבר פלילי. </w:t>
      </w:r>
      <w:r w:rsidR="00607C62">
        <w:rPr>
          <w:rFonts w:hint="cs"/>
          <w:rtl/>
        </w:rPr>
        <w:t xml:space="preserve">מנגד, לחומרה </w:t>
      </w:r>
      <w:r w:rsidR="008D151F">
        <w:rPr>
          <w:rFonts w:hint="cs"/>
          <w:rtl/>
        </w:rPr>
        <w:t>לטענתה</w:t>
      </w:r>
      <w:r w:rsidR="00607C62">
        <w:rPr>
          <w:rFonts w:hint="cs"/>
          <w:rtl/>
        </w:rPr>
        <w:t>,</w:t>
      </w:r>
      <w:r w:rsidR="008D151F">
        <w:rPr>
          <w:rFonts w:hint="cs"/>
          <w:rtl/>
        </w:rPr>
        <w:t xml:space="preserve"> </w:t>
      </w:r>
      <w:r w:rsidR="00715D6D">
        <w:rPr>
          <w:rFonts w:hint="cs"/>
          <w:rtl/>
        </w:rPr>
        <w:t xml:space="preserve">יש לשקול את העובדה שהנאשם לא הסיר את המחדלים ובכך </w:t>
      </w:r>
      <w:r w:rsidR="008D151F">
        <w:rPr>
          <w:rFonts w:hint="cs"/>
          <w:rtl/>
        </w:rPr>
        <w:t xml:space="preserve">לטענתה </w:t>
      </w:r>
      <w:r w:rsidR="00715D6D">
        <w:rPr>
          <w:rFonts w:hint="cs"/>
          <w:rtl/>
        </w:rPr>
        <w:t xml:space="preserve">לא הביע חרטה על מעשיו וכן את ריבוי העבירות ומשך התקופה שבוצעו בה. </w:t>
      </w:r>
      <w:r w:rsidR="00193511">
        <w:rPr>
          <w:rFonts w:hint="cs"/>
          <w:rtl/>
        </w:rPr>
        <w:t xml:space="preserve">ב"כ המאשימה ציינה כי הלכה היא כי בעבירות מסוג זה משקלן של נסיבות אישיות וכלכליות אינו רב, ואף ציינה כי אין בעניינו של הנאשם נסיבות אישיות יוצאות דופן. כמו כן הפנתה לחשיבות הרתעת הרבים </w:t>
      </w:r>
      <w:r w:rsidR="00D02A79">
        <w:rPr>
          <w:rFonts w:hint="cs"/>
          <w:rtl/>
        </w:rPr>
        <w:t>ולכך ש</w:t>
      </w:r>
      <w:r w:rsidR="00193511">
        <w:rPr>
          <w:rFonts w:hint="cs"/>
          <w:rtl/>
        </w:rPr>
        <w:t xml:space="preserve">נקבע כי בהחמרת הענישה בעבירות כלכליות יש כדי להגבירה.  </w:t>
      </w:r>
      <w:r w:rsidR="00715D6D">
        <w:rPr>
          <w:rFonts w:hint="cs"/>
          <w:rtl/>
        </w:rPr>
        <w:t xml:space="preserve">בנוסף </w:t>
      </w:r>
      <w:r w:rsidR="00607C62">
        <w:rPr>
          <w:rFonts w:hint="cs"/>
          <w:rtl/>
        </w:rPr>
        <w:t>ציינה</w:t>
      </w:r>
      <w:r w:rsidR="00715D6D">
        <w:rPr>
          <w:rFonts w:hint="cs"/>
          <w:rtl/>
        </w:rPr>
        <w:t xml:space="preserve"> לחומרה את התנהלות הנאשם במהלך ניהול התיק, </w:t>
      </w:r>
      <w:r w:rsidR="008D151F">
        <w:rPr>
          <w:rFonts w:hint="cs"/>
          <w:rtl/>
        </w:rPr>
        <w:t>אשר לא</w:t>
      </w:r>
      <w:r w:rsidR="00715D6D">
        <w:rPr>
          <w:rFonts w:hint="cs"/>
          <w:rtl/>
        </w:rPr>
        <w:t xml:space="preserve"> התייצב לפחות לארבעה דיונים. בנוגע לקנס, עתרה בהתאם להסדר הטיעון כי יוטל על הנאשם קנס בסך 100,000 ₪</w:t>
      </w:r>
      <w:r w:rsidR="00607C62">
        <w:rPr>
          <w:rFonts w:hint="cs"/>
          <w:rtl/>
        </w:rPr>
        <w:t xml:space="preserve"> ועל הנאשמת קנס בהתאם למתחם לו עתרה</w:t>
      </w:r>
      <w:r w:rsidR="00715D6D">
        <w:rPr>
          <w:rFonts w:hint="cs"/>
          <w:rtl/>
        </w:rPr>
        <w:t xml:space="preserve">. עוד </w:t>
      </w:r>
      <w:r w:rsidR="00607C62">
        <w:rPr>
          <w:rFonts w:hint="cs"/>
          <w:rtl/>
        </w:rPr>
        <w:t>ביקשה</w:t>
      </w:r>
      <w:r w:rsidR="00715D6D">
        <w:rPr>
          <w:rFonts w:hint="cs"/>
          <w:rtl/>
        </w:rPr>
        <w:t xml:space="preserve"> להטיל על הנאשם מאסר על תנאי שאורכו יקבע לפי שיקול דעת בית המשפט. </w:t>
      </w:r>
    </w:p>
    <w:p w:rsidR="00E909C9" w:rsidRDefault="00E909C9">
      <w:pPr>
        <w:bidi w:val="0"/>
        <w:rPr>
          <w:rFonts w:hint="cs"/>
          <w:b/>
          <w:bCs/>
          <w:u w:val="single"/>
        </w:rPr>
      </w:pPr>
    </w:p>
    <w:p w:rsidR="00D02A79" w:rsidP="00D02A79" w:rsidRDefault="00D02A79">
      <w:pPr>
        <w:pStyle w:val="10"/>
        <w:spacing w:line="360" w:lineRule="auto"/>
        <w:ind w:left="-142"/>
        <w:jc w:val="both"/>
        <w:rPr>
          <w:b/>
          <w:bCs/>
          <w:u w:val="single"/>
          <w:rtl/>
        </w:rPr>
      </w:pPr>
    </w:p>
    <w:p w:rsidR="00D02A79" w:rsidP="00D02A79" w:rsidRDefault="00D02A79">
      <w:pPr>
        <w:pStyle w:val="10"/>
        <w:spacing w:line="360" w:lineRule="auto"/>
        <w:ind w:left="-142"/>
        <w:jc w:val="both"/>
        <w:rPr>
          <w:b/>
          <w:bCs/>
          <w:u w:val="single"/>
          <w:rtl/>
        </w:rPr>
      </w:pPr>
      <w:r>
        <w:rPr>
          <w:b/>
          <w:bCs/>
          <w:u w:val="single"/>
          <w:rtl/>
        </w:rPr>
        <w:t>טיעוני ב"כ הנאש</w:t>
      </w:r>
      <w:r>
        <w:rPr>
          <w:rFonts w:hint="cs"/>
          <w:b/>
          <w:bCs/>
          <w:u w:val="single"/>
          <w:rtl/>
        </w:rPr>
        <w:t>מי</w:t>
      </w:r>
      <w:r>
        <w:rPr>
          <w:b/>
          <w:bCs/>
          <w:u w:val="single"/>
          <w:rtl/>
        </w:rPr>
        <w:t>ם</w:t>
      </w:r>
    </w:p>
    <w:p w:rsidR="000D5D1A" w:rsidP="007D7B97" w:rsidRDefault="00B22F6E">
      <w:pPr>
        <w:pStyle w:val="10"/>
        <w:numPr>
          <w:ilvl w:val="0"/>
          <w:numId w:val="5"/>
        </w:numPr>
        <w:spacing w:line="360" w:lineRule="auto"/>
        <w:ind w:left="-142" w:firstLine="0"/>
        <w:jc w:val="both"/>
        <w:rPr>
          <w:b/>
          <w:bCs/>
          <w:u w:val="single"/>
          <w:rtl/>
        </w:rPr>
      </w:pPr>
      <w:r>
        <w:rPr>
          <w:rtl/>
        </w:rPr>
        <w:t>ב"כ הנאש</w:t>
      </w:r>
      <w:r w:rsidR="00E909C9">
        <w:rPr>
          <w:rFonts w:hint="cs"/>
          <w:rtl/>
        </w:rPr>
        <w:t>מי</w:t>
      </w:r>
      <w:r>
        <w:rPr>
          <w:rtl/>
        </w:rPr>
        <w:t xml:space="preserve">ם ציין כי הנאשם </w:t>
      </w:r>
      <w:r w:rsidR="00392A11">
        <w:rPr>
          <w:rFonts w:hint="cs"/>
          <w:rtl/>
        </w:rPr>
        <w:t xml:space="preserve">שיתף פעולה כבר בשלב החקירה, בבית המשפט </w:t>
      </w:r>
      <w:r>
        <w:rPr>
          <w:rtl/>
        </w:rPr>
        <w:t>הודה במי</w:t>
      </w:r>
      <w:r w:rsidR="00392A11">
        <w:rPr>
          <w:rtl/>
        </w:rPr>
        <w:t>וחס לו</w:t>
      </w:r>
      <w:r w:rsidR="00392A11">
        <w:rPr>
          <w:rFonts w:hint="cs"/>
          <w:rtl/>
        </w:rPr>
        <w:t xml:space="preserve">, </w:t>
      </w:r>
      <w:r>
        <w:rPr>
          <w:rtl/>
        </w:rPr>
        <w:t>לקח אחריות על מעשיו</w:t>
      </w:r>
      <w:r w:rsidR="00392A11">
        <w:rPr>
          <w:rFonts w:hint="cs"/>
          <w:rtl/>
        </w:rPr>
        <w:t>, חסך זמן שיפוטי יקר והוא נעדר עבר פלילי, אדם נורמטיבי המנהל חייו באופן תקין</w:t>
      </w:r>
      <w:r>
        <w:rPr>
          <w:rtl/>
        </w:rPr>
        <w:t xml:space="preserve">. </w:t>
      </w:r>
      <w:r w:rsidR="00392A11">
        <w:rPr>
          <w:rFonts w:hint="cs"/>
          <w:rtl/>
        </w:rPr>
        <w:t xml:space="preserve">לטענתו, התנהלות הנאשם מול קבלני המשנה, שלא הייתה תקינה, נבעה מתום לב. </w:t>
      </w:r>
      <w:r w:rsidR="0057209F">
        <w:rPr>
          <w:rFonts w:hint="cs"/>
          <w:rtl/>
        </w:rPr>
        <w:t xml:space="preserve">ב"כ הנאשם </w:t>
      </w:r>
      <w:r w:rsidR="00392A11">
        <w:rPr>
          <w:rFonts w:hint="cs"/>
          <w:rtl/>
        </w:rPr>
        <w:t xml:space="preserve">חלק על היות העבירות אשר בוצעו קשות לגילוי, בשל כך שכיום מוגשים דוחות המע"מ באופן מקוון. ב"כ הנאשם </w:t>
      </w:r>
      <w:r w:rsidR="0057209F">
        <w:rPr>
          <w:rFonts w:hint="cs"/>
          <w:rtl/>
        </w:rPr>
        <w:t xml:space="preserve">הפנה לכך שהנאשם בן 47 נשוי ואב לשלושה קטינים, אשתו עקרת בית והוא המפרנס היחיד במשפחה. עוד טען כי הנאשם מעסיק עובדים רבים תושבי השטחים ומשך עונש המאסר </w:t>
      </w:r>
      <w:r w:rsidR="00392A11">
        <w:rPr>
          <w:rFonts w:hint="cs"/>
          <w:rtl/>
        </w:rPr>
        <w:t>אשר ייגזר עליו יפגע בעובדיו</w:t>
      </w:r>
      <w:r w:rsidR="0057209F">
        <w:rPr>
          <w:rFonts w:hint="cs"/>
          <w:rtl/>
        </w:rPr>
        <w:t>.</w:t>
      </w:r>
      <w:r w:rsidR="00641768">
        <w:rPr>
          <w:rFonts w:hint="cs"/>
          <w:rtl/>
        </w:rPr>
        <w:t xml:space="preserve"> </w:t>
      </w:r>
      <w:r w:rsidR="00FF6F62">
        <w:rPr>
          <w:rFonts w:hint="cs"/>
          <w:rtl/>
        </w:rPr>
        <w:t xml:space="preserve">ב"כ הנאשם ציין </w:t>
      </w:r>
      <w:r w:rsidR="00665775">
        <w:rPr>
          <w:rFonts w:hint="cs"/>
          <w:rtl/>
        </w:rPr>
        <w:t xml:space="preserve">כי הנאשמת פעילה </w:t>
      </w:r>
      <w:r w:rsidR="004A475D">
        <w:rPr>
          <w:rFonts w:hint="cs"/>
          <w:rtl/>
        </w:rPr>
        <w:t xml:space="preserve">גם </w:t>
      </w:r>
      <w:r w:rsidR="00665775">
        <w:rPr>
          <w:rFonts w:hint="cs"/>
          <w:rtl/>
        </w:rPr>
        <w:t>כיום ו</w:t>
      </w:r>
      <w:r w:rsidR="00FF6F62">
        <w:rPr>
          <w:rFonts w:hint="cs"/>
          <w:rtl/>
        </w:rPr>
        <w:t xml:space="preserve">כי </w:t>
      </w:r>
      <w:r w:rsidR="00665775">
        <w:rPr>
          <w:rFonts w:hint="cs"/>
          <w:rtl/>
        </w:rPr>
        <w:t xml:space="preserve">הנאשם נעדר ממספר דיונים </w:t>
      </w:r>
      <w:r w:rsidR="00FF6F62">
        <w:rPr>
          <w:rFonts w:hint="cs"/>
          <w:rtl/>
        </w:rPr>
        <w:t>לאור</w:t>
      </w:r>
      <w:r w:rsidR="004A475D">
        <w:rPr>
          <w:rFonts w:hint="cs"/>
          <w:rtl/>
        </w:rPr>
        <w:t xml:space="preserve"> קשיים ולחץ בעבודה. לטענתו, </w:t>
      </w:r>
      <w:r w:rsidR="00FF6F62">
        <w:rPr>
          <w:rFonts w:hint="cs"/>
          <w:rtl/>
        </w:rPr>
        <w:t xml:space="preserve">לנאשמת ולנאשם </w:t>
      </w:r>
      <w:r w:rsidR="00665775">
        <w:rPr>
          <w:rFonts w:hint="cs"/>
          <w:rtl/>
        </w:rPr>
        <w:t xml:space="preserve">חובות רבים </w:t>
      </w:r>
      <w:r w:rsidR="00FF6F62">
        <w:rPr>
          <w:rFonts w:hint="cs"/>
          <w:rtl/>
        </w:rPr>
        <w:t>הגם ש</w:t>
      </w:r>
      <w:r w:rsidR="00665775">
        <w:rPr>
          <w:rFonts w:hint="cs"/>
          <w:rtl/>
        </w:rPr>
        <w:t xml:space="preserve">לא הצליח </w:t>
      </w:r>
      <w:r w:rsidR="004A475D">
        <w:rPr>
          <w:rFonts w:hint="cs"/>
          <w:rtl/>
        </w:rPr>
        <w:t xml:space="preserve">להציג </w:t>
      </w:r>
      <w:r w:rsidR="00665775">
        <w:rPr>
          <w:rFonts w:hint="cs"/>
          <w:rtl/>
        </w:rPr>
        <w:t xml:space="preserve">אישור מרואה החשבון </w:t>
      </w:r>
      <w:r w:rsidR="005E2F6C">
        <w:rPr>
          <w:rFonts w:hint="cs"/>
          <w:rtl/>
        </w:rPr>
        <w:t>בעניין</w:t>
      </w:r>
      <w:r w:rsidR="00FF6F62">
        <w:rPr>
          <w:rFonts w:hint="cs"/>
          <w:rtl/>
        </w:rPr>
        <w:t xml:space="preserve">. יחד עם זאת ציין כי מצבה של הנאשמת תקין </w:t>
      </w:r>
      <w:r w:rsidR="005E2F6C">
        <w:rPr>
          <w:rFonts w:hint="cs"/>
          <w:rtl/>
        </w:rPr>
        <w:t>למרות</w:t>
      </w:r>
      <w:r w:rsidR="00FF6F62">
        <w:rPr>
          <w:rFonts w:hint="cs"/>
          <w:rtl/>
        </w:rPr>
        <w:t xml:space="preserve"> התחייבויות</w:t>
      </w:r>
      <w:r w:rsidR="005E2F6C">
        <w:rPr>
          <w:rFonts w:hint="cs"/>
          <w:rtl/>
        </w:rPr>
        <w:t>יה</w:t>
      </w:r>
      <w:r w:rsidR="00FF6F62">
        <w:rPr>
          <w:rFonts w:hint="cs"/>
          <w:rtl/>
        </w:rPr>
        <w:t xml:space="preserve"> </w:t>
      </w:r>
      <w:r w:rsidR="005E2F6C">
        <w:rPr>
          <w:rFonts w:hint="cs"/>
          <w:rtl/>
        </w:rPr>
        <w:t>ה</w:t>
      </w:r>
      <w:r w:rsidR="00FF6F62">
        <w:rPr>
          <w:rFonts w:hint="cs"/>
          <w:rtl/>
        </w:rPr>
        <w:t>רבות ואף ציין כי ברצונו של הנאשם לפנות לרשות המסים להסדרת המחדל</w:t>
      </w:r>
      <w:r w:rsidR="005E2F6C">
        <w:rPr>
          <w:rFonts w:hint="cs"/>
          <w:rtl/>
        </w:rPr>
        <w:t>, יתכן שלאחר ריצוי עונש המאסר שייגזר עליו</w:t>
      </w:r>
      <w:r w:rsidR="00FF6F62">
        <w:rPr>
          <w:rFonts w:hint="cs"/>
          <w:rtl/>
        </w:rPr>
        <w:t xml:space="preserve">. בנסיבות אלה  עתר להטיל על הנאשם עונש מאסר ברף המינימלי ולדחות את מועד ריצויו לתקופה ראויה במהלכה הנאשם ינסה להסדיר את ענייניו. </w:t>
      </w:r>
    </w:p>
    <w:p w:rsidR="00FF6F62" w:rsidP="00FF6F62" w:rsidRDefault="00FF6F62">
      <w:pPr>
        <w:pStyle w:val="10"/>
        <w:spacing w:line="360" w:lineRule="auto"/>
        <w:ind w:left="-142"/>
        <w:jc w:val="both"/>
        <w:rPr>
          <w:b/>
          <w:bCs/>
          <w:u w:val="single"/>
          <w:rtl/>
        </w:rPr>
      </w:pPr>
    </w:p>
    <w:p w:rsidR="00FF6F62" w:rsidP="00FF6F62" w:rsidRDefault="00FF6F62">
      <w:pPr>
        <w:pStyle w:val="10"/>
        <w:spacing w:line="360" w:lineRule="auto"/>
        <w:ind w:left="-142"/>
        <w:jc w:val="both"/>
        <w:rPr>
          <w:b/>
          <w:bCs/>
          <w:u w:val="single"/>
          <w:rtl/>
        </w:rPr>
      </w:pPr>
      <w:r>
        <w:rPr>
          <w:rFonts w:hint="cs"/>
          <w:b/>
          <w:bCs/>
          <w:u w:val="single"/>
          <w:rtl/>
        </w:rPr>
        <w:t>דבר הנאשם</w:t>
      </w:r>
    </w:p>
    <w:p w:rsidR="00B22F6E" w:rsidP="00FF6F62" w:rsidRDefault="00B22F6E">
      <w:pPr>
        <w:pStyle w:val="10"/>
        <w:numPr>
          <w:ilvl w:val="0"/>
          <w:numId w:val="5"/>
        </w:numPr>
        <w:spacing w:line="360" w:lineRule="auto"/>
        <w:ind w:left="-142" w:firstLine="0"/>
        <w:jc w:val="both"/>
        <w:rPr>
          <w:b/>
          <w:bCs/>
          <w:u w:val="single"/>
        </w:rPr>
      </w:pPr>
      <w:r>
        <w:rPr>
          <w:rtl/>
        </w:rPr>
        <w:t xml:space="preserve">הנאשם </w:t>
      </w:r>
      <w:r w:rsidR="00665775">
        <w:rPr>
          <w:rFonts w:hint="cs"/>
          <w:rtl/>
        </w:rPr>
        <w:t xml:space="preserve">התנצל </w:t>
      </w:r>
      <w:r w:rsidR="00470A3B">
        <w:rPr>
          <w:rFonts w:hint="cs"/>
          <w:rtl/>
        </w:rPr>
        <w:t xml:space="preserve">על מעשיו </w:t>
      </w:r>
      <w:r w:rsidR="000D5D1A">
        <w:rPr>
          <w:rFonts w:hint="cs"/>
          <w:rtl/>
        </w:rPr>
        <w:t>וטען כי היו לו קבלני משנה</w:t>
      </w:r>
      <w:r w:rsidR="004A7507">
        <w:rPr>
          <w:rFonts w:hint="cs"/>
          <w:rtl/>
        </w:rPr>
        <w:t xml:space="preserve"> מהם הוא קיבל את החשבוניות הפיקטיביו</w:t>
      </w:r>
      <w:r w:rsidR="004A7507">
        <w:rPr>
          <w:rFonts w:hint="eastAsia"/>
          <w:rtl/>
        </w:rPr>
        <w:t>ת</w:t>
      </w:r>
      <w:r w:rsidR="000D5D1A">
        <w:rPr>
          <w:rFonts w:hint="cs"/>
          <w:rtl/>
        </w:rPr>
        <w:t xml:space="preserve">. </w:t>
      </w:r>
    </w:p>
    <w:p w:rsidR="00470A3B" w:rsidP="00470A3B" w:rsidRDefault="00470A3B">
      <w:pPr>
        <w:pStyle w:val="10"/>
        <w:spacing w:line="360" w:lineRule="auto"/>
        <w:ind w:left="-142"/>
        <w:jc w:val="both"/>
        <w:rPr>
          <w:b/>
          <w:bCs/>
          <w:u w:val="single"/>
          <w:rtl/>
        </w:rPr>
      </w:pPr>
    </w:p>
    <w:p w:rsidR="00470A3B" w:rsidP="00470A3B" w:rsidRDefault="00470A3B">
      <w:pPr>
        <w:pStyle w:val="10"/>
        <w:spacing w:line="360" w:lineRule="auto"/>
        <w:ind w:left="-142"/>
        <w:jc w:val="both"/>
        <w:rPr>
          <w:b/>
          <w:bCs/>
          <w:u w:val="single"/>
          <w:rtl/>
        </w:rPr>
      </w:pPr>
      <w:r>
        <w:rPr>
          <w:rFonts w:hint="cs"/>
          <w:b/>
          <w:bCs/>
          <w:u w:val="single"/>
          <w:rtl/>
        </w:rPr>
        <w:t xml:space="preserve">דיון והכרעה </w:t>
      </w:r>
    </w:p>
    <w:p w:rsidR="00470A3B" w:rsidP="005E2F6C" w:rsidRDefault="00470A3B">
      <w:pPr>
        <w:pStyle w:val="10"/>
        <w:numPr>
          <w:ilvl w:val="0"/>
          <w:numId w:val="5"/>
        </w:numPr>
        <w:spacing w:line="360" w:lineRule="auto"/>
        <w:ind w:left="-142" w:firstLine="0"/>
        <w:jc w:val="both"/>
        <w:rPr>
          <w:b/>
          <w:bCs/>
          <w:u w:val="single"/>
          <w:rtl/>
        </w:rPr>
      </w:pPr>
      <w:r w:rsidRPr="00470A3B">
        <w:rPr>
          <w:rFonts w:hint="cs"/>
          <w:rtl/>
        </w:rPr>
        <w:t xml:space="preserve">במקרה דנן הגיעו הצדדים להסדר </w:t>
      </w:r>
      <w:r>
        <w:rPr>
          <w:rFonts w:hint="cs"/>
          <w:rtl/>
        </w:rPr>
        <w:t>טיעון</w:t>
      </w:r>
      <w:r w:rsidR="005E2F6C">
        <w:rPr>
          <w:rFonts w:hint="cs"/>
          <w:rtl/>
        </w:rPr>
        <w:t xml:space="preserve"> כמפורט לעיל</w:t>
      </w:r>
      <w:r>
        <w:rPr>
          <w:rFonts w:hint="cs"/>
          <w:rtl/>
        </w:rPr>
        <w:t>. באשר לעונש המאסר הגבילה עצמה המאשימה ל</w:t>
      </w:r>
      <w:r w:rsidR="00A75A66">
        <w:rPr>
          <w:rFonts w:hint="cs"/>
          <w:rtl/>
        </w:rPr>
        <w:t>-</w:t>
      </w:r>
      <w:r>
        <w:rPr>
          <w:rFonts w:hint="cs"/>
          <w:rtl/>
        </w:rPr>
        <w:t xml:space="preserve"> 24 חודשי מ</w:t>
      </w:r>
      <w:r w:rsidR="00A01FAF">
        <w:rPr>
          <w:rFonts w:hint="cs"/>
          <w:rtl/>
        </w:rPr>
        <w:t>אסר בפועל וההגנה נשארה חופשיה בטיעוניה</w:t>
      </w:r>
      <w:r w:rsidR="00D02A79">
        <w:rPr>
          <w:rFonts w:hint="cs"/>
          <w:rtl/>
        </w:rPr>
        <w:t>. אין המדובר בטווח ענישה</w:t>
      </w:r>
      <w:r w:rsidR="005E2F6C">
        <w:rPr>
          <w:rFonts w:hint="cs"/>
          <w:rtl/>
        </w:rPr>
        <w:t xml:space="preserve"> והמאשימה בטיעוניה הפנתה למתחם העונש ההולם לטעמה</w:t>
      </w:r>
      <w:r w:rsidR="00A01FAF">
        <w:rPr>
          <w:rFonts w:hint="cs"/>
          <w:rtl/>
        </w:rPr>
        <w:t xml:space="preserve">. </w:t>
      </w:r>
    </w:p>
    <w:p w:rsidRPr="00470A3B" w:rsidR="00470A3B" w:rsidP="005E2F6C" w:rsidRDefault="00470A3B">
      <w:pPr>
        <w:pStyle w:val="10"/>
        <w:spacing w:line="360" w:lineRule="auto"/>
        <w:ind w:left="0"/>
        <w:jc w:val="both"/>
        <w:rPr>
          <w:b/>
          <w:bCs/>
          <w:u w:val="single"/>
        </w:rPr>
      </w:pPr>
    </w:p>
    <w:p w:rsidRPr="00ED7500" w:rsidR="00C911A0" w:rsidP="005E2F6C" w:rsidRDefault="00B22F6E">
      <w:pPr>
        <w:pStyle w:val="10"/>
        <w:numPr>
          <w:ilvl w:val="0"/>
          <w:numId w:val="5"/>
        </w:numPr>
        <w:spacing w:line="360" w:lineRule="auto"/>
        <w:ind w:left="-142" w:firstLine="0"/>
        <w:jc w:val="both"/>
        <w:rPr>
          <w:b/>
          <w:bCs/>
          <w:u w:val="single"/>
        </w:rPr>
      </w:pPr>
      <w:r>
        <w:rPr>
          <w:rtl/>
        </w:rPr>
        <w:t>קביעת מתחם העונש ההולם נעשית על פי עקרון ההלימה. במסגרת קביעה זו יש להתחשב בערך החברתי אשר נפגע, במידת הפגיעה בו, במדיניות הענישה הנוהגת ובנסיבות ביצוע העבירה. ב</w:t>
      </w:r>
      <w:hyperlink w:history="1" r:id="rId11">
        <w:r w:rsidRPr="00ED7500">
          <w:rPr>
            <w:rtl/>
          </w:rPr>
          <w:t>ת"פ</w:t>
        </w:r>
        <w:r w:rsidR="00631501">
          <w:rPr>
            <w:rFonts w:hint="cs"/>
            <w:rtl/>
          </w:rPr>
          <w:t xml:space="preserve"> (</w:t>
        </w:r>
        <w:r w:rsidR="005E2F6C">
          <w:rPr>
            <w:rFonts w:hint="cs"/>
            <w:rtl/>
          </w:rPr>
          <w:t xml:space="preserve">שלום - </w:t>
        </w:r>
        <w:r w:rsidR="00631501">
          <w:rPr>
            <w:rFonts w:hint="cs"/>
            <w:rtl/>
          </w:rPr>
          <w:t>ת"א)</w:t>
        </w:r>
        <w:r w:rsidRPr="00ED7500">
          <w:rPr>
            <w:rtl/>
          </w:rPr>
          <w:t xml:space="preserve"> 13528-09-15</w:t>
        </w:r>
      </w:hyperlink>
      <w:r>
        <w:rPr>
          <w:rtl/>
        </w:rPr>
        <w:t xml:space="preserve"> </w:t>
      </w:r>
      <w:r w:rsidRPr="00ED7500">
        <w:rPr>
          <w:b/>
          <w:bCs/>
          <w:rtl/>
        </w:rPr>
        <w:t>מע"מ ת"א 1,2 נ' משהראוי</w:t>
      </w:r>
      <w:r>
        <w:rPr>
          <w:rtl/>
        </w:rPr>
        <w:t xml:space="preserve"> (21.12.2016)</w:t>
      </w:r>
      <w:r w:rsidR="006578B7">
        <w:rPr>
          <w:rFonts w:hint="cs"/>
          <w:rtl/>
        </w:rPr>
        <w:t xml:space="preserve">(להלן: </w:t>
      </w:r>
      <w:r w:rsidRPr="00ED7500" w:rsidR="006578B7">
        <w:rPr>
          <w:rFonts w:hint="cs"/>
          <w:b/>
          <w:bCs/>
          <w:rtl/>
        </w:rPr>
        <w:t>"עניין משהראוי"</w:t>
      </w:r>
      <w:r w:rsidR="006578B7">
        <w:rPr>
          <w:rFonts w:hint="cs"/>
          <w:rtl/>
        </w:rPr>
        <w:t>)</w:t>
      </w:r>
      <w:r w:rsidR="00631501">
        <w:rPr>
          <w:rFonts w:hint="cs"/>
          <w:rtl/>
        </w:rPr>
        <w:t>, ת"פ (</w:t>
      </w:r>
      <w:r w:rsidR="005E2F6C">
        <w:rPr>
          <w:rFonts w:hint="cs"/>
          <w:rtl/>
        </w:rPr>
        <w:t xml:space="preserve">שלום - </w:t>
      </w:r>
      <w:r w:rsidR="00631501">
        <w:rPr>
          <w:rFonts w:hint="cs"/>
          <w:rtl/>
        </w:rPr>
        <w:t xml:space="preserve">ת"א) 62426-07-14 </w:t>
      </w:r>
      <w:r w:rsidRPr="00631501" w:rsidR="00631501">
        <w:rPr>
          <w:rFonts w:hint="cs"/>
          <w:b/>
          <w:bCs/>
          <w:rtl/>
        </w:rPr>
        <w:t>מע"מ ת"א 1,2 נ'' חליל</w:t>
      </w:r>
      <w:r w:rsidR="00631501">
        <w:rPr>
          <w:rFonts w:hint="cs"/>
          <w:rtl/>
        </w:rPr>
        <w:t xml:space="preserve"> (10.5.2017)</w:t>
      </w:r>
      <w:r>
        <w:rPr>
          <w:rtl/>
        </w:rPr>
        <w:t xml:space="preserve"> </w:t>
      </w:r>
      <w:r w:rsidR="00CF00DE">
        <w:rPr>
          <w:rFonts w:hint="cs"/>
          <w:rtl/>
        </w:rPr>
        <w:t xml:space="preserve">(להלן: </w:t>
      </w:r>
      <w:r w:rsidRPr="00CF00DE" w:rsidR="00CF00DE">
        <w:rPr>
          <w:rFonts w:hint="cs"/>
          <w:b/>
          <w:bCs/>
          <w:rtl/>
        </w:rPr>
        <w:t>"עניין חליל"</w:t>
      </w:r>
      <w:r w:rsidR="00CF00DE">
        <w:rPr>
          <w:rFonts w:hint="cs"/>
          <w:rtl/>
        </w:rPr>
        <w:t xml:space="preserve">) </w:t>
      </w:r>
      <w:r w:rsidR="00826E51">
        <w:rPr>
          <w:rFonts w:hint="cs"/>
          <w:rtl/>
        </w:rPr>
        <w:t>ובת"פ</w:t>
      </w:r>
      <w:r w:rsidR="00631501">
        <w:rPr>
          <w:rFonts w:hint="cs"/>
          <w:rtl/>
        </w:rPr>
        <w:t xml:space="preserve"> (</w:t>
      </w:r>
      <w:r w:rsidR="005E2F6C">
        <w:rPr>
          <w:rFonts w:hint="cs"/>
          <w:rtl/>
        </w:rPr>
        <w:t xml:space="preserve">שלום - </w:t>
      </w:r>
      <w:r w:rsidR="00631501">
        <w:rPr>
          <w:rFonts w:hint="cs"/>
          <w:rtl/>
        </w:rPr>
        <w:t>ת"א)</w:t>
      </w:r>
      <w:r w:rsidR="00826E51">
        <w:rPr>
          <w:rFonts w:hint="cs"/>
          <w:rtl/>
        </w:rPr>
        <w:t xml:space="preserve"> 9097-10-16 </w:t>
      </w:r>
      <w:r w:rsidRPr="00631501" w:rsidR="00826E51">
        <w:rPr>
          <w:rFonts w:hint="cs"/>
          <w:b/>
          <w:bCs/>
          <w:rtl/>
        </w:rPr>
        <w:t>מס קניה מע"מ ת"א נ' נמירובסקי</w:t>
      </w:r>
      <w:r w:rsidR="00826E51">
        <w:rPr>
          <w:rFonts w:hint="cs"/>
          <w:rtl/>
        </w:rPr>
        <w:t xml:space="preserve"> (12.06.2017)</w:t>
      </w:r>
      <w:r w:rsidR="00631501">
        <w:rPr>
          <w:rFonts w:hint="cs"/>
          <w:rtl/>
        </w:rPr>
        <w:t xml:space="preserve"> (להלן: </w:t>
      </w:r>
      <w:r w:rsidRPr="00631501" w:rsidR="00631501">
        <w:rPr>
          <w:rFonts w:hint="cs"/>
          <w:b/>
          <w:bCs/>
          <w:rtl/>
        </w:rPr>
        <w:t>"עניין נמירובסקי"</w:t>
      </w:r>
      <w:r w:rsidR="00631501">
        <w:rPr>
          <w:rFonts w:hint="cs"/>
          <w:rtl/>
        </w:rPr>
        <w:t>)</w:t>
      </w:r>
      <w:r w:rsidR="00826E51">
        <w:rPr>
          <w:rFonts w:hint="cs"/>
          <w:rtl/>
        </w:rPr>
        <w:t xml:space="preserve"> </w:t>
      </w:r>
      <w:r>
        <w:rPr>
          <w:rtl/>
        </w:rPr>
        <w:t xml:space="preserve"> </w:t>
      </w:r>
      <w:r w:rsidR="00C83E7D">
        <w:rPr>
          <w:rFonts w:hint="cs"/>
          <w:rtl/>
        </w:rPr>
        <w:t xml:space="preserve">ציינתי כי </w:t>
      </w:r>
      <w:r>
        <w:rPr>
          <w:rtl/>
        </w:rPr>
        <w:t xml:space="preserve">עבירות המס הכוללות כוונה להתחמק מתשלום מס הן במדרג הגבוה של עבירות המס. הערכים המוגנים בעבירות דנן, נוגעים לחשיבותה של הקופה הציבורית </w:t>
      </w:r>
      <w:r w:rsidR="005E2F6C">
        <w:rPr>
          <w:rFonts w:hint="cs"/>
          <w:rtl/>
        </w:rPr>
        <w:t>לכלכלת</w:t>
      </w:r>
      <w:r>
        <w:rPr>
          <w:rtl/>
        </w:rPr>
        <w:t xml:space="preserve"> המדינה</w:t>
      </w:r>
      <w:r w:rsidR="005E2F6C">
        <w:rPr>
          <w:rFonts w:hint="cs"/>
          <w:rtl/>
        </w:rPr>
        <w:t xml:space="preserve"> וביטחונה</w:t>
      </w:r>
      <w:r>
        <w:rPr>
          <w:rtl/>
        </w:rPr>
        <w:t xml:space="preserve">, לנזק הרב שנגרם כתוצאה מביצוע העבירות בפן הכספי </w:t>
      </w:r>
      <w:r w:rsidR="005E2F6C">
        <w:rPr>
          <w:rFonts w:hint="cs"/>
          <w:rtl/>
        </w:rPr>
        <w:t>ו</w:t>
      </w:r>
      <w:r>
        <w:rPr>
          <w:rtl/>
        </w:rPr>
        <w:t>בפן הפגיעה בעקרון השוויון בנשיאת נטל המס</w:t>
      </w:r>
      <w:r w:rsidR="005E2F6C">
        <w:rPr>
          <w:rFonts w:hint="cs"/>
          <w:rtl/>
        </w:rPr>
        <w:t>, וכן לפגיעה באמון הציבור בשלטון החוק</w:t>
      </w:r>
      <w:r>
        <w:rPr>
          <w:rtl/>
        </w:rPr>
        <w:t xml:space="preserve">. המדובר בעבירות שביצוען קל וגילוין קשה, בבסיסן בצע כסף </w:t>
      </w:r>
      <w:r>
        <w:rPr>
          <w:rtl/>
        </w:rPr>
        <w:lastRenderedPageBreak/>
        <w:t xml:space="preserve">וביסודן מרמה. </w:t>
      </w:r>
      <w:r w:rsidR="00631501">
        <w:rPr>
          <w:rFonts w:hint="cs"/>
          <w:rtl/>
        </w:rPr>
        <w:t>אציין כי גם בעידן הדיווח המקוון, והגם שאופן דיווח זה מקל במקרים מסוימים על גילוין של העבירו</w:t>
      </w:r>
      <w:r w:rsidR="005E2F6C">
        <w:rPr>
          <w:rFonts w:hint="cs"/>
          <w:rtl/>
        </w:rPr>
        <w:t>ת, לא ניתן לומר שאין קושי בגילוין</w:t>
      </w:r>
      <w:r w:rsidR="00631501">
        <w:rPr>
          <w:rFonts w:hint="cs"/>
          <w:rtl/>
        </w:rPr>
        <w:t xml:space="preserve">. יש לזכור כי גם כיום מבוססת שיטת המס על האמון הניתן בעוסקים שידווחו דיווחי אמת. </w:t>
      </w:r>
      <w:r>
        <w:rPr>
          <w:rtl/>
        </w:rPr>
        <w:t>מדיניות הענישה בגין עבירות אלו היא בדרך כלל מחמירה ומושפעת ממידת התחכום, משך ביצוע העבירות, השיטתיות שבביצוען וסכומי המס אשר נגזלו מהקופה הציבורית.</w:t>
      </w:r>
      <w:r w:rsidR="0030697D">
        <w:rPr>
          <w:rFonts w:hint="cs"/>
          <w:rtl/>
        </w:rPr>
        <w:t xml:space="preserve"> </w:t>
      </w:r>
      <w:r w:rsidR="00826E51">
        <w:rPr>
          <w:rtl/>
        </w:rPr>
        <w:t>באות</w:t>
      </w:r>
      <w:r w:rsidR="00826E51">
        <w:rPr>
          <w:rFonts w:hint="cs"/>
          <w:rtl/>
        </w:rPr>
        <w:t>ם</w:t>
      </w:r>
      <w:r>
        <w:rPr>
          <w:rtl/>
        </w:rPr>
        <w:t xml:space="preserve"> </w:t>
      </w:r>
      <w:r w:rsidR="00826E51">
        <w:rPr>
          <w:rFonts w:hint="cs"/>
          <w:rtl/>
        </w:rPr>
        <w:t>מקרים</w:t>
      </w:r>
      <w:r>
        <w:rPr>
          <w:rtl/>
        </w:rPr>
        <w:t xml:space="preserve"> אף ציינתי כי את כל האמור לעיל יש לומר ביתר שאת מקום בו מבוצעות עבירות של שימוש (וכך גם הפצה) של חשבוניות </w:t>
      </w:r>
      <w:r w:rsidR="005E2F6C">
        <w:rPr>
          <w:rFonts w:hint="cs"/>
          <w:rtl/>
        </w:rPr>
        <w:t>כוזבות</w:t>
      </w:r>
      <w:r>
        <w:rPr>
          <w:rtl/>
        </w:rPr>
        <w:t xml:space="preserve">. ההוצאה והשימוש בחשבוניות </w:t>
      </w:r>
      <w:r w:rsidR="005E2F6C">
        <w:rPr>
          <w:rFonts w:hint="cs"/>
          <w:rtl/>
        </w:rPr>
        <w:t>כוזבות</w:t>
      </w:r>
      <w:r>
        <w:rPr>
          <w:rtl/>
        </w:rPr>
        <w:t xml:space="preserve"> הוגדרו לא אחת כ"מכת מדינה" שיש להילחם בה מלחמת חורמה ויש לתת לכך משקל בעת קביעת מתחם העונש וגזירת הדין. </w:t>
      </w:r>
    </w:p>
    <w:p w:rsidR="00C911A0" w:rsidP="00C911A0" w:rsidRDefault="00C911A0">
      <w:pPr>
        <w:pStyle w:val="10"/>
        <w:spacing w:after="160" w:line="360" w:lineRule="auto"/>
        <w:ind w:left="-142"/>
        <w:jc w:val="both"/>
      </w:pPr>
    </w:p>
    <w:p w:rsidRPr="004A7507" w:rsidR="00B22F6E" w:rsidP="007F502D" w:rsidRDefault="00B22F6E">
      <w:pPr>
        <w:pStyle w:val="10"/>
        <w:numPr>
          <w:ilvl w:val="0"/>
          <w:numId w:val="5"/>
        </w:numPr>
        <w:spacing w:after="160" w:line="360" w:lineRule="auto"/>
        <w:ind w:left="-142" w:firstLine="0"/>
        <w:jc w:val="both"/>
      </w:pPr>
      <w:r>
        <w:rPr>
          <w:rtl/>
        </w:rPr>
        <w:t xml:space="preserve">בערעור שהוגש על גזר הדין </w:t>
      </w:r>
      <w:r w:rsidR="00826E51">
        <w:rPr>
          <w:rFonts w:hint="cs"/>
          <w:rtl/>
        </w:rPr>
        <w:t xml:space="preserve">בעניין משהראוי </w:t>
      </w:r>
      <w:r>
        <w:rPr>
          <w:rtl/>
        </w:rPr>
        <w:t xml:space="preserve">הבהיר בית המשפט המחוזי כי לא בכדי כונו החשבוניות </w:t>
      </w:r>
      <w:r w:rsidR="005E2F6C">
        <w:rPr>
          <w:rFonts w:hint="cs"/>
          <w:rtl/>
        </w:rPr>
        <w:t>ה</w:t>
      </w:r>
      <w:r w:rsidR="007F502D">
        <w:rPr>
          <w:rFonts w:hint="cs"/>
          <w:rtl/>
        </w:rPr>
        <w:t>פיקטיביות</w:t>
      </w:r>
      <w:r w:rsidR="005E2F6C">
        <w:rPr>
          <w:rFonts w:hint="cs"/>
          <w:rtl/>
        </w:rPr>
        <w:t xml:space="preserve"> </w:t>
      </w:r>
      <w:r w:rsidR="00CE0C69">
        <w:rPr>
          <w:rFonts w:hint="cs"/>
          <w:rtl/>
        </w:rPr>
        <w:t>ב</w:t>
      </w:r>
      <w:r w:rsidRPr="004A7507">
        <w:rPr>
          <w:rtl/>
        </w:rPr>
        <w:t xml:space="preserve">פסיקה בשם אבי אבות הטומאה וכי המדובר </w:t>
      </w:r>
      <w:r w:rsidRPr="004A7507">
        <w:rPr>
          <w:b/>
          <w:bCs/>
          <w:rtl/>
        </w:rPr>
        <w:t>"בנגע קשה שפוגע בכל רבדי תשלום מס אמת"</w:t>
      </w:r>
      <w:r w:rsidRPr="004A7507">
        <w:rPr>
          <w:rtl/>
        </w:rPr>
        <w:t xml:space="preserve"> ר' </w:t>
      </w:r>
      <w:hyperlink w:history="1" r:id="rId12">
        <w:r w:rsidRPr="005B7301">
          <w:rPr>
            <w:rtl/>
          </w:rPr>
          <w:t>עפ"ג (</w:t>
        </w:r>
        <w:r w:rsidR="007F502D">
          <w:rPr>
            <w:rFonts w:hint="cs"/>
            <w:rtl/>
          </w:rPr>
          <w:t xml:space="preserve">מחוזי - </w:t>
        </w:r>
        <w:r w:rsidRPr="005B7301">
          <w:rPr>
            <w:rtl/>
          </w:rPr>
          <w:t>ת"א) 6968-02-17</w:t>
        </w:r>
      </w:hyperlink>
      <w:r w:rsidRPr="004A7507">
        <w:rPr>
          <w:rtl/>
        </w:rPr>
        <w:t xml:space="preserve"> </w:t>
      </w:r>
      <w:r w:rsidRPr="004A7507">
        <w:rPr>
          <w:b/>
          <w:bCs/>
          <w:rtl/>
        </w:rPr>
        <w:t>משהראוי נ' מדינת ישראל – מע"מ ת"א</w:t>
      </w:r>
      <w:r w:rsidRPr="004A7507">
        <w:rPr>
          <w:rtl/>
        </w:rPr>
        <w:t xml:space="preserve"> (24.4.2017)</w:t>
      </w:r>
      <w:r w:rsidR="006578B7">
        <w:rPr>
          <w:rFonts w:hint="cs"/>
          <w:rtl/>
        </w:rPr>
        <w:t>.</w:t>
      </w:r>
      <w:r w:rsidRPr="004A7507">
        <w:rPr>
          <w:rtl/>
        </w:rPr>
        <w:t xml:space="preserve"> </w:t>
      </w:r>
    </w:p>
    <w:p w:rsidRPr="004A7507" w:rsidR="00C911A0" w:rsidP="00C911A0" w:rsidRDefault="00C911A0">
      <w:pPr>
        <w:pStyle w:val="10"/>
        <w:spacing w:after="160" w:line="360" w:lineRule="auto"/>
        <w:ind w:left="-142"/>
        <w:jc w:val="both"/>
      </w:pPr>
    </w:p>
    <w:p w:rsidR="003974BD" w:rsidP="00CE0C69" w:rsidRDefault="00B22F6E">
      <w:pPr>
        <w:pStyle w:val="10"/>
        <w:numPr>
          <w:ilvl w:val="0"/>
          <w:numId w:val="5"/>
        </w:numPr>
        <w:spacing w:after="160" w:line="360" w:lineRule="auto"/>
        <w:ind w:left="-142" w:firstLine="0"/>
        <w:jc w:val="both"/>
      </w:pPr>
      <w:r>
        <w:rPr>
          <w:rtl/>
        </w:rPr>
        <w:t xml:space="preserve">במקרה דנן, </w:t>
      </w:r>
      <w:r w:rsidR="004463EE">
        <w:rPr>
          <w:rFonts w:hint="cs"/>
          <w:rtl/>
        </w:rPr>
        <w:t xml:space="preserve">כל המפורט בכתב האישום המתוקן מהווה אירוע אחד, כפי שאף ציינה המאשימה. </w:t>
      </w:r>
      <w:r w:rsidR="005B7301">
        <w:rPr>
          <w:rFonts w:hint="cs"/>
          <w:rtl/>
        </w:rPr>
        <w:t xml:space="preserve">מכתב האישום </w:t>
      </w:r>
      <w:r w:rsidR="004463EE">
        <w:rPr>
          <w:rFonts w:hint="cs"/>
          <w:rtl/>
        </w:rPr>
        <w:t xml:space="preserve">המתוקן ניתן ללמוד </w:t>
      </w:r>
      <w:r>
        <w:rPr>
          <w:rtl/>
        </w:rPr>
        <w:t xml:space="preserve">על </w:t>
      </w:r>
      <w:r w:rsidR="00C911A0">
        <w:rPr>
          <w:rFonts w:hint="cs"/>
          <w:rtl/>
        </w:rPr>
        <w:t>ניכוי</w:t>
      </w:r>
      <w:r w:rsidR="00C911A0">
        <w:rPr>
          <w:rtl/>
        </w:rPr>
        <w:t xml:space="preserve"> שיטתי</w:t>
      </w:r>
      <w:r>
        <w:rPr>
          <w:rtl/>
        </w:rPr>
        <w:t xml:space="preserve"> של </w:t>
      </w:r>
      <w:r w:rsidR="00805AA3">
        <w:rPr>
          <w:rFonts w:hint="cs"/>
          <w:rtl/>
        </w:rPr>
        <w:t>מס תשומות על סמך חשבוניות כוזבות</w:t>
      </w:r>
      <w:r>
        <w:rPr>
          <w:rtl/>
        </w:rPr>
        <w:t xml:space="preserve">, </w:t>
      </w:r>
      <w:r w:rsidR="005B7301">
        <w:rPr>
          <w:rFonts w:hint="cs"/>
          <w:rtl/>
        </w:rPr>
        <w:t>על שם שלוש</w:t>
      </w:r>
      <w:r>
        <w:rPr>
          <w:rtl/>
        </w:rPr>
        <w:t xml:space="preserve"> </w:t>
      </w:r>
      <w:r w:rsidR="00C911A0">
        <w:rPr>
          <w:rFonts w:hint="cs"/>
          <w:rtl/>
        </w:rPr>
        <w:t>חברות</w:t>
      </w:r>
      <w:r>
        <w:rPr>
          <w:rtl/>
        </w:rPr>
        <w:t xml:space="preserve">, משך </w:t>
      </w:r>
      <w:r w:rsidR="005B7301">
        <w:rPr>
          <w:rFonts w:hint="cs"/>
          <w:rtl/>
        </w:rPr>
        <w:t>כשנה וחודש</w:t>
      </w:r>
      <w:r>
        <w:rPr>
          <w:rtl/>
        </w:rPr>
        <w:t xml:space="preserve"> ובסכומים ניכרים</w:t>
      </w:r>
      <w:r w:rsidR="005B7301">
        <w:rPr>
          <w:rFonts w:hint="cs"/>
          <w:rtl/>
        </w:rPr>
        <w:t>. הנזק אשר נגרם לקופת המדינה כתוצאה מביצוע העבירות משמעותי והוא</w:t>
      </w:r>
      <w:r w:rsidR="005B7301">
        <w:rPr>
          <w:rtl/>
        </w:rPr>
        <w:t xml:space="preserve"> </w:t>
      </w:r>
      <w:r w:rsidR="005B7301">
        <w:rPr>
          <w:rFonts w:hint="cs"/>
          <w:rtl/>
        </w:rPr>
        <w:t>ב</w:t>
      </w:r>
      <w:r>
        <w:rPr>
          <w:rtl/>
        </w:rPr>
        <w:t>סך</w:t>
      </w:r>
      <w:r w:rsidR="006E0C8F">
        <w:rPr>
          <w:rFonts w:hint="cs"/>
          <w:rtl/>
        </w:rPr>
        <w:t xml:space="preserve"> 1,694,474 </w:t>
      </w:r>
      <w:r w:rsidR="006E0C8F">
        <w:rPr>
          <w:rtl/>
        </w:rPr>
        <w:t xml:space="preserve">₪ </w:t>
      </w:r>
      <w:r w:rsidR="005B7301">
        <w:rPr>
          <w:rFonts w:hint="cs"/>
          <w:rtl/>
        </w:rPr>
        <w:t xml:space="preserve"> קרן מס.</w:t>
      </w:r>
      <w:r>
        <w:rPr>
          <w:rtl/>
        </w:rPr>
        <w:t xml:space="preserve"> </w:t>
      </w:r>
      <w:r w:rsidRPr="0013691C" w:rsidR="005B7301">
        <w:rPr>
          <w:rFonts w:hint="cs" w:cs="Times New Roman"/>
          <w:rtl/>
        </w:rPr>
        <w:t xml:space="preserve"> </w:t>
      </w:r>
      <w:r w:rsidRPr="005B7301" w:rsidR="005B7301">
        <w:rPr>
          <w:rFonts w:hint="cs"/>
          <w:rtl/>
        </w:rPr>
        <w:t>עבירות אלה, בשל אופיין ולאור השיטתיות בה נעברו, הן כאלה המלמדות על תכנון מוקדם ותחכום</w:t>
      </w:r>
      <w:r w:rsidR="005B7301">
        <w:rPr>
          <w:rFonts w:hint="cs"/>
          <w:rtl/>
        </w:rPr>
        <w:t>.</w:t>
      </w:r>
      <w:r w:rsidRPr="005B7301" w:rsidR="005B7301">
        <w:rPr>
          <w:rFonts w:hint="cs"/>
          <w:rtl/>
        </w:rPr>
        <w:t xml:space="preserve"> </w:t>
      </w:r>
    </w:p>
    <w:p w:rsidR="003974BD" w:rsidP="003974BD" w:rsidRDefault="003974BD">
      <w:pPr>
        <w:pStyle w:val="10"/>
        <w:spacing w:after="160" w:line="360" w:lineRule="auto"/>
        <w:ind w:left="-142"/>
        <w:jc w:val="both"/>
      </w:pPr>
    </w:p>
    <w:p w:rsidR="00C9676B" w:rsidP="00C9676B" w:rsidRDefault="005B7301">
      <w:pPr>
        <w:pStyle w:val="10"/>
        <w:numPr>
          <w:ilvl w:val="0"/>
          <w:numId w:val="5"/>
        </w:numPr>
        <w:spacing w:after="160" w:line="360" w:lineRule="auto"/>
        <w:ind w:left="-142" w:firstLine="0"/>
        <w:jc w:val="both"/>
      </w:pPr>
      <w:r>
        <w:rPr>
          <w:rFonts w:hint="cs"/>
          <w:rtl/>
        </w:rPr>
        <w:t>נתתי דעתי ל</w:t>
      </w:r>
      <w:r w:rsidR="00965415">
        <w:rPr>
          <w:rFonts w:hint="cs"/>
          <w:rtl/>
        </w:rPr>
        <w:t xml:space="preserve">טענת ב"כ הנאשם </w:t>
      </w:r>
      <w:r>
        <w:rPr>
          <w:rFonts w:hint="cs"/>
          <w:rtl/>
        </w:rPr>
        <w:t xml:space="preserve">לפיה </w:t>
      </w:r>
      <w:r w:rsidR="000F7502">
        <w:rPr>
          <w:rFonts w:hint="cs"/>
          <w:rtl/>
        </w:rPr>
        <w:t xml:space="preserve">ביצוע העבירות נבע מתום לב </w:t>
      </w:r>
      <w:r w:rsidR="001F59E4">
        <w:rPr>
          <w:rFonts w:hint="cs"/>
          <w:rtl/>
        </w:rPr>
        <w:t>וכן ל</w:t>
      </w:r>
      <w:r w:rsidR="007F502D">
        <w:rPr>
          <w:rFonts w:hint="cs"/>
          <w:rtl/>
        </w:rPr>
        <w:t>דבריי</w:t>
      </w:r>
      <w:r w:rsidR="001F59E4">
        <w:rPr>
          <w:rFonts w:hint="cs"/>
          <w:rtl/>
        </w:rPr>
        <w:t xml:space="preserve"> הנאשם</w:t>
      </w:r>
      <w:r w:rsidR="000E3C6F">
        <w:rPr>
          <w:rFonts w:hint="cs"/>
          <w:rtl/>
        </w:rPr>
        <w:t xml:space="preserve"> לפיה</w:t>
      </w:r>
      <w:r w:rsidR="007F502D">
        <w:rPr>
          <w:rFonts w:hint="cs"/>
          <w:rtl/>
        </w:rPr>
        <w:t>ם</w:t>
      </w:r>
      <w:r w:rsidR="000E3C6F">
        <w:rPr>
          <w:rFonts w:hint="cs"/>
          <w:rtl/>
        </w:rPr>
        <w:t xml:space="preserve"> עבד בפועל מול קבלני משנה, </w:t>
      </w:r>
      <w:r w:rsidR="001F59E4">
        <w:rPr>
          <w:rFonts w:hint="cs"/>
          <w:rtl/>
        </w:rPr>
        <w:t xml:space="preserve">סוג טענה להיות החשבוניות </w:t>
      </w:r>
      <w:r w:rsidR="000E3C6F">
        <w:rPr>
          <w:rFonts w:hint="cs"/>
          <w:rtl/>
        </w:rPr>
        <w:t>הכוזבות חשבוניות זרות.</w:t>
      </w:r>
      <w:r w:rsidR="001F59E4">
        <w:rPr>
          <w:rFonts w:hint="cs"/>
          <w:rtl/>
        </w:rPr>
        <w:t xml:space="preserve"> אינני מוצאת כי יש בטענה זו כדי להשפיע על גזירת הדין</w:t>
      </w:r>
      <w:r w:rsidR="00B43C12">
        <w:rPr>
          <w:rFonts w:hint="cs"/>
          <w:rtl/>
        </w:rPr>
        <w:t xml:space="preserve"> במקרה דנן</w:t>
      </w:r>
      <w:r w:rsidR="001F59E4">
        <w:rPr>
          <w:rFonts w:hint="cs"/>
          <w:rtl/>
        </w:rPr>
        <w:t xml:space="preserve">. </w:t>
      </w:r>
      <w:r w:rsidR="00942C65">
        <w:rPr>
          <w:rFonts w:hint="cs"/>
          <w:rtl/>
        </w:rPr>
        <w:t xml:space="preserve">יש לזכור כי הנאשם הודה בשמו ובשם הנאשמת בניכוי מס תשומות על סמך חשבוניות כוזבות במטרה להתחמק מתשלום מס, </w:t>
      </w:r>
      <w:r w:rsidR="002F6F73">
        <w:rPr>
          <w:rFonts w:hint="cs"/>
          <w:rtl/>
        </w:rPr>
        <w:t>הצדדים הגיעו כאמור להסדר טיעון ולא נשמעו ראיות. כידוע, כאשר גוזר בית המשפט את הדין במסגרת הסדר ולאור הודיית הנאשמים, עליו להסתמך על המונח בפניו - המפורט בכתב האישום ותו לא.</w:t>
      </w:r>
      <w:r w:rsidR="00942C65">
        <w:rPr>
          <w:rFonts w:hint="cs"/>
          <w:rtl/>
        </w:rPr>
        <w:t xml:space="preserve"> </w:t>
      </w:r>
      <w:r w:rsidR="0013691C">
        <w:rPr>
          <w:rFonts w:hint="cs"/>
          <w:rtl/>
        </w:rPr>
        <w:t xml:space="preserve">על פי עובדות כתב האישום המתוקן, אין כל אזכור להיות החשבוניות הכוזבות "חשבוניות זרות" </w:t>
      </w:r>
      <w:r w:rsidR="00805AA3">
        <w:rPr>
          <w:rFonts w:hint="cs"/>
          <w:rtl/>
        </w:rPr>
        <w:t>או כל הסכמה של המאשימה לטענה זו</w:t>
      </w:r>
      <w:r w:rsidR="008D423C">
        <w:rPr>
          <w:rFonts w:hint="cs"/>
          <w:rtl/>
        </w:rPr>
        <w:t>,</w:t>
      </w:r>
      <w:r w:rsidR="007F502D">
        <w:rPr>
          <w:rFonts w:hint="cs"/>
          <w:rtl/>
        </w:rPr>
        <w:t xml:space="preserve"> ו</w:t>
      </w:r>
      <w:r w:rsidR="00805AA3">
        <w:rPr>
          <w:rFonts w:hint="cs"/>
          <w:rtl/>
        </w:rPr>
        <w:t xml:space="preserve">אין כל הסכמה </w:t>
      </w:r>
      <w:r w:rsidR="00C9676B">
        <w:rPr>
          <w:rFonts w:hint="cs"/>
          <w:rtl/>
        </w:rPr>
        <w:t xml:space="preserve">או קביעה לפיה </w:t>
      </w:r>
      <w:r w:rsidR="00805AA3">
        <w:rPr>
          <w:rFonts w:hint="cs"/>
          <w:rtl/>
        </w:rPr>
        <w:t>בפועל היו לנאשמים תשומות בהיקפים המפורטים בכתב האישום או בכלל</w:t>
      </w:r>
      <w:r w:rsidR="003974BD">
        <w:rPr>
          <w:rFonts w:hint="cs"/>
          <w:rtl/>
        </w:rPr>
        <w:t xml:space="preserve">. </w:t>
      </w:r>
      <w:r w:rsidR="008D423C">
        <w:rPr>
          <w:rFonts w:hint="cs"/>
          <w:rtl/>
        </w:rPr>
        <w:t>בנסיבות אלה אין מקום לדיון מעמיק ב</w:t>
      </w:r>
      <w:r w:rsidR="00C9676B">
        <w:rPr>
          <w:rFonts w:hint="cs"/>
          <w:rtl/>
        </w:rPr>
        <w:t xml:space="preserve">שאלת קיומה של הבחנה לעניין העונש בין מי שניכה שלא כדין "חשבוניות זרות" למי שניכה שלא כדין חשבוניות כוזבות לחלוטין. </w:t>
      </w:r>
    </w:p>
    <w:p w:rsidR="00C9676B" w:rsidP="00C9676B" w:rsidRDefault="00C9676B">
      <w:pPr>
        <w:pStyle w:val="10"/>
        <w:spacing w:after="160" w:line="360" w:lineRule="auto"/>
        <w:ind w:left="-142"/>
        <w:jc w:val="both"/>
      </w:pPr>
    </w:p>
    <w:p w:rsidR="0013691C" w:rsidP="00BB0601" w:rsidRDefault="00C9676B">
      <w:pPr>
        <w:pStyle w:val="10"/>
        <w:numPr>
          <w:ilvl w:val="0"/>
          <w:numId w:val="5"/>
        </w:numPr>
        <w:spacing w:after="160" w:line="360" w:lineRule="auto"/>
        <w:ind w:left="-142" w:firstLine="0"/>
        <w:jc w:val="both"/>
      </w:pPr>
      <w:r>
        <w:rPr>
          <w:rFonts w:hint="cs"/>
          <w:rtl/>
        </w:rPr>
        <w:t xml:space="preserve">בהקשר זה, למעלה מן הצורך ובקצרה אציין כי </w:t>
      </w:r>
      <w:r w:rsidR="008752F7">
        <w:rPr>
          <w:rFonts w:hint="cs"/>
          <w:rtl/>
        </w:rPr>
        <w:t xml:space="preserve">סוגיית ההבחנה בין חשבוניות זרות </w:t>
      </w:r>
      <w:r w:rsidR="00942C65">
        <w:rPr>
          <w:rFonts w:hint="cs"/>
          <w:rtl/>
        </w:rPr>
        <w:t>ל</w:t>
      </w:r>
      <w:r w:rsidR="008752F7">
        <w:rPr>
          <w:rFonts w:hint="cs"/>
          <w:rtl/>
        </w:rPr>
        <w:t xml:space="preserve">פיקטיביות </w:t>
      </w:r>
      <w:r w:rsidR="00942C65">
        <w:rPr>
          <w:rFonts w:hint="cs"/>
          <w:rtl/>
        </w:rPr>
        <w:t xml:space="preserve">או כוזבות </w:t>
      </w:r>
      <w:r w:rsidR="008752F7">
        <w:rPr>
          <w:rFonts w:hint="cs"/>
          <w:rtl/>
        </w:rPr>
        <w:t xml:space="preserve">נדונה לא אחת בפסיקה </w:t>
      </w:r>
      <w:r w:rsidR="00942C65">
        <w:rPr>
          <w:rFonts w:hint="cs"/>
          <w:rtl/>
        </w:rPr>
        <w:t>ו</w:t>
      </w:r>
      <w:r w:rsidR="00B43C12">
        <w:rPr>
          <w:rFonts w:hint="cs"/>
          <w:rtl/>
        </w:rPr>
        <w:t>ככלל נדחתה, למעט מקרים ספציפיים</w:t>
      </w:r>
      <w:r w:rsidR="008D423C">
        <w:rPr>
          <w:rFonts w:hint="cs"/>
          <w:rtl/>
        </w:rPr>
        <w:t xml:space="preserve"> (ראו עפ"ג </w:t>
      </w:r>
      <w:r w:rsidR="008D423C">
        <w:rPr>
          <w:rFonts w:hint="cs"/>
          <w:rtl/>
        </w:rPr>
        <w:lastRenderedPageBreak/>
        <w:t xml:space="preserve">47301-01-14 </w:t>
      </w:r>
      <w:r w:rsidRPr="00D064E9" w:rsidR="008D423C">
        <w:rPr>
          <w:rFonts w:hint="cs"/>
          <w:b/>
          <w:bCs/>
          <w:rtl/>
        </w:rPr>
        <w:t xml:space="preserve">רשות המסים, היחידה המשפטית </w:t>
      </w:r>
      <w:r w:rsidRPr="00D064E9" w:rsidR="008D02CB">
        <w:rPr>
          <w:rFonts w:hint="cs"/>
          <w:b/>
          <w:bCs/>
          <w:rtl/>
        </w:rPr>
        <w:t>א</w:t>
      </w:r>
      <w:r w:rsidRPr="00D064E9" w:rsidR="008D423C">
        <w:rPr>
          <w:rFonts w:hint="cs"/>
          <w:b/>
          <w:bCs/>
          <w:rtl/>
        </w:rPr>
        <w:t>זור מרכז ותיקים מיוחדים נ' פ.מ.מ בע"מ</w:t>
      </w:r>
      <w:r w:rsidR="008D423C">
        <w:rPr>
          <w:rFonts w:hint="cs"/>
          <w:rtl/>
        </w:rPr>
        <w:t xml:space="preserve"> (16.6.2014)), וכן </w:t>
      </w:r>
      <w:r w:rsidR="008752F7">
        <w:rPr>
          <w:rFonts w:hint="cs"/>
          <w:rtl/>
        </w:rPr>
        <w:t>ר</w:t>
      </w:r>
      <w:r w:rsidR="002F6F73">
        <w:rPr>
          <w:rFonts w:hint="cs"/>
          <w:rtl/>
        </w:rPr>
        <w:t>או</w:t>
      </w:r>
      <w:r w:rsidRPr="002F6F73" w:rsidR="002F6F73">
        <w:rPr>
          <w:rFonts w:hint="cs"/>
          <w:rtl/>
        </w:rPr>
        <w:t xml:space="preserve"> </w:t>
      </w:r>
      <w:r w:rsidR="002F6F73">
        <w:rPr>
          <w:rFonts w:hint="cs"/>
          <w:rtl/>
        </w:rPr>
        <w:t>לשם הדוגמא: רע"</w:t>
      </w:r>
      <w:r w:rsidRPr="00913614" w:rsidR="002F6F73">
        <w:rPr>
          <w:rFonts w:hint="cs"/>
          <w:rtl/>
        </w:rPr>
        <w:t>פ 5718/</w:t>
      </w:r>
      <w:r w:rsidRPr="007B3251" w:rsidR="002F6F73">
        <w:rPr>
          <w:rFonts w:hint="cs"/>
          <w:rtl/>
        </w:rPr>
        <w:t>05</w:t>
      </w:r>
      <w:r w:rsidRPr="007B3251" w:rsidR="002F6F73">
        <w:rPr>
          <w:rtl/>
        </w:rPr>
        <w:t xml:space="preserve"> </w:t>
      </w:r>
      <w:r w:rsidRPr="00D064E9" w:rsidR="002F6F73">
        <w:rPr>
          <w:rFonts w:hint="eastAsia"/>
          <w:b/>
          <w:bCs/>
          <w:rtl/>
        </w:rPr>
        <w:t>אוליבר</w:t>
      </w:r>
      <w:r w:rsidRPr="00D064E9" w:rsidR="002F6F73">
        <w:rPr>
          <w:b/>
          <w:bCs/>
          <w:rtl/>
        </w:rPr>
        <w:t xml:space="preserve"> </w:t>
      </w:r>
      <w:r w:rsidRPr="00D064E9" w:rsidR="002F6F73">
        <w:rPr>
          <w:rFonts w:hint="eastAsia"/>
          <w:b/>
          <w:bCs/>
          <w:rtl/>
        </w:rPr>
        <w:t>נ</w:t>
      </w:r>
      <w:r w:rsidRPr="00D064E9" w:rsidR="002F6F73">
        <w:rPr>
          <w:b/>
          <w:bCs/>
          <w:rtl/>
        </w:rPr>
        <w:t xml:space="preserve">' </w:t>
      </w:r>
      <w:r w:rsidRPr="00D064E9" w:rsidR="002F6F73">
        <w:rPr>
          <w:rFonts w:hint="eastAsia"/>
          <w:b/>
          <w:bCs/>
          <w:rtl/>
        </w:rPr>
        <w:t>מדינת</w:t>
      </w:r>
      <w:r w:rsidRPr="00D064E9" w:rsidR="002F6F73">
        <w:rPr>
          <w:b/>
          <w:bCs/>
          <w:rtl/>
        </w:rPr>
        <w:t xml:space="preserve"> </w:t>
      </w:r>
      <w:r w:rsidRPr="00D064E9" w:rsidR="002F6F73">
        <w:rPr>
          <w:rFonts w:hint="eastAsia"/>
          <w:b/>
          <w:bCs/>
          <w:rtl/>
        </w:rPr>
        <w:t>ישראל</w:t>
      </w:r>
      <w:r w:rsidRPr="00913614" w:rsidR="002F6F73">
        <w:rPr>
          <w:rtl/>
        </w:rPr>
        <w:t xml:space="preserve"> (8.8.2005)</w:t>
      </w:r>
      <w:r w:rsidR="002F6F73">
        <w:rPr>
          <w:rFonts w:hint="cs"/>
          <w:rtl/>
        </w:rPr>
        <w:t xml:space="preserve"> </w:t>
      </w:r>
      <w:r w:rsidRPr="007B3251" w:rsidR="002F6F73">
        <w:rPr>
          <w:rFonts w:hint="cs"/>
          <w:rtl/>
        </w:rPr>
        <w:t>ו</w:t>
      </w:r>
      <w:hyperlink w:history="1" r:id="rId13">
        <w:r w:rsidRPr="007B3251" w:rsidR="002F6F73">
          <w:rPr>
            <w:rtl/>
          </w:rPr>
          <w:t>רע"פ 1866/14</w:t>
        </w:r>
      </w:hyperlink>
      <w:r w:rsidRPr="007B3251" w:rsidR="002F6F73">
        <w:rPr>
          <w:rtl/>
        </w:rPr>
        <w:t xml:space="preserve"> </w:t>
      </w:r>
      <w:r w:rsidRPr="00D064E9" w:rsidR="002F6F73">
        <w:rPr>
          <w:b/>
          <w:bCs/>
          <w:rtl/>
        </w:rPr>
        <w:t>זקן נ' מדינת ישראל</w:t>
      </w:r>
      <w:r w:rsidR="002F6F73">
        <w:rPr>
          <w:rFonts w:hint="cs"/>
          <w:rtl/>
        </w:rPr>
        <w:t xml:space="preserve"> (13.3.2014) שם נדחתה ההבחנה בין חשבוניות פיקטיביות לחשבוניות זרות תוך שבית המשפט העליון מציין כי ניתוק החשבונית מן העסקה א</w:t>
      </w:r>
      <w:r w:rsidR="008D423C">
        <w:rPr>
          <w:rFonts w:hint="cs"/>
          <w:rtl/>
        </w:rPr>
        <w:t>ליה היא שייכת פוגע בשיטה מיסודה</w:t>
      </w:r>
      <w:r w:rsidR="002F6F73">
        <w:rPr>
          <w:rFonts w:hint="cs"/>
          <w:rtl/>
        </w:rPr>
        <w:t>. ב</w:t>
      </w:r>
      <w:r w:rsidRPr="005D48B3" w:rsidR="0013691C">
        <w:rPr>
          <w:rFonts w:hint="cs"/>
          <w:rtl/>
        </w:rPr>
        <w:t>רע"פ</w:t>
      </w:r>
      <w:r w:rsidR="0013691C">
        <w:rPr>
          <w:rFonts w:hint="cs"/>
          <w:rtl/>
        </w:rPr>
        <w:t xml:space="preserve"> 7779/15 </w:t>
      </w:r>
      <w:r w:rsidRPr="00D064E9" w:rsidR="0013691C">
        <w:rPr>
          <w:rFonts w:hint="cs"/>
          <w:b/>
          <w:bCs/>
          <w:rtl/>
        </w:rPr>
        <w:t>חברת כץ עבודות צבע בע"מ נ' מדינת ישראל</w:t>
      </w:r>
      <w:r w:rsidR="0013691C">
        <w:rPr>
          <w:rFonts w:hint="cs"/>
          <w:rtl/>
        </w:rPr>
        <w:t xml:space="preserve"> (31.1.2016)</w:t>
      </w:r>
      <w:r w:rsidR="003974BD">
        <w:rPr>
          <w:rFonts w:hint="cs"/>
          <w:rtl/>
        </w:rPr>
        <w:t xml:space="preserve"> (להלן: </w:t>
      </w:r>
      <w:r w:rsidRPr="00D064E9" w:rsidR="003974BD">
        <w:rPr>
          <w:rFonts w:hint="cs"/>
          <w:b/>
          <w:bCs/>
          <w:rtl/>
        </w:rPr>
        <w:t>"רע"פ כץ"</w:t>
      </w:r>
      <w:r w:rsidR="003974BD">
        <w:rPr>
          <w:rFonts w:hint="cs"/>
          <w:rtl/>
        </w:rPr>
        <w:t>)</w:t>
      </w:r>
      <w:r w:rsidR="002F6F73">
        <w:rPr>
          <w:rFonts w:hint="cs"/>
          <w:rtl/>
        </w:rPr>
        <w:t xml:space="preserve"> </w:t>
      </w:r>
      <w:r w:rsidR="00CA4483">
        <w:rPr>
          <w:rFonts w:hint="cs"/>
          <w:rtl/>
        </w:rPr>
        <w:t xml:space="preserve">הבהיר כבוד </w:t>
      </w:r>
      <w:r w:rsidR="003974BD">
        <w:rPr>
          <w:rFonts w:hint="cs"/>
          <w:rtl/>
        </w:rPr>
        <w:t xml:space="preserve">השופט שהם כי ככלל אין להבחין בין סוגי חשבוניות, פיקטיביות לעומת זרות. ביחס לכך ציין כי הטעם להעדר ההבחנה ככלל נעוץ בכך שלרוב לא ניתן מספיק מידע באשר לפרטי העסקה </w:t>
      </w:r>
      <w:r w:rsidR="008D02CB">
        <w:rPr>
          <w:rFonts w:hint="cs"/>
          <w:rtl/>
        </w:rPr>
        <w:t xml:space="preserve">האמיתית אשר בוצעה (ככל שבוצעה), ובכלל זאת למידה שבה </w:t>
      </w:r>
      <w:r w:rsidR="005C10FC">
        <w:rPr>
          <w:rFonts w:hint="cs"/>
          <w:rtl/>
        </w:rPr>
        <w:t xml:space="preserve">סכום העסקה תואם את סכום המע"מ ששולם (אם בכלל) לקופת המדינה, </w:t>
      </w:r>
      <w:r w:rsidR="003974BD">
        <w:rPr>
          <w:rFonts w:hint="cs"/>
          <w:rtl/>
        </w:rPr>
        <w:t>על מנת לבחון את הנזק שנגרם</w:t>
      </w:r>
      <w:r w:rsidRPr="00913614" w:rsidR="002D6A15">
        <w:rPr>
          <w:rtl/>
        </w:rPr>
        <w:t>.</w:t>
      </w:r>
      <w:r w:rsidR="003974BD">
        <w:rPr>
          <w:rFonts w:hint="cs"/>
          <w:rtl/>
        </w:rPr>
        <w:t xml:space="preserve"> </w:t>
      </w:r>
      <w:r w:rsidR="00913614">
        <w:rPr>
          <w:rFonts w:hint="cs"/>
          <w:rtl/>
        </w:rPr>
        <w:t xml:space="preserve"> השופט שהם </w:t>
      </w:r>
      <w:r w:rsidR="003974BD">
        <w:rPr>
          <w:rFonts w:hint="cs"/>
          <w:rtl/>
        </w:rPr>
        <w:t xml:space="preserve">ציין כי כל מקרה יבחן על פי נסיבותיו, </w:t>
      </w:r>
      <w:r w:rsidR="002F6F73">
        <w:rPr>
          <w:rFonts w:hint="cs"/>
          <w:rtl/>
        </w:rPr>
        <w:t>כש</w:t>
      </w:r>
      <w:r w:rsidR="003974BD">
        <w:rPr>
          <w:rFonts w:hint="cs"/>
          <w:rtl/>
        </w:rPr>
        <w:t>הנזק שנגרם לקופת המדינה משמש שיקול מבין</w:t>
      </w:r>
      <w:r w:rsidR="008752F7">
        <w:rPr>
          <w:rFonts w:hint="cs"/>
          <w:rtl/>
        </w:rPr>
        <w:t xml:space="preserve"> שיקולי הענישה בעבירות מס, לקולא</w:t>
      </w:r>
      <w:r w:rsidR="003974BD">
        <w:rPr>
          <w:rFonts w:hint="cs"/>
          <w:rtl/>
        </w:rPr>
        <w:t xml:space="preserve"> ולחומרה.  </w:t>
      </w:r>
    </w:p>
    <w:p w:rsidR="00D064E9" w:rsidP="00D064E9" w:rsidRDefault="00D064E9">
      <w:pPr>
        <w:pStyle w:val="10"/>
        <w:spacing w:after="160" w:line="360" w:lineRule="auto"/>
        <w:ind w:left="-142"/>
        <w:jc w:val="both"/>
      </w:pPr>
    </w:p>
    <w:p w:rsidRPr="00CA4483" w:rsidR="00CA4483" w:rsidP="00905894" w:rsidRDefault="00DD10C2">
      <w:pPr>
        <w:pStyle w:val="10"/>
        <w:numPr>
          <w:ilvl w:val="0"/>
          <w:numId w:val="5"/>
        </w:numPr>
        <w:spacing w:after="160" w:line="360" w:lineRule="auto"/>
        <w:ind w:left="-142" w:firstLine="0"/>
        <w:jc w:val="both"/>
        <w:rPr>
          <w:b/>
          <w:bCs/>
        </w:rPr>
      </w:pPr>
      <w:r>
        <w:rPr>
          <w:rFonts w:hint="cs"/>
          <w:rtl/>
        </w:rPr>
        <w:t>באשר למדיניות הענישה ה</w:t>
      </w:r>
      <w:r w:rsidR="004463EE">
        <w:rPr>
          <w:rFonts w:hint="cs"/>
          <w:rtl/>
        </w:rPr>
        <w:t xml:space="preserve">נוהגת, בסוג זה של עבירות, ובפרט כשאלה נעברות בשיטתיות ובהיקף ניכר, הלכה היא כי יש </w:t>
      </w:r>
      <w:r>
        <w:rPr>
          <w:rFonts w:hint="cs"/>
          <w:rtl/>
        </w:rPr>
        <w:t xml:space="preserve"> להשית ענישה מחמירה הכוללת עונשי מאסר ממשיים לריצוי מאחורי סורג ובריח לצד קנסות מכבידים, הנותנת ביטוי לפסול שבעבירות ולנזק העצום שנגרם כתוצאה מבי</w:t>
      </w:r>
      <w:r w:rsidR="007250E0">
        <w:rPr>
          <w:rFonts w:hint="cs"/>
          <w:rtl/>
        </w:rPr>
        <w:t xml:space="preserve">צוען. ראו לשם הדוגמא: </w:t>
      </w:r>
      <w:r>
        <w:rPr>
          <w:rFonts w:hint="cs"/>
          <w:rtl/>
        </w:rPr>
        <w:t xml:space="preserve">רע"פ 5358/12 </w:t>
      </w:r>
      <w:r w:rsidRPr="00CA4483">
        <w:rPr>
          <w:rFonts w:hint="cs"/>
          <w:b/>
          <w:bCs/>
          <w:rtl/>
        </w:rPr>
        <w:t>שוקרון נ' מדינת ישראל</w:t>
      </w:r>
      <w:r w:rsidR="005A1049">
        <w:rPr>
          <w:rFonts w:hint="cs"/>
          <w:rtl/>
        </w:rPr>
        <w:t xml:space="preserve"> (10.7.2012),</w:t>
      </w:r>
      <w:r>
        <w:rPr>
          <w:rFonts w:hint="cs"/>
          <w:rtl/>
        </w:rPr>
        <w:t xml:space="preserve"> </w:t>
      </w:r>
      <w:hyperlink w:history="1" r:id="rId14">
        <w:r w:rsidRPr="00E01326">
          <w:rPr>
            <w:rFonts w:hint="cs"/>
            <w:rtl/>
          </w:rPr>
          <w:t>רע"פ 5064/14</w:t>
        </w:r>
      </w:hyperlink>
      <w:r>
        <w:rPr>
          <w:rFonts w:hint="cs"/>
          <w:rtl/>
        </w:rPr>
        <w:t xml:space="preserve"> </w:t>
      </w:r>
      <w:r w:rsidRPr="00CA4483">
        <w:rPr>
          <w:rFonts w:hint="cs"/>
          <w:b/>
          <w:bCs/>
          <w:rtl/>
        </w:rPr>
        <w:t>רבחי נתשה נ' מדינת ישראל</w:t>
      </w:r>
      <w:r>
        <w:rPr>
          <w:rFonts w:hint="cs"/>
          <w:rtl/>
        </w:rPr>
        <w:t xml:space="preserve"> (22.7.2014)</w:t>
      </w:r>
      <w:r w:rsidR="005A1049">
        <w:rPr>
          <w:rFonts w:hint="cs"/>
          <w:rtl/>
        </w:rPr>
        <w:t>,</w:t>
      </w:r>
      <w:r w:rsidRPr="00FD2F41" w:rsidR="00FD2F41">
        <w:t xml:space="preserve"> </w:t>
      </w:r>
      <w:r w:rsidRPr="00CA4483" w:rsidR="007250E0">
        <w:rPr>
          <w:rFonts w:hint="cs"/>
          <w:b/>
          <w:bCs/>
          <w:rtl/>
        </w:rPr>
        <w:t xml:space="preserve">רע"פ כץ, </w:t>
      </w:r>
      <w:r w:rsidRPr="00CA4483" w:rsidR="00CF00DE">
        <w:rPr>
          <w:rFonts w:hint="cs"/>
          <w:b/>
          <w:bCs/>
          <w:rtl/>
        </w:rPr>
        <w:t>עניין חליל</w:t>
      </w:r>
      <w:r w:rsidRPr="00CA4483" w:rsidR="008C37EC">
        <w:rPr>
          <w:rFonts w:hint="cs"/>
          <w:b/>
          <w:bCs/>
          <w:rtl/>
        </w:rPr>
        <w:t xml:space="preserve">, </w:t>
      </w:r>
      <w:r w:rsidRPr="00CA4483" w:rsidR="006578B7">
        <w:rPr>
          <w:rFonts w:hint="cs"/>
          <w:b/>
          <w:bCs/>
          <w:rtl/>
        </w:rPr>
        <w:t>עניין</w:t>
      </w:r>
      <w:r w:rsidRPr="00CA4483" w:rsidR="006578B7">
        <w:rPr>
          <w:b/>
          <w:bCs/>
          <w:rtl/>
        </w:rPr>
        <w:t xml:space="preserve"> משהראוי</w:t>
      </w:r>
      <w:r w:rsidRPr="00CA4483" w:rsidR="008C37EC">
        <w:rPr>
          <w:rFonts w:hint="cs"/>
          <w:b/>
          <w:bCs/>
          <w:rtl/>
        </w:rPr>
        <w:t xml:space="preserve"> ועניין נמירובסקי</w:t>
      </w:r>
      <w:r>
        <w:rPr>
          <w:rFonts w:hint="cs"/>
          <w:rtl/>
        </w:rPr>
        <w:t>.</w:t>
      </w:r>
      <w:r w:rsidR="004463EE">
        <w:rPr>
          <w:rFonts w:hint="cs"/>
          <w:rtl/>
        </w:rPr>
        <w:t xml:space="preserve"> </w:t>
      </w:r>
    </w:p>
    <w:p w:rsidR="00CA4483" w:rsidP="00CA4483" w:rsidRDefault="00CA4483">
      <w:pPr>
        <w:pStyle w:val="10"/>
        <w:spacing w:after="160" w:line="360" w:lineRule="auto"/>
        <w:ind w:left="-142"/>
        <w:jc w:val="both"/>
        <w:rPr>
          <w:b/>
          <w:bCs/>
        </w:rPr>
      </w:pPr>
    </w:p>
    <w:p w:rsidR="005D48B3" w:rsidP="00CA4483" w:rsidRDefault="004463EE">
      <w:pPr>
        <w:pStyle w:val="10"/>
        <w:numPr>
          <w:ilvl w:val="0"/>
          <w:numId w:val="5"/>
        </w:numPr>
        <w:spacing w:after="160" w:line="360" w:lineRule="auto"/>
        <w:ind w:left="-142" w:firstLine="0"/>
        <w:jc w:val="both"/>
        <w:rPr>
          <w:b/>
          <w:bCs/>
        </w:rPr>
      </w:pPr>
      <w:r w:rsidRPr="00CA4483">
        <w:rPr>
          <w:rFonts w:hint="cs"/>
          <w:b/>
          <w:bCs/>
          <w:rtl/>
        </w:rPr>
        <w:t>בעניין מש</w:t>
      </w:r>
      <w:r w:rsidRPr="00CA4483" w:rsidR="00F87D38">
        <w:rPr>
          <w:rFonts w:hint="cs"/>
          <w:b/>
          <w:bCs/>
          <w:rtl/>
        </w:rPr>
        <w:t>ה</w:t>
      </w:r>
      <w:r w:rsidRPr="00CA4483">
        <w:rPr>
          <w:rFonts w:hint="cs"/>
          <w:b/>
          <w:bCs/>
          <w:rtl/>
        </w:rPr>
        <w:t>ר</w:t>
      </w:r>
      <w:r w:rsidRPr="00CA4483" w:rsidR="00F87D38">
        <w:rPr>
          <w:rFonts w:hint="cs"/>
          <w:b/>
          <w:bCs/>
          <w:rtl/>
        </w:rPr>
        <w:t>א</w:t>
      </w:r>
      <w:r w:rsidRPr="00CA4483">
        <w:rPr>
          <w:rFonts w:hint="cs"/>
          <w:b/>
          <w:bCs/>
          <w:rtl/>
        </w:rPr>
        <w:t>וי</w:t>
      </w:r>
      <w:r>
        <w:rPr>
          <w:rFonts w:hint="cs"/>
          <w:rtl/>
        </w:rPr>
        <w:t xml:space="preserve">, שם נדון הנאשם אשר פעל לניכוי חשבוניות כוזבות בסך </w:t>
      </w:r>
      <w:r w:rsidR="00CA4483">
        <w:rPr>
          <w:rFonts w:hint="cs"/>
          <w:rtl/>
        </w:rPr>
        <w:t xml:space="preserve">כולל של 1,998,950 ₪  </w:t>
      </w:r>
      <w:r>
        <w:rPr>
          <w:rFonts w:hint="cs"/>
          <w:rtl/>
        </w:rPr>
        <w:t xml:space="preserve">לצד </w:t>
      </w:r>
      <w:r w:rsidR="00276700">
        <w:rPr>
          <w:rFonts w:hint="cs"/>
          <w:rtl/>
        </w:rPr>
        <w:t>ניהול פנקסים כוזבים</w:t>
      </w:r>
      <w:r w:rsidR="007F502D">
        <w:rPr>
          <w:rFonts w:hint="cs"/>
          <w:rtl/>
        </w:rPr>
        <w:t>,</w:t>
      </w:r>
      <w:r w:rsidR="00276700">
        <w:rPr>
          <w:rFonts w:hint="cs"/>
          <w:rtl/>
        </w:rPr>
        <w:t xml:space="preserve"> </w:t>
      </w:r>
      <w:r w:rsidR="00AF6850">
        <w:rPr>
          <w:rFonts w:hint="cs"/>
          <w:rtl/>
        </w:rPr>
        <w:t xml:space="preserve">גזרתי על הנאשם, </w:t>
      </w:r>
      <w:r>
        <w:rPr>
          <w:rFonts w:hint="cs"/>
          <w:rtl/>
        </w:rPr>
        <w:t>אשר היה בגיר צעיר בעת ביצוען של חלק מן העבירות</w:t>
      </w:r>
      <w:r w:rsidR="007F502D">
        <w:rPr>
          <w:rFonts w:hint="cs"/>
          <w:rtl/>
        </w:rPr>
        <w:t>,</w:t>
      </w:r>
      <w:r>
        <w:rPr>
          <w:rFonts w:hint="cs"/>
          <w:rtl/>
        </w:rPr>
        <w:t xml:space="preserve"> </w:t>
      </w:r>
      <w:r w:rsidR="00AF6850">
        <w:rPr>
          <w:rFonts w:hint="cs"/>
          <w:rtl/>
        </w:rPr>
        <w:t>18 חודשי מאסר</w:t>
      </w:r>
      <w:r>
        <w:rPr>
          <w:rFonts w:hint="cs"/>
          <w:rtl/>
        </w:rPr>
        <w:t xml:space="preserve">. בערעור, הקל בית המשפט המחוזי בעונש </w:t>
      </w:r>
      <w:r w:rsidR="00AF6850">
        <w:rPr>
          <w:rFonts w:hint="cs"/>
          <w:rtl/>
        </w:rPr>
        <w:t>והעמידו על 15 חודשי מאסר</w:t>
      </w:r>
      <w:r w:rsidR="007F502D">
        <w:rPr>
          <w:rFonts w:hint="cs"/>
          <w:rtl/>
        </w:rPr>
        <w:t xml:space="preserve">, נוכח גילו הצעיר של הנאשם בעת ביצוע חלקן של העבירות, </w:t>
      </w:r>
      <w:r>
        <w:rPr>
          <w:rFonts w:hint="cs"/>
          <w:rtl/>
        </w:rPr>
        <w:t>תוך ששב וציין את חומרתן</w:t>
      </w:r>
      <w:r w:rsidR="00AF6850">
        <w:rPr>
          <w:rFonts w:hint="cs"/>
          <w:rtl/>
        </w:rPr>
        <w:t xml:space="preserve"> של העבירות</w:t>
      </w:r>
      <w:r>
        <w:rPr>
          <w:rFonts w:hint="cs"/>
          <w:rtl/>
        </w:rPr>
        <w:t xml:space="preserve">. </w:t>
      </w:r>
    </w:p>
    <w:p w:rsidRPr="00CA4483" w:rsidR="00CA4483" w:rsidP="00CA4483" w:rsidRDefault="00CA4483">
      <w:pPr>
        <w:pStyle w:val="10"/>
        <w:spacing w:after="160" w:line="360" w:lineRule="auto"/>
        <w:jc w:val="both"/>
        <w:rPr>
          <w:b/>
          <w:bCs/>
          <w:rtl/>
        </w:rPr>
      </w:pPr>
    </w:p>
    <w:p w:rsidR="005D48B3" w:rsidP="00CA4483" w:rsidRDefault="008C37EC">
      <w:pPr>
        <w:pStyle w:val="10"/>
        <w:numPr>
          <w:ilvl w:val="0"/>
          <w:numId w:val="5"/>
        </w:numPr>
        <w:spacing w:after="160" w:line="360" w:lineRule="auto"/>
        <w:ind w:left="-142" w:firstLine="0"/>
        <w:jc w:val="both"/>
        <w:rPr>
          <w:rtl/>
        </w:rPr>
      </w:pPr>
      <w:r w:rsidRPr="00353C63">
        <w:rPr>
          <w:rFonts w:hint="cs"/>
          <w:b/>
          <w:bCs/>
          <w:rtl/>
        </w:rPr>
        <w:t>בעניין חליל</w:t>
      </w:r>
      <w:r>
        <w:rPr>
          <w:rFonts w:hint="cs"/>
          <w:rtl/>
        </w:rPr>
        <w:t xml:space="preserve">, </w:t>
      </w:r>
      <w:r w:rsidR="001A556D">
        <w:rPr>
          <w:rFonts w:hint="cs"/>
          <w:rtl/>
        </w:rPr>
        <w:t xml:space="preserve">הקשור לעניין משהראוי, </w:t>
      </w:r>
      <w:r w:rsidR="0088439A">
        <w:rPr>
          <w:rFonts w:hint="cs"/>
          <w:rtl/>
        </w:rPr>
        <w:t>הורשע הנאשם</w:t>
      </w:r>
      <w:r>
        <w:rPr>
          <w:rFonts w:hint="cs"/>
          <w:rtl/>
        </w:rPr>
        <w:t xml:space="preserve"> בניכוי והפצה של חשבוניות כוזבות בסך מס כולל של 2,132,353 ₪. </w:t>
      </w:r>
      <w:r w:rsidR="001A556D">
        <w:rPr>
          <w:rFonts w:hint="cs"/>
          <w:rtl/>
        </w:rPr>
        <w:t xml:space="preserve">המדובר בנאשם אשר </w:t>
      </w:r>
      <w:r w:rsidR="0088439A">
        <w:rPr>
          <w:rFonts w:hint="cs"/>
          <w:rtl/>
        </w:rPr>
        <w:t xml:space="preserve">טען כי שימש כאיש קש, אשר </w:t>
      </w:r>
      <w:r w:rsidR="001A556D">
        <w:rPr>
          <w:rFonts w:hint="cs"/>
          <w:rtl/>
        </w:rPr>
        <w:t xml:space="preserve">עבר הליך שיקומי הקשור להתמכרותו לסמים. </w:t>
      </w:r>
      <w:r>
        <w:rPr>
          <w:rFonts w:hint="cs"/>
          <w:rtl/>
        </w:rPr>
        <w:t>מתחם עונש המאסר נקבע בין 12 ל- 30 חודשים</w:t>
      </w:r>
      <w:r w:rsidR="001A556D">
        <w:rPr>
          <w:rFonts w:hint="cs"/>
          <w:rtl/>
        </w:rPr>
        <w:t>, על הנאשם נ</w:t>
      </w:r>
      <w:r w:rsidR="0088439A">
        <w:rPr>
          <w:rFonts w:hint="cs"/>
          <w:rtl/>
        </w:rPr>
        <w:t>גז</w:t>
      </w:r>
      <w:r w:rsidR="001A556D">
        <w:rPr>
          <w:rFonts w:hint="cs"/>
          <w:rtl/>
        </w:rPr>
        <w:t xml:space="preserve">ר עונש של </w:t>
      </w:r>
      <w:r w:rsidR="0088439A">
        <w:rPr>
          <w:rFonts w:hint="cs"/>
          <w:rtl/>
        </w:rPr>
        <w:t>15 חודשי מאסר לצד קנס</w:t>
      </w:r>
      <w:r w:rsidR="004A619E">
        <w:rPr>
          <w:rFonts w:hint="cs"/>
          <w:rtl/>
        </w:rPr>
        <w:t xml:space="preserve">, מאסר על תנאי, </w:t>
      </w:r>
      <w:r w:rsidR="0088439A">
        <w:rPr>
          <w:rFonts w:hint="cs"/>
          <w:rtl/>
        </w:rPr>
        <w:t>והתחייבות, בין היתר, לאור העונש אשר נגזר על משהראוי בתיק הקשור</w:t>
      </w:r>
      <w:r>
        <w:rPr>
          <w:rFonts w:hint="cs"/>
          <w:rtl/>
        </w:rPr>
        <w:t xml:space="preserve">. </w:t>
      </w:r>
    </w:p>
    <w:p w:rsidR="005D48B3" w:rsidP="005D48B3" w:rsidRDefault="005D48B3">
      <w:pPr>
        <w:pStyle w:val="10"/>
        <w:spacing w:after="160" w:line="360" w:lineRule="auto"/>
        <w:ind w:left="-142" w:firstLine="862"/>
        <w:jc w:val="both"/>
        <w:rPr>
          <w:b/>
          <w:bCs/>
          <w:rtl/>
        </w:rPr>
      </w:pPr>
    </w:p>
    <w:p w:rsidR="005D48B3" w:rsidP="00CA4483" w:rsidRDefault="00CF00DE">
      <w:pPr>
        <w:pStyle w:val="10"/>
        <w:numPr>
          <w:ilvl w:val="0"/>
          <w:numId w:val="5"/>
        </w:numPr>
        <w:spacing w:after="160" w:line="360" w:lineRule="auto"/>
        <w:ind w:left="-142" w:firstLine="0"/>
        <w:jc w:val="both"/>
        <w:rPr>
          <w:rtl/>
        </w:rPr>
      </w:pPr>
      <w:r w:rsidRPr="00353C63">
        <w:rPr>
          <w:rFonts w:hint="cs"/>
          <w:b/>
          <w:bCs/>
          <w:rtl/>
        </w:rPr>
        <w:t>בעניין נמירובסקי</w:t>
      </w:r>
      <w:r>
        <w:rPr>
          <w:rFonts w:hint="cs"/>
          <w:rtl/>
        </w:rPr>
        <w:t xml:space="preserve">, </w:t>
      </w:r>
      <w:r w:rsidR="004463EE">
        <w:rPr>
          <w:rFonts w:hint="cs"/>
          <w:rtl/>
        </w:rPr>
        <w:t xml:space="preserve">שם נדון </w:t>
      </w:r>
      <w:r w:rsidR="00521B2B">
        <w:rPr>
          <w:rFonts w:hint="cs"/>
          <w:rtl/>
        </w:rPr>
        <w:t xml:space="preserve">עניינו של </w:t>
      </w:r>
      <w:r w:rsidR="004463EE">
        <w:rPr>
          <w:rFonts w:hint="cs"/>
          <w:rtl/>
        </w:rPr>
        <w:t xml:space="preserve">נאשם אשר </w:t>
      </w:r>
      <w:r w:rsidR="00521B2B">
        <w:rPr>
          <w:rFonts w:hint="cs"/>
          <w:rtl/>
        </w:rPr>
        <w:t>פעל</w:t>
      </w:r>
      <w:r w:rsidR="00D417E7">
        <w:rPr>
          <w:rFonts w:hint="cs"/>
          <w:rtl/>
        </w:rPr>
        <w:t>,</w:t>
      </w:r>
      <w:r w:rsidR="00521B2B">
        <w:rPr>
          <w:rFonts w:hint="cs"/>
          <w:rtl/>
        </w:rPr>
        <w:t xml:space="preserve"> </w:t>
      </w:r>
      <w:r>
        <w:rPr>
          <w:rFonts w:hint="cs"/>
          <w:rtl/>
        </w:rPr>
        <w:t>בין היתר</w:t>
      </w:r>
      <w:r w:rsidR="00D417E7">
        <w:rPr>
          <w:rFonts w:hint="cs"/>
          <w:rtl/>
        </w:rPr>
        <w:t>,</w:t>
      </w:r>
      <w:r>
        <w:rPr>
          <w:rFonts w:hint="cs"/>
          <w:rtl/>
        </w:rPr>
        <w:t xml:space="preserve"> </w:t>
      </w:r>
      <w:r w:rsidR="00521B2B">
        <w:rPr>
          <w:rFonts w:hint="cs"/>
          <w:rtl/>
        </w:rPr>
        <w:t xml:space="preserve">לניכוי מס תשומות ללא אסמכתאות בסך של 1,233,384 ₪, לא ניהל פנקסי חשבונות והוציא חשבוניות כוזבות שסכום המס הנובע מהן 249,600 ₪ נקבע מתחם עונש המאסר </w:t>
      </w:r>
      <w:r>
        <w:rPr>
          <w:rFonts w:hint="cs"/>
          <w:rtl/>
        </w:rPr>
        <w:t xml:space="preserve">בגין עבירות אלה </w:t>
      </w:r>
      <w:r w:rsidR="00521B2B">
        <w:rPr>
          <w:rFonts w:hint="cs"/>
          <w:rtl/>
        </w:rPr>
        <w:t xml:space="preserve">בין </w:t>
      </w:r>
      <w:r>
        <w:rPr>
          <w:rFonts w:hint="cs"/>
          <w:rtl/>
        </w:rPr>
        <w:t>14</w:t>
      </w:r>
      <w:r w:rsidR="00521B2B">
        <w:rPr>
          <w:rFonts w:hint="cs"/>
          <w:rtl/>
        </w:rPr>
        <w:t xml:space="preserve"> לבין </w:t>
      </w:r>
      <w:r>
        <w:rPr>
          <w:rFonts w:hint="cs"/>
          <w:rtl/>
        </w:rPr>
        <w:t xml:space="preserve">36 חודשים. </w:t>
      </w:r>
      <w:r w:rsidR="00521B2B">
        <w:rPr>
          <w:rFonts w:hint="cs"/>
          <w:rtl/>
        </w:rPr>
        <w:t xml:space="preserve"> על הנאשם נגזרו </w:t>
      </w:r>
      <w:r w:rsidR="00CA4483">
        <w:rPr>
          <w:rFonts w:hint="cs"/>
          <w:rtl/>
        </w:rPr>
        <w:t xml:space="preserve"> </w:t>
      </w:r>
      <w:r>
        <w:rPr>
          <w:rFonts w:hint="cs"/>
          <w:rtl/>
        </w:rPr>
        <w:t>17 חודשי מאסר בפועל לצד מאסר על תנאי, קנס והתחייבות</w:t>
      </w:r>
      <w:r w:rsidR="00521B2B">
        <w:rPr>
          <w:rFonts w:hint="cs"/>
          <w:rtl/>
        </w:rPr>
        <w:t xml:space="preserve">. בית המשפט המחוזי, בע"פ (ת"א) </w:t>
      </w:r>
      <w:r w:rsidR="00521B2B">
        <w:rPr>
          <w:rFonts w:hint="cs"/>
          <w:rtl/>
        </w:rPr>
        <w:lastRenderedPageBreak/>
        <w:t xml:space="preserve">17327-07-17 </w:t>
      </w:r>
      <w:r w:rsidR="00D531EF">
        <w:rPr>
          <w:rFonts w:hint="cs"/>
          <w:b/>
          <w:bCs/>
          <w:rtl/>
        </w:rPr>
        <w:t>נמירובסקי נ'</w:t>
      </w:r>
      <w:r w:rsidRPr="00521B2B" w:rsidR="00521B2B">
        <w:rPr>
          <w:rFonts w:hint="cs"/>
          <w:b/>
          <w:bCs/>
          <w:rtl/>
        </w:rPr>
        <w:t xml:space="preserve"> מדינת ישראל</w:t>
      </w:r>
      <w:r w:rsidR="00521B2B">
        <w:rPr>
          <w:rFonts w:hint="cs"/>
          <w:rtl/>
        </w:rPr>
        <w:t xml:space="preserve"> (24.1.2018)</w:t>
      </w:r>
      <w:r>
        <w:rPr>
          <w:rFonts w:hint="cs"/>
          <w:rtl/>
        </w:rPr>
        <w:t xml:space="preserve">, </w:t>
      </w:r>
      <w:r w:rsidR="00521B2B">
        <w:rPr>
          <w:rFonts w:hint="cs"/>
          <w:rtl/>
        </w:rPr>
        <w:t xml:space="preserve">לא מצא להתערב בעונש המאסר אשר נגזר אך </w:t>
      </w:r>
      <w:r>
        <w:rPr>
          <w:rFonts w:hint="cs"/>
          <w:rtl/>
        </w:rPr>
        <w:t>מצא להקל בקנס, נו</w:t>
      </w:r>
      <w:r w:rsidR="00521B2B">
        <w:rPr>
          <w:rFonts w:hint="cs"/>
          <w:rtl/>
        </w:rPr>
        <w:t>כח מצבו הכלכלי ה</w:t>
      </w:r>
      <w:r>
        <w:rPr>
          <w:rFonts w:hint="cs"/>
          <w:rtl/>
        </w:rPr>
        <w:t>ק</w:t>
      </w:r>
      <w:r w:rsidR="00521B2B">
        <w:rPr>
          <w:rFonts w:hint="cs"/>
          <w:rtl/>
        </w:rPr>
        <w:t>שה ונסיבותיו האישיות של הנאשם</w:t>
      </w:r>
      <w:r>
        <w:rPr>
          <w:rFonts w:hint="cs"/>
          <w:rtl/>
        </w:rPr>
        <w:t>, תוך משקל נוסף לטענה לפיה הנאשם לא נהנה מפירות מעשיו</w:t>
      </w:r>
      <w:r w:rsidR="00521B2B">
        <w:rPr>
          <w:rFonts w:hint="cs"/>
          <w:rtl/>
        </w:rPr>
        <w:t xml:space="preserve">. באותו מקרה עלתה </w:t>
      </w:r>
      <w:r w:rsidR="004A619E">
        <w:rPr>
          <w:rFonts w:hint="cs"/>
          <w:rtl/>
        </w:rPr>
        <w:t>ה</w:t>
      </w:r>
      <w:r w:rsidR="00521B2B">
        <w:rPr>
          <w:rFonts w:hint="cs"/>
          <w:rtl/>
        </w:rPr>
        <w:t xml:space="preserve">טענה לפיה שימש </w:t>
      </w:r>
      <w:r w:rsidR="004A619E">
        <w:rPr>
          <w:rFonts w:hint="cs"/>
          <w:rtl/>
        </w:rPr>
        <w:t xml:space="preserve">הנאשם </w:t>
      </w:r>
      <w:r w:rsidR="00521B2B">
        <w:rPr>
          <w:rFonts w:hint="cs"/>
          <w:rtl/>
        </w:rPr>
        <w:t xml:space="preserve">כ'קוף' או איש קש עבור אחרים. </w:t>
      </w:r>
    </w:p>
    <w:p w:rsidR="005D48B3" w:rsidP="005D48B3" w:rsidRDefault="005D48B3">
      <w:pPr>
        <w:pStyle w:val="10"/>
        <w:spacing w:after="160" w:line="360" w:lineRule="auto"/>
        <w:jc w:val="both"/>
        <w:rPr>
          <w:rtl/>
        </w:rPr>
      </w:pPr>
    </w:p>
    <w:p w:rsidR="004A619E" w:rsidP="00714A76" w:rsidRDefault="005D48B3">
      <w:pPr>
        <w:pStyle w:val="10"/>
        <w:numPr>
          <w:ilvl w:val="0"/>
          <w:numId w:val="5"/>
        </w:numPr>
        <w:spacing w:after="160" w:line="360" w:lineRule="auto"/>
        <w:ind w:left="-142" w:firstLine="0"/>
        <w:jc w:val="both"/>
        <w:rPr>
          <w:rtl/>
        </w:rPr>
      </w:pPr>
      <w:r w:rsidRPr="003974BD">
        <w:rPr>
          <w:rFonts w:hint="cs"/>
          <w:b/>
          <w:bCs/>
          <w:rtl/>
        </w:rPr>
        <w:t xml:space="preserve">ברע"פ </w:t>
      </w:r>
      <w:r w:rsidRPr="003974BD" w:rsidR="003974BD">
        <w:rPr>
          <w:rFonts w:hint="cs"/>
          <w:b/>
          <w:bCs/>
          <w:rtl/>
        </w:rPr>
        <w:t>כץ</w:t>
      </w:r>
      <w:r w:rsidR="003974BD">
        <w:rPr>
          <w:rFonts w:hint="cs"/>
          <w:rtl/>
        </w:rPr>
        <w:t xml:space="preserve"> </w:t>
      </w:r>
      <w:r w:rsidR="001D1468">
        <w:rPr>
          <w:rFonts w:hint="cs"/>
          <w:rtl/>
        </w:rPr>
        <w:t xml:space="preserve">אליו הפנתה המאשימה, </w:t>
      </w:r>
      <w:r>
        <w:rPr>
          <w:rFonts w:hint="cs"/>
          <w:rtl/>
        </w:rPr>
        <w:t xml:space="preserve">נדחתה בקשת רשות הערעור של המבקשים, </w:t>
      </w:r>
      <w:r w:rsidR="001D1468">
        <w:rPr>
          <w:rFonts w:hint="cs"/>
          <w:rtl/>
        </w:rPr>
        <w:t xml:space="preserve">כשעל המבקש נגזר עונש מאסר בפועל בן </w:t>
      </w:r>
      <w:r>
        <w:rPr>
          <w:rFonts w:hint="cs"/>
          <w:rtl/>
        </w:rPr>
        <w:t xml:space="preserve"> </w:t>
      </w:r>
      <w:r w:rsidR="001D1468">
        <w:rPr>
          <w:rFonts w:hint="cs"/>
          <w:rtl/>
        </w:rPr>
        <w:t>20 חודשים</w:t>
      </w:r>
      <w:r>
        <w:rPr>
          <w:rFonts w:hint="cs"/>
          <w:rtl/>
        </w:rPr>
        <w:t xml:space="preserve">, בגין ניכוי מס תשומות על סמך חשבוניות כוזבות בסך 1,520,508 ₪. </w:t>
      </w:r>
    </w:p>
    <w:p w:rsidR="004A619E" w:rsidP="004A619E" w:rsidRDefault="004A619E">
      <w:pPr>
        <w:pStyle w:val="10"/>
        <w:spacing w:after="160" w:line="360" w:lineRule="auto"/>
        <w:ind w:left="-142" w:firstLine="862"/>
        <w:jc w:val="both"/>
        <w:rPr>
          <w:rtl/>
        </w:rPr>
      </w:pPr>
    </w:p>
    <w:p w:rsidR="00041EB5" w:rsidP="00141A82" w:rsidRDefault="00B22F6E">
      <w:pPr>
        <w:pStyle w:val="10"/>
        <w:numPr>
          <w:ilvl w:val="0"/>
          <w:numId w:val="5"/>
        </w:numPr>
        <w:spacing w:after="160" w:line="360" w:lineRule="auto"/>
        <w:ind w:left="-142" w:firstLine="0"/>
        <w:jc w:val="both"/>
      </w:pPr>
      <w:r>
        <w:rPr>
          <w:rtl/>
        </w:rPr>
        <w:t>ב"כ המאשימה טע</w:t>
      </w:r>
      <w:r w:rsidR="00035EB7">
        <w:rPr>
          <w:rFonts w:hint="cs"/>
          <w:rtl/>
        </w:rPr>
        <w:t>נה</w:t>
      </w:r>
      <w:r>
        <w:rPr>
          <w:rtl/>
        </w:rPr>
        <w:t xml:space="preserve"> למתחם עונש מאסר של</w:t>
      </w:r>
      <w:r w:rsidR="00035EB7">
        <w:rPr>
          <w:rFonts w:hint="cs"/>
          <w:rtl/>
        </w:rPr>
        <w:t xml:space="preserve"> 18</w:t>
      </w:r>
      <w:r w:rsidR="00035EB7">
        <w:rPr>
          <w:rtl/>
        </w:rPr>
        <w:t xml:space="preserve"> ועד</w:t>
      </w:r>
      <w:r w:rsidR="00035EB7">
        <w:rPr>
          <w:rFonts w:hint="cs"/>
          <w:rtl/>
        </w:rPr>
        <w:t xml:space="preserve"> 36</w:t>
      </w:r>
      <w:r w:rsidR="005541F0">
        <w:rPr>
          <w:rtl/>
        </w:rPr>
        <w:t xml:space="preserve"> חודשי מאסר </w:t>
      </w:r>
      <w:r w:rsidR="004A619E">
        <w:rPr>
          <w:rFonts w:hint="cs"/>
          <w:rtl/>
        </w:rPr>
        <w:t>ו</w:t>
      </w:r>
      <w:r w:rsidR="001D1468">
        <w:rPr>
          <w:rFonts w:hint="cs"/>
          <w:rtl/>
        </w:rPr>
        <w:t xml:space="preserve">אף </w:t>
      </w:r>
      <w:r w:rsidR="00D064E9">
        <w:rPr>
          <w:rFonts w:hint="cs"/>
          <w:rtl/>
        </w:rPr>
        <w:t xml:space="preserve">הפנתה </w:t>
      </w:r>
      <w:r w:rsidR="001D1468">
        <w:rPr>
          <w:rFonts w:hint="cs"/>
          <w:rtl/>
        </w:rPr>
        <w:t>לפסיקה לביסוס העונש לו עתרה (חלקה בעניין נאשמים אשר לא הודו או לקחו אחריות)</w:t>
      </w:r>
      <w:r w:rsidR="005541F0">
        <w:rPr>
          <w:rFonts w:hint="cs"/>
          <w:rtl/>
        </w:rPr>
        <w:t>.</w:t>
      </w:r>
      <w:r>
        <w:rPr>
          <w:rtl/>
        </w:rPr>
        <w:t xml:space="preserve"> ב"כ הנאשמים לא טען לכל מתחם</w:t>
      </w:r>
      <w:r w:rsidR="00076782">
        <w:rPr>
          <w:rFonts w:hint="cs"/>
          <w:rtl/>
        </w:rPr>
        <w:t>.</w:t>
      </w:r>
      <w:r>
        <w:rPr>
          <w:rtl/>
        </w:rPr>
        <w:t xml:space="preserve"> </w:t>
      </w:r>
      <w:r w:rsidR="00DD10C2">
        <w:rPr>
          <w:rFonts w:hint="cs"/>
          <w:rtl/>
        </w:rPr>
        <w:t xml:space="preserve">באשר לענישה הנוהגת יש לזכור את שצוין בע"פ 3877/16 </w:t>
      </w:r>
      <w:r w:rsidRPr="00353C63" w:rsidR="00DD10C2">
        <w:rPr>
          <w:rFonts w:hint="cs"/>
          <w:b/>
          <w:bCs/>
          <w:rtl/>
        </w:rPr>
        <w:t>ג'אבלי נגד  מדינת ישראל</w:t>
      </w:r>
      <w:r w:rsidR="00DD10C2">
        <w:rPr>
          <w:rFonts w:hint="cs"/>
          <w:rtl/>
        </w:rPr>
        <w:t xml:space="preserve"> (17.11.2016) לפיו מתחם הענישה אינו עניין אריתמטי פשוט</w:t>
      </w:r>
      <w:r w:rsidR="001D1468">
        <w:rPr>
          <w:rFonts w:hint="cs"/>
          <w:rtl/>
        </w:rPr>
        <w:t>,</w:t>
      </w:r>
      <w:r w:rsidR="00DD10C2">
        <w:rPr>
          <w:rFonts w:hint="cs"/>
          <w:rtl/>
        </w:rPr>
        <w:t xml:space="preserve"> אלא מגלם הכרעה ערכית המבוססת על שיקולים שונים שמדיניות הענישה היא רק אחד מהם</w:t>
      </w:r>
      <w:r w:rsidR="00353C63">
        <w:rPr>
          <w:rFonts w:hint="cs"/>
          <w:rtl/>
        </w:rPr>
        <w:t>.</w:t>
      </w:r>
      <w:r w:rsidR="001D1468">
        <w:t xml:space="preserve"> </w:t>
      </w:r>
      <w:r w:rsidR="00DD10C2">
        <w:rPr>
          <w:rFonts w:hint="cs"/>
          <w:rtl/>
        </w:rPr>
        <w:t>לאחר סקירת המפורט לעי</w:t>
      </w:r>
      <w:r w:rsidR="001D1468">
        <w:rPr>
          <w:rFonts w:hint="cs"/>
          <w:rtl/>
        </w:rPr>
        <w:t>ל, בראי נסיבות ביצוען של העבירות, הערכים המוגנים אשר נפגעו ומידת הפגיעה בהם</w:t>
      </w:r>
      <w:r w:rsidR="00DD10C2">
        <w:rPr>
          <w:rFonts w:hint="cs"/>
          <w:rtl/>
        </w:rPr>
        <w:t>, מצאתי להעמיד את מתחם העונש ההולם בין 14 חו</w:t>
      </w:r>
      <w:r w:rsidR="00A77B7C">
        <w:rPr>
          <w:rFonts w:hint="cs"/>
          <w:rtl/>
        </w:rPr>
        <w:t>דשי ל-</w:t>
      </w:r>
      <w:r w:rsidR="00353C63">
        <w:rPr>
          <w:rFonts w:hint="cs"/>
          <w:rtl/>
        </w:rPr>
        <w:t>36</w:t>
      </w:r>
      <w:r w:rsidR="00A77B7C">
        <w:rPr>
          <w:rFonts w:hint="cs"/>
          <w:rtl/>
        </w:rPr>
        <w:t xml:space="preserve"> חודשי מאסר, </w:t>
      </w:r>
      <w:r w:rsidR="00DD10C2">
        <w:rPr>
          <w:rFonts w:hint="cs"/>
          <w:rtl/>
        </w:rPr>
        <w:t xml:space="preserve">לצד מאסר על תנאי </w:t>
      </w:r>
      <w:r w:rsidR="00353C63">
        <w:rPr>
          <w:rFonts w:hint="cs"/>
          <w:rtl/>
        </w:rPr>
        <w:t xml:space="preserve">מרתיע, </w:t>
      </w:r>
      <w:r w:rsidR="00C90ACE">
        <w:rPr>
          <w:rFonts w:hint="cs"/>
          <w:rtl/>
        </w:rPr>
        <w:t>ו</w:t>
      </w:r>
      <w:r w:rsidR="00DD10C2">
        <w:rPr>
          <w:rFonts w:hint="cs"/>
          <w:rtl/>
        </w:rPr>
        <w:t xml:space="preserve">קנס. </w:t>
      </w:r>
    </w:p>
    <w:p w:rsidRPr="008C1AA5" w:rsidR="008C1AA5" w:rsidP="008C1AA5" w:rsidRDefault="008C1AA5">
      <w:pPr>
        <w:pStyle w:val="10"/>
        <w:spacing w:after="160" w:line="360" w:lineRule="auto"/>
        <w:ind w:left="-142"/>
        <w:jc w:val="both"/>
        <w:rPr>
          <w:b/>
          <w:bCs/>
          <w:u w:val="single"/>
        </w:rPr>
      </w:pPr>
    </w:p>
    <w:p w:rsidRPr="008C1AA5" w:rsidR="00B22F6E" w:rsidP="00D44BA2" w:rsidRDefault="00B22F6E">
      <w:pPr>
        <w:pStyle w:val="10"/>
        <w:numPr>
          <w:ilvl w:val="0"/>
          <w:numId w:val="5"/>
        </w:numPr>
        <w:spacing w:after="160" w:line="360" w:lineRule="auto"/>
        <w:ind w:left="-142" w:firstLine="0"/>
        <w:jc w:val="both"/>
        <w:rPr>
          <w:b/>
          <w:bCs/>
          <w:u w:val="single"/>
        </w:rPr>
      </w:pPr>
      <w:r>
        <w:rPr>
          <w:rtl/>
        </w:rPr>
        <w:t xml:space="preserve">לעניין </w:t>
      </w:r>
      <w:r w:rsidR="00353C63">
        <w:rPr>
          <w:rFonts w:hint="cs"/>
          <w:rtl/>
        </w:rPr>
        <w:t xml:space="preserve">הקנס, </w:t>
      </w:r>
      <w:r w:rsidR="00E85C97">
        <w:rPr>
          <w:rFonts w:hint="cs"/>
          <w:rtl/>
        </w:rPr>
        <w:t>כאשר ה</w:t>
      </w:r>
      <w:r w:rsidR="00E85C97">
        <w:rPr>
          <w:rtl/>
        </w:rPr>
        <w:t>מדובר בעבירות שנעברו לצורך הפקת תועלת כלכלית</w:t>
      </w:r>
      <w:r w:rsidR="00E85C97">
        <w:rPr>
          <w:rFonts w:hint="cs"/>
          <w:rtl/>
        </w:rPr>
        <w:t xml:space="preserve"> </w:t>
      </w:r>
      <w:r w:rsidR="00E85C97">
        <w:rPr>
          <w:rtl/>
        </w:rPr>
        <w:t xml:space="preserve">על הקנס להיות ממשי, על מנת להרתיע את </w:t>
      </w:r>
      <w:r w:rsidR="00C90ACE">
        <w:rPr>
          <w:rFonts w:hint="cs"/>
          <w:rtl/>
        </w:rPr>
        <w:t>הנאשמים</w:t>
      </w:r>
      <w:r w:rsidR="00E85C97">
        <w:rPr>
          <w:rtl/>
        </w:rPr>
        <w:t xml:space="preserve"> ואחרים וללמד כי אין לצד ביצוען של עבירות אלה כל תועלת כלכלית. גובה הקנס שיש לגזור מושפע גם מהנזק שנגרם לקופת המדינה</w:t>
      </w:r>
      <w:r w:rsidR="00E85C97">
        <w:rPr>
          <w:rFonts w:hint="cs"/>
          <w:rtl/>
        </w:rPr>
        <w:t xml:space="preserve">, </w:t>
      </w:r>
      <w:r w:rsidR="00E85C97">
        <w:rPr>
          <w:rtl/>
        </w:rPr>
        <w:t>משך ביצוען של העבירות והשיטתיות שבביצוען.</w:t>
      </w:r>
      <w:r w:rsidR="00E85C97">
        <w:rPr>
          <w:rFonts w:hint="cs"/>
          <w:rtl/>
        </w:rPr>
        <w:t xml:space="preserve"> </w:t>
      </w:r>
      <w:r w:rsidR="00353C63">
        <w:rPr>
          <w:rFonts w:hint="cs"/>
          <w:rtl/>
        </w:rPr>
        <w:t xml:space="preserve">הצדדים הסכימו כי יושת על הנאשם קנס בסך 100,000 ₪. באשר לנאשמת, שהיא חברה פעילה, השאירו את שיעור הקנס לשיקול דעת בית המשפט. בעת הטיעון לעונש הובהר על ידי הסנגור כי לנאשמת התחייבויות רבות אך מצבה טוב. באשר לנאשם, לא הוצגה כל ראיה אודות קושי כלכלי הגם שב"כ הנאשם טען כי </w:t>
      </w:r>
      <w:r w:rsidR="00E85C97">
        <w:rPr>
          <w:rFonts w:hint="cs"/>
          <w:rtl/>
        </w:rPr>
        <w:t>התחייבויותי</w:t>
      </w:r>
      <w:r w:rsidR="00E85C97">
        <w:rPr>
          <w:rFonts w:hint="eastAsia"/>
          <w:rtl/>
        </w:rPr>
        <w:t>ה</w:t>
      </w:r>
      <w:r w:rsidR="00E85C97">
        <w:rPr>
          <w:rFonts w:hint="cs"/>
          <w:rtl/>
        </w:rPr>
        <w:t xml:space="preserve"> של הנאשמת משפיעות גם על מצבו של הנאשם.</w:t>
      </w:r>
      <w:r>
        <w:rPr>
          <w:rtl/>
        </w:rPr>
        <w:t xml:space="preserve">  </w:t>
      </w:r>
      <w:r w:rsidR="00E85C97">
        <w:rPr>
          <w:rFonts w:hint="cs"/>
          <w:rtl/>
        </w:rPr>
        <w:t>בנסיבות אלה</w:t>
      </w:r>
      <w:r>
        <w:rPr>
          <w:rtl/>
        </w:rPr>
        <w:t xml:space="preserve"> מצאתי להעמיד את מתחם ה</w:t>
      </w:r>
      <w:r w:rsidR="00D44BA2">
        <w:rPr>
          <w:rFonts w:hint="cs"/>
          <w:rtl/>
        </w:rPr>
        <w:t>קנס</w:t>
      </w:r>
      <w:r>
        <w:rPr>
          <w:rtl/>
        </w:rPr>
        <w:t xml:space="preserve"> </w:t>
      </w:r>
      <w:r w:rsidR="00E85C97">
        <w:rPr>
          <w:rFonts w:hint="cs"/>
          <w:rtl/>
        </w:rPr>
        <w:t>בין</w:t>
      </w:r>
      <w:r w:rsidR="008C1AA5">
        <w:rPr>
          <w:rFonts w:hint="cs"/>
          <w:rtl/>
        </w:rPr>
        <w:t xml:space="preserve"> </w:t>
      </w:r>
      <w:r>
        <w:rPr>
          <w:rtl/>
        </w:rPr>
        <w:t xml:space="preserve"> </w:t>
      </w:r>
      <w:r w:rsidR="00C90ACE">
        <w:rPr>
          <w:rFonts w:hint="cs"/>
          <w:rtl/>
        </w:rPr>
        <w:t xml:space="preserve">40,000-150,000 ₪. באשר לנאשם, מצאתי </w:t>
      </w:r>
      <w:r w:rsidR="00E85C97">
        <w:rPr>
          <w:rFonts w:hint="cs"/>
          <w:rtl/>
        </w:rPr>
        <w:t xml:space="preserve">לאמץ את עתירת הצדדים </w:t>
      </w:r>
      <w:r w:rsidR="00C90ACE">
        <w:rPr>
          <w:rFonts w:hint="cs"/>
          <w:rtl/>
        </w:rPr>
        <w:t xml:space="preserve">לקביעתו על סך 100,000 ₪ </w:t>
      </w:r>
      <w:r w:rsidR="008C1AA5">
        <w:rPr>
          <w:rFonts w:hint="cs"/>
          <w:rtl/>
        </w:rPr>
        <w:t>.</w:t>
      </w:r>
    </w:p>
    <w:p w:rsidRPr="00D44BA2" w:rsidR="000F2039" w:rsidP="000B08F8" w:rsidRDefault="000F2039">
      <w:pPr>
        <w:pStyle w:val="10"/>
        <w:spacing w:after="160" w:line="360" w:lineRule="auto"/>
        <w:ind w:left="-142"/>
        <w:jc w:val="both"/>
        <w:rPr>
          <w:b/>
          <w:bCs/>
          <w:u w:val="single"/>
          <w:rtl/>
        </w:rPr>
      </w:pPr>
    </w:p>
    <w:p w:rsidRPr="00E85C97" w:rsidR="000B08F8" w:rsidP="00E85C97" w:rsidRDefault="00B22F6E">
      <w:pPr>
        <w:pStyle w:val="10"/>
        <w:spacing w:after="160" w:line="360" w:lineRule="auto"/>
        <w:ind w:left="-142"/>
        <w:jc w:val="both"/>
        <w:rPr>
          <w:b/>
          <w:bCs/>
          <w:u w:val="single"/>
        </w:rPr>
      </w:pPr>
      <w:r>
        <w:rPr>
          <w:b/>
          <w:bCs/>
          <w:u w:val="single"/>
          <w:rtl/>
        </w:rPr>
        <w:t>הענישה הקונקרטית:</w:t>
      </w:r>
    </w:p>
    <w:p w:rsidR="00B22F6E" w:rsidP="00D064E9" w:rsidRDefault="00B22F6E">
      <w:pPr>
        <w:pStyle w:val="10"/>
        <w:numPr>
          <w:ilvl w:val="0"/>
          <w:numId w:val="5"/>
        </w:numPr>
        <w:spacing w:after="160" w:line="360" w:lineRule="auto"/>
        <w:ind w:left="-142" w:firstLine="0"/>
        <w:jc w:val="both"/>
        <w:rPr>
          <w:rFonts w:ascii="Calibri" w:hAnsi="Calibri"/>
        </w:rPr>
      </w:pPr>
      <w:r w:rsidRPr="00CA68D1">
        <w:rPr>
          <w:rFonts w:hint="eastAsia" w:ascii="Calibri" w:hAnsi="Calibri"/>
          <w:rtl/>
        </w:rPr>
        <w:t>הנאשם</w:t>
      </w:r>
      <w:r w:rsidRPr="00CA68D1">
        <w:rPr>
          <w:rFonts w:ascii="Calibri" w:hAnsi="Calibri"/>
          <w:rtl/>
        </w:rPr>
        <w:t xml:space="preserve">, </w:t>
      </w:r>
      <w:r w:rsidRPr="00CA68D1" w:rsidR="000B08F8">
        <w:rPr>
          <w:rFonts w:hint="cs" w:ascii="Calibri" w:hAnsi="Calibri"/>
          <w:rtl/>
        </w:rPr>
        <w:t>בן 47, נשוי ואב לשלושה ילדים קטינים, אשתו עקרת בית והוא המפרנס היחיד במשפחתו</w:t>
      </w:r>
      <w:r w:rsidRPr="00CA68D1" w:rsidR="00E85C97">
        <w:rPr>
          <w:rFonts w:hint="cs" w:ascii="Calibri" w:hAnsi="Calibri"/>
          <w:rtl/>
        </w:rPr>
        <w:t>, ברי כי כל עונש מאסר אשר ייגזר על הנאשם ישפיע על בני משפחתו. הנאשם אף בעל עסק (הנאשמת)</w:t>
      </w:r>
      <w:r w:rsidR="00EE6DF0">
        <w:rPr>
          <w:rFonts w:hint="cs" w:ascii="Calibri" w:hAnsi="Calibri"/>
          <w:rtl/>
        </w:rPr>
        <w:t xml:space="preserve"> ה</w:t>
      </w:r>
      <w:r w:rsidRPr="00CA68D1" w:rsidR="00E85C97">
        <w:rPr>
          <w:rFonts w:hint="cs" w:ascii="Calibri" w:hAnsi="Calibri"/>
          <w:rtl/>
        </w:rPr>
        <w:t xml:space="preserve">מעסיק עובדים (לדברי ב"כ הנאשם </w:t>
      </w:r>
      <w:r w:rsidR="00EE6DF0">
        <w:rPr>
          <w:rFonts w:hint="cs" w:ascii="Calibri" w:hAnsi="Calibri"/>
          <w:rtl/>
        </w:rPr>
        <w:t xml:space="preserve">- </w:t>
      </w:r>
      <w:r w:rsidRPr="00CA68D1" w:rsidR="00E85C97">
        <w:rPr>
          <w:rFonts w:hint="cs" w:ascii="Calibri" w:hAnsi="Calibri"/>
          <w:rtl/>
        </w:rPr>
        <w:t xml:space="preserve">תושבי שטחים) ואין ספק כי גם פעילותו של העסק וכפועל יוצא מצבם של העובדים בו יושפע מהעונש שייגזר על הנאשם. </w:t>
      </w:r>
      <w:r w:rsidRPr="00CA68D1">
        <w:rPr>
          <w:rFonts w:ascii="Calibri" w:hAnsi="Calibri"/>
          <w:rtl/>
        </w:rPr>
        <w:t xml:space="preserve"> </w:t>
      </w:r>
      <w:r w:rsidR="00EE6DF0">
        <w:rPr>
          <w:rFonts w:hint="cs" w:ascii="Calibri" w:hAnsi="Calibri"/>
          <w:rtl/>
        </w:rPr>
        <w:t>אלה יובאו בחשבון על ידי בעת גזירת העונש. בנוסף יש לתת את הדעת לקולא</w:t>
      </w:r>
      <w:r w:rsidRPr="00CA68D1">
        <w:rPr>
          <w:rFonts w:ascii="Calibri" w:hAnsi="Calibri"/>
          <w:rtl/>
        </w:rPr>
        <w:t xml:space="preserve"> </w:t>
      </w:r>
      <w:r w:rsidRPr="00CA68D1">
        <w:rPr>
          <w:rFonts w:hint="eastAsia" w:ascii="Calibri" w:hAnsi="Calibri"/>
          <w:rtl/>
        </w:rPr>
        <w:t>להודייתו</w:t>
      </w:r>
      <w:r w:rsidRPr="00CA68D1">
        <w:rPr>
          <w:rFonts w:ascii="Calibri" w:hAnsi="Calibri"/>
          <w:rtl/>
        </w:rPr>
        <w:t xml:space="preserve"> </w:t>
      </w:r>
      <w:r w:rsidRPr="00CA68D1">
        <w:rPr>
          <w:rFonts w:hint="eastAsia" w:ascii="Calibri" w:hAnsi="Calibri"/>
          <w:rtl/>
        </w:rPr>
        <w:t>של</w:t>
      </w:r>
      <w:r w:rsidRPr="00CA68D1">
        <w:rPr>
          <w:rFonts w:ascii="Calibri" w:hAnsi="Calibri"/>
          <w:rtl/>
        </w:rPr>
        <w:t xml:space="preserve"> </w:t>
      </w:r>
      <w:r w:rsidRPr="00CA68D1">
        <w:rPr>
          <w:rFonts w:hint="eastAsia" w:ascii="Calibri" w:hAnsi="Calibri"/>
          <w:rtl/>
        </w:rPr>
        <w:t>הנאשם</w:t>
      </w:r>
      <w:r w:rsidRPr="00CA68D1">
        <w:rPr>
          <w:rFonts w:ascii="Calibri" w:hAnsi="Calibri"/>
          <w:rtl/>
        </w:rPr>
        <w:t xml:space="preserve">, </w:t>
      </w:r>
      <w:r w:rsidRPr="00CA68D1" w:rsidR="00CA68D1">
        <w:rPr>
          <w:rFonts w:hint="cs" w:ascii="Calibri" w:hAnsi="Calibri"/>
          <w:rtl/>
        </w:rPr>
        <w:t xml:space="preserve">לטענת בא כוחו בדבר שיתוף פעולה </w:t>
      </w:r>
      <w:r w:rsidRPr="00CA68D1" w:rsidR="00CA68D1">
        <w:rPr>
          <w:rFonts w:hint="cs" w:ascii="Calibri" w:hAnsi="Calibri"/>
          <w:rtl/>
        </w:rPr>
        <w:lastRenderedPageBreak/>
        <w:t>בחקירה, ל</w:t>
      </w:r>
      <w:r w:rsidRPr="00CA68D1">
        <w:rPr>
          <w:rFonts w:hint="eastAsia" w:ascii="Calibri" w:hAnsi="Calibri"/>
          <w:rtl/>
        </w:rPr>
        <w:t>חיסכון</w:t>
      </w:r>
      <w:r w:rsidRPr="00CA68D1">
        <w:rPr>
          <w:rFonts w:ascii="Calibri" w:hAnsi="Calibri"/>
          <w:rtl/>
        </w:rPr>
        <w:t xml:space="preserve"> </w:t>
      </w:r>
      <w:r w:rsidRPr="00CA68D1">
        <w:rPr>
          <w:rFonts w:hint="eastAsia" w:ascii="Calibri" w:hAnsi="Calibri"/>
          <w:rtl/>
        </w:rPr>
        <w:t>הזמן</w:t>
      </w:r>
      <w:r w:rsidRPr="00CA68D1">
        <w:rPr>
          <w:rFonts w:ascii="Calibri" w:hAnsi="Calibri"/>
          <w:rtl/>
        </w:rPr>
        <w:t xml:space="preserve"> </w:t>
      </w:r>
      <w:r w:rsidRPr="00CA68D1">
        <w:rPr>
          <w:rFonts w:hint="eastAsia" w:ascii="Calibri" w:hAnsi="Calibri"/>
          <w:rtl/>
        </w:rPr>
        <w:t>השיפוטי</w:t>
      </w:r>
      <w:r w:rsidRPr="00CA68D1">
        <w:rPr>
          <w:rFonts w:ascii="Calibri" w:hAnsi="Calibri"/>
          <w:rtl/>
        </w:rPr>
        <w:t xml:space="preserve"> </w:t>
      </w:r>
      <w:r w:rsidRPr="00CA68D1">
        <w:rPr>
          <w:rFonts w:hint="eastAsia" w:ascii="Calibri" w:hAnsi="Calibri"/>
          <w:rtl/>
        </w:rPr>
        <w:t>על</w:t>
      </w:r>
      <w:r w:rsidRPr="00CA68D1">
        <w:rPr>
          <w:rFonts w:ascii="Calibri" w:hAnsi="Calibri"/>
          <w:rtl/>
        </w:rPr>
        <w:t xml:space="preserve"> </w:t>
      </w:r>
      <w:r w:rsidRPr="00CA68D1">
        <w:rPr>
          <w:rFonts w:hint="eastAsia" w:ascii="Calibri" w:hAnsi="Calibri"/>
          <w:rtl/>
        </w:rPr>
        <w:t>ידו</w:t>
      </w:r>
      <w:r w:rsidRPr="00CA68D1" w:rsidR="00E85C97">
        <w:rPr>
          <w:rFonts w:hint="cs" w:ascii="Calibri" w:hAnsi="Calibri"/>
          <w:rtl/>
        </w:rPr>
        <w:t xml:space="preserve"> </w:t>
      </w:r>
      <w:r w:rsidR="00F33FFA">
        <w:rPr>
          <w:rFonts w:hint="cs" w:ascii="Calibri" w:hAnsi="Calibri"/>
          <w:rtl/>
        </w:rPr>
        <w:t xml:space="preserve">(הגם שבמסגרת ההליך המשפטי לא התייצב למספר דיונים) </w:t>
      </w:r>
      <w:r w:rsidRPr="00CA68D1" w:rsidR="00E85C97">
        <w:rPr>
          <w:rFonts w:hint="cs" w:ascii="Calibri" w:hAnsi="Calibri"/>
          <w:rtl/>
        </w:rPr>
        <w:t>ולק</w:t>
      </w:r>
      <w:r w:rsidRPr="00CA68D1" w:rsidR="00CA68D1">
        <w:rPr>
          <w:rFonts w:hint="cs" w:ascii="Calibri" w:hAnsi="Calibri"/>
          <w:rtl/>
        </w:rPr>
        <w:t>יחת האחריות על ידו.</w:t>
      </w:r>
      <w:r w:rsidRPr="00CA68D1">
        <w:rPr>
          <w:rFonts w:ascii="Calibri" w:hAnsi="Calibri"/>
          <w:rtl/>
        </w:rPr>
        <w:t xml:space="preserve"> </w:t>
      </w:r>
      <w:r w:rsidRPr="00CA68D1">
        <w:rPr>
          <w:rFonts w:hint="eastAsia" w:ascii="Calibri" w:hAnsi="Calibri"/>
          <w:rtl/>
        </w:rPr>
        <w:t>לצד</w:t>
      </w:r>
      <w:r w:rsidRPr="00CA68D1">
        <w:rPr>
          <w:rFonts w:ascii="Calibri" w:hAnsi="Calibri"/>
          <w:rtl/>
        </w:rPr>
        <w:t xml:space="preserve"> </w:t>
      </w:r>
      <w:r w:rsidRPr="00CA68D1">
        <w:rPr>
          <w:rFonts w:hint="eastAsia" w:ascii="Calibri" w:hAnsi="Calibri"/>
          <w:rtl/>
        </w:rPr>
        <w:t>זאת</w:t>
      </w:r>
      <w:r w:rsidRPr="00CA68D1">
        <w:rPr>
          <w:rFonts w:ascii="Calibri" w:hAnsi="Calibri"/>
          <w:rtl/>
        </w:rPr>
        <w:t xml:space="preserve"> </w:t>
      </w:r>
      <w:r w:rsidRPr="00CA68D1">
        <w:rPr>
          <w:rFonts w:hint="eastAsia" w:ascii="Calibri" w:hAnsi="Calibri"/>
          <w:rtl/>
        </w:rPr>
        <w:t>יש</w:t>
      </w:r>
      <w:r w:rsidRPr="00CA68D1">
        <w:rPr>
          <w:rFonts w:ascii="Calibri" w:hAnsi="Calibri"/>
          <w:rtl/>
        </w:rPr>
        <w:t xml:space="preserve"> </w:t>
      </w:r>
      <w:r w:rsidRPr="00CA68D1">
        <w:rPr>
          <w:rFonts w:hint="eastAsia" w:ascii="Calibri" w:hAnsi="Calibri"/>
          <w:rtl/>
        </w:rPr>
        <w:t>לזכור</w:t>
      </w:r>
      <w:r w:rsidRPr="00CA68D1">
        <w:rPr>
          <w:rFonts w:ascii="Calibri" w:hAnsi="Calibri"/>
          <w:rtl/>
        </w:rPr>
        <w:t xml:space="preserve"> </w:t>
      </w:r>
      <w:r w:rsidRPr="00CA68D1">
        <w:rPr>
          <w:rFonts w:hint="eastAsia" w:ascii="Calibri" w:hAnsi="Calibri"/>
          <w:rtl/>
        </w:rPr>
        <w:t>כי</w:t>
      </w:r>
      <w:r w:rsidRPr="00CA68D1">
        <w:rPr>
          <w:rFonts w:ascii="Calibri" w:hAnsi="Calibri"/>
          <w:rtl/>
        </w:rPr>
        <w:t xml:space="preserve"> </w:t>
      </w:r>
      <w:r w:rsidRPr="00CA68D1">
        <w:rPr>
          <w:rFonts w:hint="eastAsia" w:ascii="Calibri" w:hAnsi="Calibri"/>
          <w:rtl/>
        </w:rPr>
        <w:t>הנאשם</w:t>
      </w:r>
      <w:r w:rsidRPr="00CA68D1">
        <w:rPr>
          <w:rFonts w:ascii="Calibri" w:hAnsi="Calibri"/>
          <w:rtl/>
        </w:rPr>
        <w:t xml:space="preserve"> </w:t>
      </w:r>
      <w:r w:rsidRPr="00CA68D1">
        <w:rPr>
          <w:rFonts w:hint="eastAsia" w:ascii="Calibri" w:hAnsi="Calibri"/>
          <w:rtl/>
        </w:rPr>
        <w:t>לא</w:t>
      </w:r>
      <w:r w:rsidRPr="00CA68D1">
        <w:rPr>
          <w:rFonts w:ascii="Calibri" w:hAnsi="Calibri"/>
          <w:rtl/>
        </w:rPr>
        <w:t xml:space="preserve"> </w:t>
      </w:r>
      <w:r w:rsidRPr="00CA68D1">
        <w:rPr>
          <w:rFonts w:hint="eastAsia" w:ascii="Calibri" w:hAnsi="Calibri"/>
          <w:rtl/>
        </w:rPr>
        <w:t>הסיר</w:t>
      </w:r>
      <w:r w:rsidRPr="00CA68D1">
        <w:rPr>
          <w:rFonts w:ascii="Calibri" w:hAnsi="Calibri"/>
          <w:rtl/>
        </w:rPr>
        <w:t xml:space="preserve"> </w:t>
      </w:r>
      <w:r w:rsidR="00EE6DF0">
        <w:rPr>
          <w:rFonts w:hint="cs" w:ascii="Calibri" w:hAnsi="Calibri"/>
          <w:rtl/>
        </w:rPr>
        <w:t>את מחדלי כתב האישום ועניין זה נשקל לחומרה בין שיקולי הענישה</w:t>
      </w:r>
      <w:r w:rsidRPr="00CA68D1">
        <w:rPr>
          <w:rFonts w:ascii="Calibri" w:hAnsi="Calibri"/>
          <w:rtl/>
        </w:rPr>
        <w:t xml:space="preserve">. </w:t>
      </w:r>
      <w:r w:rsidR="00E424CE">
        <w:rPr>
          <w:rFonts w:hint="cs" w:ascii="Calibri" w:hAnsi="Calibri"/>
          <w:rtl/>
        </w:rPr>
        <w:t>בית המשפט העליון ציין לא אחת את חשיבות הסרת המחדל בת</w:t>
      </w:r>
      <w:r w:rsidR="00EE6DF0">
        <w:rPr>
          <w:rFonts w:hint="cs" w:ascii="Calibri" w:hAnsi="Calibri"/>
          <w:rtl/>
        </w:rPr>
        <w:t>י</w:t>
      </w:r>
      <w:r w:rsidR="00E424CE">
        <w:rPr>
          <w:rFonts w:hint="cs" w:ascii="Calibri" w:hAnsi="Calibri"/>
          <w:rtl/>
        </w:rPr>
        <w:t xml:space="preserve">קים מסוג זה, בין היתר, כדרך להביע חרטה אמיתית וכנה </w:t>
      </w:r>
      <w:r w:rsidR="00CA68D1">
        <w:rPr>
          <w:rFonts w:hint="cs" w:ascii="Calibri" w:hAnsi="Calibri"/>
          <w:rtl/>
        </w:rPr>
        <w:t xml:space="preserve">(ר' רע"פ 7851/13 </w:t>
      </w:r>
      <w:r w:rsidRPr="00E424CE" w:rsidR="00CA68D1">
        <w:rPr>
          <w:rFonts w:hint="cs" w:ascii="Calibri" w:hAnsi="Calibri"/>
          <w:b/>
          <w:bCs/>
          <w:rtl/>
        </w:rPr>
        <w:t xml:space="preserve">עודה </w:t>
      </w:r>
      <w:r w:rsidRPr="00E424CE" w:rsidR="00CA68D1">
        <w:rPr>
          <w:rFonts w:hint="eastAsia" w:ascii="Calibri" w:hAnsi="Calibri"/>
          <w:b/>
          <w:bCs/>
          <w:rtl/>
        </w:rPr>
        <w:t>נ'</w:t>
      </w:r>
      <w:r w:rsidRPr="00E424CE" w:rsidR="00E424CE">
        <w:rPr>
          <w:rFonts w:hint="cs" w:ascii="Calibri" w:hAnsi="Calibri"/>
          <w:b/>
          <w:bCs/>
          <w:rtl/>
        </w:rPr>
        <w:t xml:space="preserve"> </w:t>
      </w:r>
      <w:r w:rsidRPr="00E424CE" w:rsidR="00CA68D1">
        <w:rPr>
          <w:rFonts w:hint="cs" w:ascii="Calibri" w:hAnsi="Calibri"/>
          <w:b/>
          <w:bCs/>
          <w:rtl/>
        </w:rPr>
        <w:t>מדינת ישראל</w:t>
      </w:r>
      <w:r w:rsidR="00CA68D1">
        <w:rPr>
          <w:rFonts w:hint="cs" w:ascii="Calibri" w:hAnsi="Calibri"/>
          <w:rtl/>
        </w:rPr>
        <w:t xml:space="preserve"> </w:t>
      </w:r>
      <w:r w:rsidR="00D82A11">
        <w:rPr>
          <w:rFonts w:hint="cs" w:ascii="Calibri" w:hAnsi="Calibri"/>
          <w:rtl/>
        </w:rPr>
        <w:t>(3.9.2015)</w:t>
      </w:r>
      <w:r w:rsidR="00E424CE">
        <w:rPr>
          <w:rFonts w:hint="cs" w:ascii="Calibri" w:hAnsi="Calibri"/>
          <w:rtl/>
        </w:rPr>
        <w:t>)</w:t>
      </w:r>
      <w:r w:rsidRPr="00CA68D1">
        <w:rPr>
          <w:rFonts w:ascii="Calibri" w:hAnsi="Calibri"/>
          <w:rtl/>
        </w:rPr>
        <w:t xml:space="preserve">. </w:t>
      </w:r>
      <w:r w:rsidR="00C90ACE">
        <w:rPr>
          <w:rFonts w:hint="cs" w:ascii="Calibri" w:hAnsi="Calibri"/>
          <w:rtl/>
        </w:rPr>
        <w:t>נתתי דעתי ל</w:t>
      </w:r>
      <w:r w:rsidR="00EE6DF0">
        <w:rPr>
          <w:rFonts w:hint="cs" w:ascii="Calibri" w:hAnsi="Calibri"/>
          <w:rtl/>
        </w:rPr>
        <w:t xml:space="preserve">דברי ב"כ הנאשם לפיהם לאחר ריצוי עונש המאסר יפעל הנאשם לתשלום חובו לרשות המסים אך אין </w:t>
      </w:r>
      <w:r w:rsidR="00C672EF">
        <w:rPr>
          <w:rFonts w:hint="cs" w:ascii="Calibri" w:hAnsi="Calibri"/>
          <w:rtl/>
        </w:rPr>
        <w:t>בהצהרה זו כדי להביא להקלה בעונש</w:t>
      </w:r>
      <w:r w:rsidR="00EE6DF0">
        <w:rPr>
          <w:rFonts w:hint="cs" w:ascii="Calibri" w:hAnsi="Calibri"/>
          <w:rtl/>
        </w:rPr>
        <w:t xml:space="preserve"> או להקל ממידת החומרה והנזק האדיר שנגרם לקופת המדינה בעקבות מעשי הנאשם, ואשר לא רופא. </w:t>
      </w:r>
    </w:p>
    <w:p w:rsidRPr="00CA68D1" w:rsidR="00CA68D1" w:rsidP="00CA68D1" w:rsidRDefault="00CA68D1">
      <w:pPr>
        <w:pStyle w:val="10"/>
        <w:spacing w:after="160" w:line="360" w:lineRule="auto"/>
        <w:ind w:left="-142"/>
        <w:jc w:val="both"/>
        <w:rPr>
          <w:rFonts w:ascii="Calibri" w:hAnsi="Calibri"/>
          <w:rtl/>
        </w:rPr>
      </w:pPr>
    </w:p>
    <w:p w:rsidR="00C90ACE" w:rsidP="00F33FFA" w:rsidRDefault="00C90ACE">
      <w:pPr>
        <w:pStyle w:val="10"/>
        <w:numPr>
          <w:ilvl w:val="0"/>
          <w:numId w:val="5"/>
        </w:numPr>
        <w:spacing w:after="160" w:line="360" w:lineRule="auto"/>
        <w:ind w:left="-142" w:firstLine="0"/>
        <w:jc w:val="both"/>
      </w:pPr>
      <w:r>
        <w:rPr>
          <w:rFonts w:hint="cs"/>
          <w:rtl/>
        </w:rPr>
        <w:t xml:space="preserve">במקרה זה </w:t>
      </w:r>
      <w:r w:rsidR="00C672EF">
        <w:rPr>
          <w:rFonts w:hint="cs"/>
          <w:rtl/>
        </w:rPr>
        <w:t xml:space="preserve">לא נטענה כל טענה לעניין חלוף הזמן ואף </w:t>
      </w:r>
      <w:r>
        <w:rPr>
          <w:rFonts w:hint="cs"/>
          <w:rtl/>
        </w:rPr>
        <w:t xml:space="preserve">אינני מוצאת כי </w:t>
      </w:r>
      <w:r w:rsidR="00C672EF">
        <w:rPr>
          <w:rFonts w:hint="cs"/>
          <w:rtl/>
        </w:rPr>
        <w:t>המדובר ב</w:t>
      </w:r>
      <w:r>
        <w:rPr>
          <w:rFonts w:hint="cs"/>
          <w:rtl/>
        </w:rPr>
        <w:t xml:space="preserve">חלוף זמן משמעותי אותו יש לזקוף לקולא. המדובר בעבירות אשר נעברו בשנים 2013-2014. מעיון בכתב האישום (פרטי </w:t>
      </w:r>
      <w:r w:rsidR="00F33FFA">
        <w:rPr>
          <w:rFonts w:hint="cs"/>
          <w:rtl/>
        </w:rPr>
        <w:t>מעצר ושחרור בערובה</w:t>
      </w:r>
      <w:r>
        <w:rPr>
          <w:rFonts w:hint="cs"/>
          <w:rtl/>
        </w:rPr>
        <w:t xml:space="preserve">) </w:t>
      </w:r>
      <w:r w:rsidR="00F33FFA">
        <w:rPr>
          <w:rFonts w:hint="cs"/>
          <w:rtl/>
        </w:rPr>
        <w:t>ניתן להבין</w:t>
      </w:r>
      <w:r>
        <w:rPr>
          <w:rFonts w:hint="cs"/>
          <w:rtl/>
        </w:rPr>
        <w:t xml:space="preserve"> כי חקירת הנאשם נערכה </w:t>
      </w:r>
      <w:r w:rsidR="00C672EF">
        <w:rPr>
          <w:rFonts w:hint="cs"/>
          <w:rtl/>
        </w:rPr>
        <w:t>בחודש פברואר</w:t>
      </w:r>
      <w:r>
        <w:rPr>
          <w:rFonts w:hint="cs"/>
          <w:rtl/>
        </w:rPr>
        <w:t xml:space="preserve"> 2015. כתב </w:t>
      </w:r>
      <w:r w:rsidR="00C672EF">
        <w:rPr>
          <w:rFonts w:hint="cs"/>
          <w:rtl/>
        </w:rPr>
        <w:t xml:space="preserve">האישום הוגש בחודש ינואר 2017. הדחיות בתיק נבעו בעיקרן מאי התייצבות הנאשם לדיונים, לדבריי בא כוחו, </w:t>
      </w:r>
      <w:r w:rsidR="00D80F22">
        <w:rPr>
          <w:rFonts w:hint="cs"/>
          <w:rtl/>
        </w:rPr>
        <w:t xml:space="preserve">בין היתר, </w:t>
      </w:r>
      <w:r w:rsidR="00C672EF">
        <w:rPr>
          <w:rFonts w:hint="cs"/>
          <w:rtl/>
        </w:rPr>
        <w:t xml:space="preserve">בשל עומס עבודה, </w:t>
      </w:r>
      <w:r w:rsidR="00F33FFA">
        <w:rPr>
          <w:rFonts w:hint="cs"/>
          <w:rtl/>
        </w:rPr>
        <w:t>שכמובן איננה בגדר סיבה המצדיקה אי התייצבות</w:t>
      </w:r>
      <w:r w:rsidR="00C672EF">
        <w:rPr>
          <w:rFonts w:hint="cs"/>
          <w:rtl/>
        </w:rPr>
        <w:t xml:space="preserve">. </w:t>
      </w:r>
    </w:p>
    <w:p w:rsidR="00C672EF" w:rsidP="00C672EF" w:rsidRDefault="00C672EF">
      <w:pPr>
        <w:pStyle w:val="10"/>
        <w:spacing w:after="160" w:line="360" w:lineRule="auto"/>
        <w:ind w:left="-142"/>
        <w:jc w:val="both"/>
      </w:pPr>
    </w:p>
    <w:p w:rsidR="009E1CD8" w:rsidP="000B45A9" w:rsidRDefault="00EE6DF0">
      <w:pPr>
        <w:pStyle w:val="10"/>
        <w:numPr>
          <w:ilvl w:val="0"/>
          <w:numId w:val="5"/>
        </w:numPr>
        <w:spacing w:after="160" w:line="360" w:lineRule="auto"/>
        <w:ind w:left="-142" w:firstLine="0"/>
        <w:jc w:val="both"/>
      </w:pPr>
      <w:r>
        <w:rPr>
          <w:rFonts w:hint="cs"/>
          <w:rtl/>
        </w:rPr>
        <w:t>הנאשם וב"כ לא ציינו נסיבות אישיות או כלכליות יוצאות דופן בעניין הנאשמים, למעט המפורט לעיל.</w:t>
      </w:r>
      <w:r w:rsidR="000B45A9">
        <w:rPr>
          <w:rFonts w:hint="cs"/>
          <w:rtl/>
        </w:rPr>
        <w:t xml:space="preserve"> נסיבה נוספת לקולא היא העובדה שהנאשם נעדר עבר פלילי מכל מין וסוג. </w:t>
      </w:r>
      <w:r>
        <w:rPr>
          <w:rFonts w:hint="cs"/>
          <w:rtl/>
        </w:rPr>
        <w:t>מכל מקום</w:t>
      </w:r>
      <w:r w:rsidR="00B22F6E">
        <w:rPr>
          <w:rtl/>
        </w:rPr>
        <w:t xml:space="preserve">, </w:t>
      </w:r>
      <w:r w:rsidR="000B45A9">
        <w:rPr>
          <w:rFonts w:hint="cs"/>
          <w:rtl/>
        </w:rPr>
        <w:t xml:space="preserve">וביחס לנסיבות אישיות של נאשם בעבירות מסוג זה, </w:t>
      </w:r>
      <w:r w:rsidR="00B22F6E">
        <w:rPr>
          <w:rtl/>
        </w:rPr>
        <w:t>יש לזכור</w:t>
      </w:r>
      <w:r>
        <w:rPr>
          <w:rFonts w:hint="cs"/>
          <w:rtl/>
        </w:rPr>
        <w:t xml:space="preserve"> </w:t>
      </w:r>
      <w:r w:rsidR="000B45A9">
        <w:rPr>
          <w:rFonts w:hint="cs"/>
          <w:rtl/>
        </w:rPr>
        <w:t xml:space="preserve">כי </w:t>
      </w:r>
      <w:r>
        <w:rPr>
          <w:rFonts w:hint="cs"/>
          <w:rtl/>
        </w:rPr>
        <w:t>גם מקום בו קיימות נסיבות אישיות מיוחדות הכלל הוא ש</w:t>
      </w:r>
      <w:r w:rsidR="00B22F6E">
        <w:rPr>
          <w:rtl/>
        </w:rPr>
        <w:t xml:space="preserve">בתיקים מסוג זה מקבל האינטרס הציבורי בדמות הרתעת היחיד והרתעת הרבים בכורה על פני </w:t>
      </w:r>
      <w:r w:rsidR="000B45A9">
        <w:rPr>
          <w:rFonts w:hint="cs"/>
          <w:rtl/>
        </w:rPr>
        <w:t>אותן נסיבות.</w:t>
      </w:r>
      <w:r w:rsidR="00B22F6E">
        <w:rPr>
          <w:rtl/>
        </w:rPr>
        <w:t xml:space="preserve"> (ראו: </w:t>
      </w:r>
      <w:hyperlink w:history="1" r:id="rId15">
        <w:r w:rsidRPr="00EE6DF0" w:rsidR="00B22F6E">
          <w:rPr>
            <w:rtl/>
          </w:rPr>
          <w:t>רע"פ 3998/15</w:t>
        </w:r>
      </w:hyperlink>
      <w:r w:rsidR="00B22F6E">
        <w:rPr>
          <w:rtl/>
        </w:rPr>
        <w:t xml:space="preserve"> </w:t>
      </w:r>
      <w:r w:rsidRPr="00EE6DF0" w:rsidR="00B22F6E">
        <w:rPr>
          <w:b/>
          <w:bCs/>
          <w:rtl/>
        </w:rPr>
        <w:t>פלוני נ' מדינת ישראל</w:t>
      </w:r>
      <w:r w:rsidR="00B22F6E">
        <w:rPr>
          <w:rtl/>
        </w:rPr>
        <w:t xml:space="preserve"> (28.6.2015) וכן: </w:t>
      </w:r>
      <w:hyperlink w:history="1" r:id="rId16">
        <w:r w:rsidRPr="00EE6DF0" w:rsidR="00B22F6E">
          <w:rPr>
            <w:rtl/>
          </w:rPr>
          <w:t>רע"פ 977/13</w:t>
        </w:r>
      </w:hyperlink>
      <w:r w:rsidR="00B22F6E">
        <w:rPr>
          <w:rtl/>
        </w:rPr>
        <w:t xml:space="preserve"> </w:t>
      </w:r>
      <w:r w:rsidRPr="00EE6DF0" w:rsidR="00B22F6E">
        <w:rPr>
          <w:b/>
          <w:bCs/>
          <w:rtl/>
        </w:rPr>
        <w:t xml:space="preserve">אודיז נ' מדינת ישראל </w:t>
      </w:r>
      <w:r w:rsidR="00B22F6E">
        <w:rPr>
          <w:rtl/>
        </w:rPr>
        <w:t xml:space="preserve"> (20.2.2013): </w:t>
      </w:r>
      <w:r w:rsidRPr="007268C4" w:rsidR="00B22F6E">
        <w:rPr>
          <w:b/>
          <w:bCs/>
          <w:rtl/>
        </w:rPr>
        <w:t>"בית</w:t>
      </w:r>
      <w:r w:rsidRPr="007268C4" w:rsidR="00B22F6E">
        <w:rPr>
          <w:b/>
          <w:bCs/>
        </w:rPr>
        <w:t xml:space="preserve"> </w:t>
      </w:r>
      <w:r w:rsidRPr="007268C4" w:rsidR="00B22F6E">
        <w:rPr>
          <w:b/>
          <w:bCs/>
          <w:rtl/>
        </w:rPr>
        <w:t>משפט</w:t>
      </w:r>
      <w:r w:rsidRPr="007268C4" w:rsidR="00B22F6E">
        <w:rPr>
          <w:b/>
          <w:bCs/>
        </w:rPr>
        <w:t xml:space="preserve"> </w:t>
      </w:r>
      <w:r w:rsidRPr="007268C4" w:rsidR="00B22F6E">
        <w:rPr>
          <w:b/>
          <w:bCs/>
          <w:rtl/>
        </w:rPr>
        <w:t>זה</w:t>
      </w:r>
      <w:r w:rsidRPr="007268C4" w:rsidR="00B22F6E">
        <w:rPr>
          <w:b/>
          <w:bCs/>
        </w:rPr>
        <w:t xml:space="preserve"> </w:t>
      </w:r>
      <w:r w:rsidRPr="007268C4" w:rsidR="00B22F6E">
        <w:rPr>
          <w:b/>
          <w:bCs/>
          <w:rtl/>
        </w:rPr>
        <w:t>כבר</w:t>
      </w:r>
      <w:r w:rsidRPr="007268C4" w:rsidR="00B22F6E">
        <w:rPr>
          <w:b/>
          <w:bCs/>
        </w:rPr>
        <w:t xml:space="preserve"> </w:t>
      </w:r>
      <w:r w:rsidRPr="007268C4" w:rsidR="00B22F6E">
        <w:rPr>
          <w:b/>
          <w:bCs/>
          <w:rtl/>
        </w:rPr>
        <w:t>קבע</w:t>
      </w:r>
      <w:r w:rsidRPr="007268C4" w:rsidR="00B22F6E">
        <w:rPr>
          <w:b/>
          <w:bCs/>
        </w:rPr>
        <w:t xml:space="preserve">, </w:t>
      </w:r>
      <w:r w:rsidRPr="007268C4" w:rsidR="00B22F6E">
        <w:rPr>
          <w:b/>
          <w:bCs/>
          <w:rtl/>
        </w:rPr>
        <w:t>לא</w:t>
      </w:r>
      <w:r w:rsidRPr="007268C4" w:rsidR="00B22F6E">
        <w:rPr>
          <w:b/>
          <w:bCs/>
        </w:rPr>
        <w:t xml:space="preserve"> </w:t>
      </w:r>
      <w:r w:rsidRPr="007268C4" w:rsidR="00B22F6E">
        <w:rPr>
          <w:b/>
          <w:bCs/>
          <w:rtl/>
        </w:rPr>
        <w:t>אחת</w:t>
      </w:r>
      <w:r w:rsidRPr="007268C4" w:rsidR="00B22F6E">
        <w:rPr>
          <w:b/>
          <w:bCs/>
        </w:rPr>
        <w:t xml:space="preserve">, </w:t>
      </w:r>
      <w:r w:rsidR="001A556D">
        <w:rPr>
          <w:rFonts w:hint="cs"/>
          <w:b/>
          <w:bCs/>
          <w:rtl/>
        </w:rPr>
        <w:t xml:space="preserve"> </w:t>
      </w:r>
      <w:r w:rsidRPr="007268C4" w:rsidR="00B22F6E">
        <w:rPr>
          <w:b/>
          <w:bCs/>
          <w:rtl/>
        </w:rPr>
        <w:t>כי</w:t>
      </w:r>
      <w:r w:rsidRPr="007268C4" w:rsidR="00B22F6E">
        <w:rPr>
          <w:b/>
          <w:bCs/>
        </w:rPr>
        <w:t xml:space="preserve"> </w:t>
      </w:r>
      <w:r w:rsidRPr="007268C4" w:rsidR="00B22F6E">
        <w:rPr>
          <w:b/>
          <w:bCs/>
          <w:rtl/>
        </w:rPr>
        <w:t>עבירות</w:t>
      </w:r>
      <w:r w:rsidRPr="007268C4" w:rsidR="00B22F6E">
        <w:rPr>
          <w:b/>
          <w:bCs/>
        </w:rPr>
        <w:t xml:space="preserve"> </w:t>
      </w:r>
      <w:r w:rsidRPr="007268C4" w:rsidR="00B22F6E">
        <w:rPr>
          <w:b/>
          <w:bCs/>
          <w:rtl/>
        </w:rPr>
        <w:t>המס</w:t>
      </w:r>
      <w:r w:rsidRPr="007268C4" w:rsidR="00B22F6E">
        <w:rPr>
          <w:b/>
          <w:bCs/>
        </w:rPr>
        <w:t xml:space="preserve"> </w:t>
      </w:r>
      <w:r w:rsidRPr="007268C4" w:rsidR="00B22F6E">
        <w:rPr>
          <w:b/>
          <w:bCs/>
          <w:rtl/>
        </w:rPr>
        <w:t>מתאפיינות</w:t>
      </w:r>
      <w:r w:rsidRPr="007268C4" w:rsidR="00B22F6E">
        <w:rPr>
          <w:b/>
          <w:bCs/>
        </w:rPr>
        <w:t xml:space="preserve"> </w:t>
      </w:r>
      <w:r w:rsidRPr="007268C4" w:rsidR="00B22F6E">
        <w:rPr>
          <w:b/>
          <w:bCs/>
          <w:rtl/>
        </w:rPr>
        <w:t>בחומרה</w:t>
      </w:r>
      <w:r w:rsidRPr="007268C4" w:rsidR="00B22F6E">
        <w:rPr>
          <w:b/>
          <w:bCs/>
        </w:rPr>
        <w:t xml:space="preserve"> </w:t>
      </w:r>
      <w:r w:rsidRPr="007268C4" w:rsidR="00B22F6E">
        <w:rPr>
          <w:b/>
          <w:bCs/>
          <w:rtl/>
        </w:rPr>
        <w:t>יתרה</w:t>
      </w:r>
      <w:r w:rsidRPr="007268C4" w:rsidR="00B22F6E">
        <w:rPr>
          <w:b/>
          <w:bCs/>
        </w:rPr>
        <w:t xml:space="preserve"> </w:t>
      </w:r>
      <w:r w:rsidRPr="007268C4" w:rsidR="00B22F6E">
        <w:rPr>
          <w:b/>
          <w:bCs/>
          <w:rtl/>
        </w:rPr>
        <w:t>נוכח</w:t>
      </w:r>
      <w:r w:rsidRPr="007268C4" w:rsidR="00B22F6E">
        <w:rPr>
          <w:b/>
          <w:bCs/>
        </w:rPr>
        <w:t xml:space="preserve"> </w:t>
      </w:r>
      <w:r w:rsidRPr="007268C4" w:rsidR="00B22F6E">
        <w:rPr>
          <w:b/>
          <w:bCs/>
          <w:rtl/>
        </w:rPr>
        <w:t>פגיעתן</w:t>
      </w:r>
      <w:r w:rsidRPr="007268C4" w:rsidR="00B22F6E">
        <w:rPr>
          <w:b/>
          <w:bCs/>
        </w:rPr>
        <w:t xml:space="preserve"> </w:t>
      </w:r>
      <w:r w:rsidRPr="007268C4" w:rsidR="00B22F6E">
        <w:rPr>
          <w:b/>
          <w:bCs/>
          <w:rtl/>
        </w:rPr>
        <w:t>הישירה</w:t>
      </w:r>
      <w:r w:rsidRPr="007268C4" w:rsidR="00B22F6E">
        <w:rPr>
          <w:b/>
          <w:bCs/>
        </w:rPr>
        <w:t xml:space="preserve">- </w:t>
      </w:r>
      <w:r w:rsidRPr="007268C4" w:rsidR="00B22F6E">
        <w:rPr>
          <w:b/>
          <w:bCs/>
          <w:rtl/>
        </w:rPr>
        <w:t>בקופה</w:t>
      </w:r>
      <w:r w:rsidRPr="007268C4" w:rsidR="00B22F6E">
        <w:rPr>
          <w:b/>
          <w:bCs/>
        </w:rPr>
        <w:t xml:space="preserve"> </w:t>
      </w:r>
      <w:r w:rsidRPr="007268C4" w:rsidR="00B22F6E">
        <w:rPr>
          <w:b/>
          <w:bCs/>
          <w:rtl/>
        </w:rPr>
        <w:t>הציבורית</w:t>
      </w:r>
      <w:r w:rsidRPr="007268C4" w:rsidR="00B22F6E">
        <w:rPr>
          <w:b/>
          <w:bCs/>
        </w:rPr>
        <w:t xml:space="preserve">, </w:t>
      </w:r>
      <w:r w:rsidRPr="007268C4" w:rsidR="00B22F6E">
        <w:rPr>
          <w:b/>
          <w:bCs/>
          <w:rtl/>
        </w:rPr>
        <w:t>והעקיפה</w:t>
      </w:r>
      <w:r w:rsidRPr="007268C4" w:rsidR="00B22F6E">
        <w:rPr>
          <w:b/>
          <w:bCs/>
        </w:rPr>
        <w:t xml:space="preserve">- </w:t>
      </w:r>
      <w:r w:rsidRPr="007268C4" w:rsidR="00B22F6E">
        <w:rPr>
          <w:b/>
          <w:bCs/>
          <w:rtl/>
        </w:rPr>
        <w:t>בכיסו</w:t>
      </w:r>
      <w:r w:rsidRPr="007268C4" w:rsidR="00B22F6E">
        <w:rPr>
          <w:b/>
          <w:bCs/>
        </w:rPr>
        <w:t xml:space="preserve"> </w:t>
      </w:r>
      <w:r w:rsidRPr="007268C4" w:rsidR="00B22F6E">
        <w:rPr>
          <w:b/>
          <w:bCs/>
          <w:rtl/>
        </w:rPr>
        <w:t>של</w:t>
      </w:r>
      <w:r w:rsidRPr="007268C4" w:rsidR="00B22F6E">
        <w:rPr>
          <w:b/>
          <w:bCs/>
        </w:rPr>
        <w:t xml:space="preserve"> </w:t>
      </w:r>
      <w:r w:rsidRPr="007268C4" w:rsidR="00B22F6E">
        <w:rPr>
          <w:b/>
          <w:bCs/>
          <w:rtl/>
        </w:rPr>
        <w:t>כל</w:t>
      </w:r>
      <w:r w:rsidRPr="007268C4" w:rsidR="00B22F6E">
        <w:rPr>
          <w:b/>
          <w:bCs/>
        </w:rPr>
        <w:t xml:space="preserve"> </w:t>
      </w:r>
      <w:r w:rsidRPr="007268C4" w:rsidR="00B22F6E">
        <w:rPr>
          <w:b/>
          <w:bCs/>
          <w:rtl/>
        </w:rPr>
        <w:t>אזרח</w:t>
      </w:r>
      <w:r w:rsidRPr="007268C4" w:rsidR="00B22F6E">
        <w:rPr>
          <w:b/>
          <w:bCs/>
        </w:rPr>
        <w:t xml:space="preserve">, </w:t>
      </w:r>
      <w:r w:rsidRPr="007268C4" w:rsidR="00B22F6E">
        <w:rPr>
          <w:b/>
          <w:bCs/>
          <w:rtl/>
        </w:rPr>
        <w:t>ולאור</w:t>
      </w:r>
      <w:r w:rsidRPr="007268C4" w:rsidR="00B22F6E">
        <w:rPr>
          <w:b/>
          <w:bCs/>
        </w:rPr>
        <w:t xml:space="preserve"> </w:t>
      </w:r>
      <w:r w:rsidRPr="007268C4" w:rsidR="00B22F6E">
        <w:rPr>
          <w:b/>
          <w:bCs/>
          <w:rtl/>
        </w:rPr>
        <w:t>חתירתן</w:t>
      </w:r>
      <w:r w:rsidRPr="007268C4" w:rsidR="00B22F6E">
        <w:rPr>
          <w:b/>
          <w:bCs/>
        </w:rPr>
        <w:t xml:space="preserve"> </w:t>
      </w:r>
      <w:r w:rsidRPr="007268C4" w:rsidR="00B22F6E">
        <w:rPr>
          <w:b/>
          <w:bCs/>
          <w:rtl/>
        </w:rPr>
        <w:t>תחת</w:t>
      </w:r>
      <w:r w:rsidRPr="007268C4" w:rsidR="00B22F6E">
        <w:rPr>
          <w:b/>
          <w:bCs/>
        </w:rPr>
        <w:t xml:space="preserve"> </w:t>
      </w:r>
      <w:r w:rsidRPr="007268C4" w:rsidR="00B22F6E">
        <w:rPr>
          <w:b/>
          <w:bCs/>
          <w:rtl/>
        </w:rPr>
        <w:t>ערך</w:t>
      </w:r>
      <w:r w:rsidRPr="007268C4" w:rsidR="00B22F6E">
        <w:rPr>
          <w:b/>
          <w:bCs/>
        </w:rPr>
        <w:t xml:space="preserve"> </w:t>
      </w:r>
      <w:r w:rsidRPr="007268C4" w:rsidR="00B22F6E">
        <w:rPr>
          <w:b/>
          <w:bCs/>
          <w:rtl/>
        </w:rPr>
        <w:t>השוויון</w:t>
      </w:r>
      <w:r w:rsidRPr="007268C4" w:rsidR="00B22F6E">
        <w:rPr>
          <w:b/>
          <w:bCs/>
        </w:rPr>
        <w:t xml:space="preserve"> </w:t>
      </w:r>
      <w:r w:rsidRPr="007268C4" w:rsidR="00B22F6E">
        <w:rPr>
          <w:b/>
          <w:bCs/>
          <w:rtl/>
        </w:rPr>
        <w:t>בנשיאת</w:t>
      </w:r>
      <w:r w:rsidRPr="007268C4" w:rsidR="00B22F6E">
        <w:rPr>
          <w:b/>
          <w:bCs/>
        </w:rPr>
        <w:t xml:space="preserve"> </w:t>
      </w:r>
      <w:r w:rsidRPr="007268C4" w:rsidR="00B22F6E">
        <w:rPr>
          <w:b/>
          <w:bCs/>
          <w:rtl/>
        </w:rPr>
        <w:t>נטל</w:t>
      </w:r>
      <w:r w:rsidRPr="007268C4" w:rsidR="00B22F6E">
        <w:rPr>
          <w:b/>
          <w:bCs/>
        </w:rPr>
        <w:t xml:space="preserve"> </w:t>
      </w:r>
      <w:r w:rsidRPr="007268C4" w:rsidR="00B22F6E">
        <w:rPr>
          <w:b/>
          <w:bCs/>
          <w:rtl/>
        </w:rPr>
        <w:t>המס</w:t>
      </w:r>
      <w:r w:rsidRPr="007268C4" w:rsidR="00B22F6E">
        <w:rPr>
          <w:b/>
          <w:bCs/>
        </w:rPr>
        <w:t>...</w:t>
      </w:r>
      <w:r w:rsidRPr="007268C4" w:rsidR="00B22F6E">
        <w:rPr>
          <w:b/>
          <w:bCs/>
          <w:rtl/>
        </w:rPr>
        <w:t>לאור</w:t>
      </w:r>
      <w:r w:rsidRPr="007268C4" w:rsidR="00B22F6E">
        <w:rPr>
          <w:b/>
          <w:bCs/>
        </w:rPr>
        <w:t xml:space="preserve"> </w:t>
      </w:r>
      <w:r w:rsidRPr="007268C4" w:rsidR="00B22F6E">
        <w:rPr>
          <w:b/>
          <w:bCs/>
          <w:rtl/>
        </w:rPr>
        <w:t>הלכה</w:t>
      </w:r>
      <w:r w:rsidRPr="007268C4" w:rsidR="00B22F6E">
        <w:rPr>
          <w:b/>
          <w:bCs/>
        </w:rPr>
        <w:t xml:space="preserve"> </w:t>
      </w:r>
      <w:r w:rsidRPr="007268C4" w:rsidR="00B22F6E">
        <w:rPr>
          <w:b/>
          <w:bCs/>
          <w:rtl/>
        </w:rPr>
        <w:t>זו</w:t>
      </w:r>
      <w:r w:rsidRPr="007268C4" w:rsidR="00B22F6E">
        <w:rPr>
          <w:b/>
          <w:bCs/>
        </w:rPr>
        <w:t xml:space="preserve"> </w:t>
      </w:r>
      <w:r w:rsidRPr="007268C4" w:rsidR="00B22F6E">
        <w:rPr>
          <w:b/>
          <w:bCs/>
          <w:rtl/>
        </w:rPr>
        <w:t>הותוותה</w:t>
      </w:r>
      <w:r w:rsidRPr="007268C4" w:rsidR="00B22F6E">
        <w:rPr>
          <w:b/>
          <w:bCs/>
        </w:rPr>
        <w:t xml:space="preserve"> </w:t>
      </w:r>
      <w:r w:rsidRPr="007268C4" w:rsidR="00B22F6E">
        <w:rPr>
          <w:b/>
          <w:bCs/>
          <w:rtl/>
        </w:rPr>
        <w:t>בפסיקה</w:t>
      </w:r>
      <w:r w:rsidRPr="007268C4" w:rsidR="00B22F6E">
        <w:rPr>
          <w:b/>
          <w:bCs/>
        </w:rPr>
        <w:t xml:space="preserve"> </w:t>
      </w:r>
      <w:r w:rsidRPr="007268C4" w:rsidR="00B22F6E">
        <w:rPr>
          <w:b/>
          <w:bCs/>
          <w:rtl/>
        </w:rPr>
        <w:t>מדיניות</w:t>
      </w:r>
      <w:r w:rsidRPr="007268C4" w:rsidR="00B22F6E">
        <w:rPr>
          <w:b/>
          <w:bCs/>
        </w:rPr>
        <w:t xml:space="preserve"> </w:t>
      </w:r>
      <w:r w:rsidRPr="007268C4" w:rsidR="00B22F6E">
        <w:rPr>
          <w:b/>
          <w:bCs/>
          <w:rtl/>
        </w:rPr>
        <w:t>הענישה</w:t>
      </w:r>
      <w:r w:rsidRPr="007268C4" w:rsidR="00B22F6E">
        <w:rPr>
          <w:b/>
          <w:bCs/>
        </w:rPr>
        <w:t xml:space="preserve">, </w:t>
      </w:r>
      <w:r w:rsidRPr="007268C4" w:rsidR="00B22F6E">
        <w:rPr>
          <w:b/>
          <w:bCs/>
          <w:rtl/>
        </w:rPr>
        <w:t>לפיה</w:t>
      </w:r>
      <w:r w:rsidRPr="007268C4" w:rsidR="00B22F6E">
        <w:rPr>
          <w:b/>
          <w:bCs/>
        </w:rPr>
        <w:t xml:space="preserve"> </w:t>
      </w:r>
      <w:r w:rsidRPr="007268C4" w:rsidR="00B22F6E">
        <w:rPr>
          <w:b/>
          <w:bCs/>
          <w:rtl/>
        </w:rPr>
        <w:t>יש</w:t>
      </w:r>
      <w:r w:rsidRPr="007268C4" w:rsidR="00B22F6E">
        <w:rPr>
          <w:b/>
          <w:bCs/>
        </w:rPr>
        <w:t xml:space="preserve"> </w:t>
      </w:r>
      <w:r w:rsidRPr="007268C4" w:rsidR="00B22F6E">
        <w:rPr>
          <w:b/>
          <w:bCs/>
          <w:rtl/>
        </w:rPr>
        <w:t>לגזור</w:t>
      </w:r>
      <w:r w:rsidRPr="007268C4" w:rsidR="00B22F6E">
        <w:rPr>
          <w:b/>
          <w:bCs/>
        </w:rPr>
        <w:t xml:space="preserve"> </w:t>
      </w:r>
      <w:r w:rsidRPr="007268C4" w:rsidR="00B22F6E">
        <w:rPr>
          <w:b/>
          <w:bCs/>
          <w:rtl/>
        </w:rPr>
        <w:t>את</w:t>
      </w:r>
      <w:r w:rsidRPr="007268C4" w:rsidR="00B22F6E">
        <w:rPr>
          <w:b/>
          <w:bCs/>
        </w:rPr>
        <w:t xml:space="preserve"> </w:t>
      </w:r>
      <w:r w:rsidRPr="007268C4" w:rsidR="00B22F6E">
        <w:rPr>
          <w:b/>
          <w:bCs/>
          <w:rtl/>
        </w:rPr>
        <w:t>דינם</w:t>
      </w:r>
      <w:r w:rsidRPr="007268C4" w:rsidR="00B22F6E">
        <w:rPr>
          <w:b/>
          <w:bCs/>
        </w:rPr>
        <w:t xml:space="preserve"> </w:t>
      </w:r>
      <w:r w:rsidRPr="007268C4" w:rsidR="00B22F6E">
        <w:rPr>
          <w:b/>
          <w:bCs/>
          <w:rtl/>
        </w:rPr>
        <w:t>של</w:t>
      </w:r>
      <w:r w:rsidRPr="007268C4" w:rsidR="00B22F6E">
        <w:rPr>
          <w:b/>
          <w:bCs/>
        </w:rPr>
        <w:t xml:space="preserve"> </w:t>
      </w:r>
      <w:r w:rsidRPr="007268C4" w:rsidR="00B22F6E">
        <w:rPr>
          <w:b/>
          <w:bCs/>
          <w:rtl/>
        </w:rPr>
        <w:t>עברייני</w:t>
      </w:r>
      <w:r w:rsidRPr="007268C4" w:rsidR="00B22F6E">
        <w:rPr>
          <w:b/>
          <w:bCs/>
        </w:rPr>
        <w:t xml:space="preserve"> </w:t>
      </w:r>
      <w:r w:rsidRPr="007268C4" w:rsidR="00B22F6E">
        <w:rPr>
          <w:b/>
          <w:bCs/>
          <w:rtl/>
        </w:rPr>
        <w:t>המס</w:t>
      </w:r>
      <w:r w:rsidRPr="007268C4" w:rsidR="00B22F6E">
        <w:rPr>
          <w:b/>
          <w:bCs/>
        </w:rPr>
        <w:t xml:space="preserve"> </w:t>
      </w:r>
      <w:r w:rsidRPr="007268C4" w:rsidR="00B22F6E">
        <w:rPr>
          <w:b/>
          <w:bCs/>
          <w:rtl/>
        </w:rPr>
        <w:t>תוך</w:t>
      </w:r>
      <w:r w:rsidRPr="007268C4" w:rsidR="00B22F6E">
        <w:rPr>
          <w:b/>
          <w:bCs/>
        </w:rPr>
        <w:t xml:space="preserve"> </w:t>
      </w:r>
      <w:r w:rsidRPr="007268C4" w:rsidR="00B22F6E">
        <w:rPr>
          <w:b/>
          <w:bCs/>
          <w:rtl/>
        </w:rPr>
        <w:t>מתן</w:t>
      </w:r>
      <w:r w:rsidRPr="007268C4" w:rsidR="00B22F6E">
        <w:rPr>
          <w:b/>
          <w:bCs/>
        </w:rPr>
        <w:t xml:space="preserve"> </w:t>
      </w:r>
      <w:r w:rsidRPr="007268C4" w:rsidR="00B22F6E">
        <w:rPr>
          <w:b/>
          <w:bCs/>
          <w:rtl/>
        </w:rPr>
        <w:t>הבכורה</w:t>
      </w:r>
      <w:r w:rsidRPr="007268C4" w:rsidR="00B22F6E">
        <w:rPr>
          <w:b/>
          <w:bCs/>
        </w:rPr>
        <w:t xml:space="preserve"> </w:t>
      </w:r>
      <w:r w:rsidRPr="007268C4" w:rsidR="00B22F6E">
        <w:rPr>
          <w:b/>
          <w:bCs/>
          <w:rtl/>
        </w:rPr>
        <w:t>לשיקולי</w:t>
      </w:r>
      <w:r w:rsidRPr="007268C4" w:rsidR="00B22F6E">
        <w:rPr>
          <w:b/>
          <w:bCs/>
        </w:rPr>
        <w:t xml:space="preserve"> </w:t>
      </w:r>
      <w:r w:rsidRPr="007268C4" w:rsidR="00B22F6E">
        <w:rPr>
          <w:b/>
          <w:bCs/>
          <w:rtl/>
        </w:rPr>
        <w:t>ההרתעה</w:t>
      </w:r>
      <w:r w:rsidRPr="007268C4" w:rsidR="00B22F6E">
        <w:rPr>
          <w:b/>
          <w:bCs/>
        </w:rPr>
        <w:t xml:space="preserve">, </w:t>
      </w:r>
      <w:r w:rsidRPr="007268C4" w:rsidR="00B22F6E">
        <w:rPr>
          <w:b/>
          <w:bCs/>
          <w:rtl/>
        </w:rPr>
        <w:t>ולהעדיפם</w:t>
      </w:r>
      <w:r w:rsidRPr="007268C4" w:rsidR="00B22F6E">
        <w:rPr>
          <w:b/>
          <w:bCs/>
        </w:rPr>
        <w:t xml:space="preserve"> </w:t>
      </w:r>
      <w:r w:rsidRPr="007268C4" w:rsidR="00B22F6E">
        <w:rPr>
          <w:b/>
          <w:bCs/>
          <w:rtl/>
        </w:rPr>
        <w:t>על</w:t>
      </w:r>
      <w:r w:rsidRPr="007268C4" w:rsidR="00B22F6E">
        <w:rPr>
          <w:b/>
          <w:bCs/>
        </w:rPr>
        <w:t xml:space="preserve"> </w:t>
      </w:r>
      <w:r w:rsidRPr="007268C4" w:rsidR="00B22F6E">
        <w:rPr>
          <w:b/>
          <w:bCs/>
          <w:rtl/>
        </w:rPr>
        <w:t>פני</w:t>
      </w:r>
      <w:r w:rsidRPr="007268C4" w:rsidR="00B22F6E">
        <w:rPr>
          <w:b/>
          <w:bCs/>
        </w:rPr>
        <w:t xml:space="preserve"> </w:t>
      </w:r>
      <w:r w:rsidRPr="007268C4" w:rsidR="00B22F6E">
        <w:rPr>
          <w:b/>
          <w:bCs/>
          <w:rtl/>
        </w:rPr>
        <w:t>נסיבותיו</w:t>
      </w:r>
      <w:r w:rsidRPr="007268C4" w:rsidR="00B22F6E">
        <w:rPr>
          <w:b/>
          <w:bCs/>
        </w:rPr>
        <w:t xml:space="preserve"> </w:t>
      </w:r>
      <w:r w:rsidRPr="007268C4" w:rsidR="00B22F6E">
        <w:rPr>
          <w:b/>
          <w:bCs/>
          <w:rtl/>
        </w:rPr>
        <w:t>האישיות</w:t>
      </w:r>
      <w:r w:rsidRPr="007268C4" w:rsidR="00B22F6E">
        <w:rPr>
          <w:b/>
          <w:bCs/>
        </w:rPr>
        <w:t xml:space="preserve"> </w:t>
      </w:r>
      <w:r w:rsidRPr="007268C4" w:rsidR="00B22F6E">
        <w:rPr>
          <w:b/>
          <w:bCs/>
          <w:rtl/>
        </w:rPr>
        <w:t>של</w:t>
      </w:r>
      <w:r w:rsidRPr="007268C4" w:rsidR="00B22F6E">
        <w:rPr>
          <w:b/>
          <w:bCs/>
        </w:rPr>
        <w:t xml:space="preserve"> </w:t>
      </w:r>
      <w:r w:rsidRPr="007268C4" w:rsidR="00B22F6E">
        <w:rPr>
          <w:b/>
          <w:bCs/>
          <w:rtl/>
        </w:rPr>
        <w:t>הנאשם</w:t>
      </w:r>
      <w:r w:rsidRPr="007268C4" w:rsidR="00B22F6E">
        <w:rPr>
          <w:b/>
          <w:bCs/>
        </w:rPr>
        <w:t xml:space="preserve"> ... </w:t>
      </w:r>
      <w:r w:rsidRPr="007268C4" w:rsidR="00B22F6E">
        <w:rPr>
          <w:b/>
          <w:bCs/>
          <w:rtl/>
        </w:rPr>
        <w:t>"</w:t>
      </w:r>
      <w:r w:rsidR="000B08F8">
        <w:rPr>
          <w:rFonts w:hint="cs"/>
          <w:rtl/>
        </w:rPr>
        <w:t>)</w:t>
      </w:r>
      <w:r w:rsidR="007268C4">
        <w:rPr>
          <w:rFonts w:hint="cs"/>
          <w:rtl/>
        </w:rPr>
        <w:t xml:space="preserve">. </w:t>
      </w:r>
    </w:p>
    <w:p w:rsidRPr="00E06E55" w:rsidR="0060710D" w:rsidP="001A556D" w:rsidRDefault="0060710D">
      <w:pPr>
        <w:pStyle w:val="10"/>
        <w:spacing w:after="160" w:line="360" w:lineRule="auto"/>
        <w:ind w:left="0"/>
        <w:jc w:val="both"/>
        <w:rPr>
          <w:rtl/>
        </w:rPr>
      </w:pPr>
    </w:p>
    <w:p w:rsidR="00B22F6E" w:rsidP="00EF34A0" w:rsidRDefault="00B22F6E">
      <w:pPr>
        <w:pStyle w:val="10"/>
        <w:numPr>
          <w:ilvl w:val="0"/>
          <w:numId w:val="5"/>
        </w:numPr>
        <w:spacing w:after="160" w:line="360" w:lineRule="auto"/>
        <w:ind w:left="-142" w:firstLine="0"/>
        <w:jc w:val="both"/>
      </w:pPr>
      <w:r>
        <w:rPr>
          <w:rtl/>
        </w:rPr>
        <w:t xml:space="preserve">לאחר כל אלה, </w:t>
      </w:r>
      <w:r w:rsidR="001A556D">
        <w:rPr>
          <w:rFonts w:hint="cs"/>
          <w:rtl/>
        </w:rPr>
        <w:t xml:space="preserve">ובראי הסדר הטיעון בין הצדדים, </w:t>
      </w:r>
      <w:r w:rsidR="000B45A9">
        <w:rPr>
          <w:rFonts w:hint="cs"/>
          <w:rtl/>
        </w:rPr>
        <w:t xml:space="preserve">בשים לב לסכום הקנס לנאשם עליו הוסכם ואיזונו מול יתר רכיבי הענישה, </w:t>
      </w:r>
      <w:r>
        <w:rPr>
          <w:rtl/>
        </w:rPr>
        <w:t>אני גוזרת על הנאשמים את העונשים הבאים:</w:t>
      </w:r>
    </w:p>
    <w:p w:rsidR="00B22F6E" w:rsidP="000B45A9" w:rsidRDefault="00B22F6E">
      <w:pPr>
        <w:pStyle w:val="ac"/>
        <w:spacing w:line="360" w:lineRule="auto"/>
        <w:ind w:hanging="720"/>
        <w:jc w:val="both"/>
        <w:rPr>
          <w:rtl/>
        </w:rPr>
      </w:pPr>
      <w:r w:rsidRPr="00C92638">
        <w:rPr>
          <w:b/>
          <w:bCs/>
          <w:rtl/>
        </w:rPr>
        <w:t>לנאשם:</w:t>
      </w:r>
      <w:r>
        <w:rPr>
          <w:rtl/>
        </w:rPr>
        <w:t xml:space="preserve"> מאסר בפועל למשך</w:t>
      </w:r>
      <w:r w:rsidR="000B45A9">
        <w:rPr>
          <w:rFonts w:hint="cs"/>
          <w:rtl/>
        </w:rPr>
        <w:t xml:space="preserve"> 18</w:t>
      </w:r>
      <w:r>
        <w:rPr>
          <w:rtl/>
        </w:rPr>
        <w:t xml:space="preserve"> חודשים. </w:t>
      </w:r>
    </w:p>
    <w:p w:rsidR="00B22F6E" w:rsidP="00595B7F" w:rsidRDefault="00B22F6E">
      <w:pPr>
        <w:pStyle w:val="ac"/>
        <w:spacing w:line="360" w:lineRule="auto"/>
        <w:ind w:hanging="720"/>
        <w:jc w:val="both"/>
      </w:pPr>
      <w:r w:rsidRPr="00A736E4">
        <w:rPr>
          <w:b/>
          <w:bCs/>
          <w:rtl/>
        </w:rPr>
        <w:t>לנאשם:</w:t>
      </w:r>
      <w:r>
        <w:rPr>
          <w:rtl/>
        </w:rPr>
        <w:t xml:space="preserve"> מאסר על תנאי למשך 8 חודשים, לתקופה של 3 שנים שתחל עם סיום ריצוי עונש המאסר והתנאי שהנאשם לא יעבור עבירת מס מסוג פשע.</w:t>
      </w:r>
    </w:p>
    <w:p w:rsidR="00B22F6E" w:rsidP="00A35B1F" w:rsidRDefault="00B22F6E">
      <w:pPr>
        <w:pStyle w:val="ac"/>
        <w:spacing w:line="360" w:lineRule="auto"/>
        <w:ind w:hanging="720"/>
        <w:jc w:val="both"/>
        <w:rPr>
          <w:rtl/>
        </w:rPr>
      </w:pPr>
      <w:r w:rsidRPr="00A736E4">
        <w:rPr>
          <w:b/>
          <w:bCs/>
          <w:rtl/>
        </w:rPr>
        <w:lastRenderedPageBreak/>
        <w:t>לנאשם:</w:t>
      </w:r>
      <w:r>
        <w:rPr>
          <w:rtl/>
        </w:rPr>
        <w:t xml:space="preserve"> קנס בסך </w:t>
      </w:r>
      <w:r w:rsidR="00595B7F">
        <w:rPr>
          <w:rFonts w:hint="cs"/>
          <w:rtl/>
        </w:rPr>
        <w:t>10</w:t>
      </w:r>
      <w:r>
        <w:rPr>
          <w:rtl/>
        </w:rPr>
        <w:t xml:space="preserve">0,000 ₪, או </w:t>
      </w:r>
      <w:r w:rsidR="00595B7F">
        <w:rPr>
          <w:rFonts w:hint="cs"/>
          <w:rtl/>
        </w:rPr>
        <w:t>9</w:t>
      </w:r>
      <w:r>
        <w:rPr>
          <w:rtl/>
        </w:rPr>
        <w:t>0 ימי מאסר תמורתו. הקנס ישולם ב-</w:t>
      </w:r>
      <w:r w:rsidR="00595B7F">
        <w:rPr>
          <w:rFonts w:hint="cs"/>
          <w:rtl/>
        </w:rPr>
        <w:t>25</w:t>
      </w:r>
      <w:r>
        <w:rPr>
          <w:rtl/>
        </w:rPr>
        <w:t xml:space="preserve"> תשלומים חודשיים, שווים ורציפים, כשהראשון בהם ביום </w:t>
      </w:r>
      <w:r w:rsidR="0060710D">
        <w:rPr>
          <w:rFonts w:hint="cs"/>
          <w:rtl/>
        </w:rPr>
        <w:t>10</w:t>
      </w:r>
      <w:r w:rsidR="00A35B1F">
        <w:rPr>
          <w:rFonts w:hint="cs"/>
          <w:rtl/>
        </w:rPr>
        <w:t>.</w:t>
      </w:r>
      <w:r w:rsidR="00595B7F">
        <w:rPr>
          <w:rFonts w:hint="cs"/>
          <w:rtl/>
        </w:rPr>
        <w:t>06</w:t>
      </w:r>
      <w:r w:rsidR="00A35B1F">
        <w:rPr>
          <w:rFonts w:hint="cs"/>
          <w:rtl/>
        </w:rPr>
        <w:t>.</w:t>
      </w:r>
      <w:r>
        <w:rPr>
          <w:rtl/>
        </w:rPr>
        <w:t>18. לא ישולם תשלום – תעמוד יתרת הקנס לפירעון.</w:t>
      </w:r>
    </w:p>
    <w:p w:rsidR="001A556D" w:rsidP="00FC19E6" w:rsidRDefault="00B22F6E">
      <w:pPr>
        <w:pStyle w:val="ac"/>
        <w:spacing w:line="360" w:lineRule="auto"/>
        <w:ind w:hanging="720"/>
        <w:jc w:val="both"/>
        <w:rPr>
          <w:rtl/>
        </w:rPr>
      </w:pPr>
      <w:r w:rsidRPr="00A736E4">
        <w:rPr>
          <w:b/>
          <w:bCs/>
          <w:rtl/>
        </w:rPr>
        <w:t>לנאשמת</w:t>
      </w:r>
      <w:r>
        <w:rPr>
          <w:rtl/>
        </w:rPr>
        <w:t>: קנס בסך</w:t>
      </w:r>
      <w:r w:rsidR="000B45A9">
        <w:rPr>
          <w:rFonts w:hint="cs"/>
          <w:rtl/>
        </w:rPr>
        <w:t xml:space="preserve"> </w:t>
      </w:r>
      <w:r w:rsidR="00595B7F">
        <w:rPr>
          <w:rFonts w:hint="cs"/>
          <w:rtl/>
        </w:rPr>
        <w:t xml:space="preserve"> </w:t>
      </w:r>
      <w:r w:rsidR="007250E0">
        <w:rPr>
          <w:rFonts w:hint="cs"/>
          <w:rtl/>
        </w:rPr>
        <w:t>5</w:t>
      </w:r>
      <w:r w:rsidR="001A556D">
        <w:rPr>
          <w:rFonts w:hint="cs"/>
          <w:rtl/>
        </w:rPr>
        <w:t>0,000</w:t>
      </w:r>
      <w:r w:rsidR="00595B7F">
        <w:rPr>
          <w:rFonts w:hint="cs"/>
          <w:rtl/>
        </w:rPr>
        <w:t xml:space="preserve"> ₪ </w:t>
      </w:r>
      <w:r w:rsidR="001A556D">
        <w:rPr>
          <w:rFonts w:hint="cs"/>
          <w:rtl/>
        </w:rPr>
        <w:t xml:space="preserve">אשר ישולם </w:t>
      </w:r>
      <w:r w:rsidR="001A556D">
        <w:rPr>
          <w:rtl/>
        </w:rPr>
        <w:t>ב-</w:t>
      </w:r>
      <w:r w:rsidR="001A556D">
        <w:rPr>
          <w:rFonts w:hint="cs"/>
          <w:rtl/>
        </w:rPr>
        <w:t>25</w:t>
      </w:r>
      <w:r w:rsidR="001A556D">
        <w:rPr>
          <w:rtl/>
        </w:rPr>
        <w:t xml:space="preserve"> תשלומים חודשיים, שווים ורציפים, כשהראשון בהם ביום </w:t>
      </w:r>
      <w:r w:rsidR="001A556D">
        <w:rPr>
          <w:rFonts w:hint="cs"/>
          <w:rtl/>
        </w:rPr>
        <w:t>10.06.</w:t>
      </w:r>
      <w:r w:rsidR="001A556D">
        <w:rPr>
          <w:rtl/>
        </w:rPr>
        <w:t>18. לא ישולם תשלום – תעמוד יתרת הקנס לפירעון.</w:t>
      </w:r>
    </w:p>
    <w:p w:rsidRPr="00B05847" w:rsidR="00507694" w:rsidP="00250B83" w:rsidRDefault="00507694">
      <w:pPr>
        <w:spacing w:line="360" w:lineRule="auto"/>
        <w:rPr>
          <w:rtl/>
        </w:rPr>
      </w:pPr>
    </w:p>
    <w:p w:rsidRPr="001A556D" w:rsidR="00507694" w:rsidRDefault="001A556D">
      <w:pPr>
        <w:rPr>
          <w:b/>
          <w:bCs/>
          <w:rtl/>
        </w:rPr>
      </w:pPr>
      <w:r w:rsidRPr="001A556D">
        <w:rPr>
          <w:rFonts w:hint="cs"/>
          <w:b/>
          <w:bCs/>
          <w:rtl/>
        </w:rPr>
        <w:t>זכות ערעור תוך 45 יום לבית המשפט המחוזי.</w:t>
      </w:r>
    </w:p>
    <w:p w:rsidRPr="001A556D" w:rsidR="00507694" w:rsidRDefault="00507694">
      <w:pPr>
        <w:rPr>
          <w:b/>
          <w:bCs/>
          <w:rtl/>
        </w:rPr>
      </w:pPr>
    </w:p>
    <w:p w:rsidRPr="001A556D" w:rsidR="00507694" w:rsidRDefault="00507694">
      <w:pPr>
        <w:rPr>
          <w:b/>
          <w:bCs/>
          <w:rtl/>
        </w:rPr>
      </w:pPr>
    </w:p>
    <w:p w:rsidRPr="00B05847" w:rsidR="00507694" w:rsidRDefault="00507694">
      <w:pPr>
        <w:rPr>
          <w:rtl/>
        </w:rPr>
      </w:pPr>
    </w:p>
    <w:p w:rsidRPr="00250B83" w:rsidR="00507694" w:rsidP="00891B9C" w:rsidRDefault="00684E84">
      <w:pPr>
        <w:spacing w:line="360" w:lineRule="auto"/>
        <w:jc w:val="both"/>
        <w:rPr>
          <w:rFonts w:ascii="Arial" w:hAnsi="Arial"/>
        </w:rPr>
      </w:pPr>
      <w:r w:rsidRPr="00250B83">
        <w:rPr>
          <w:rFonts w:ascii="Arial" w:hAnsi="Arial"/>
          <w:rtl/>
        </w:rPr>
        <w:t xml:space="preserve">ניתן היום,  </w:t>
      </w:r>
      <w:sdt>
        <w:sdtPr>
          <w:rPr>
            <w:rtl/>
          </w:rPr>
          <w:alias w:val="1455"/>
          <w:tag w:val="1455"/>
          <w:id w:val="-750497047"/>
          <w:text w:multiLine="1"/>
        </w:sdtPr>
        <w:sdtEndPr/>
        <w:sdtContent>
          <w:r>
            <w:rPr>
              <w:rFonts w:ascii="Arial" w:hAnsi="Arial"/>
              <w:rtl/>
            </w:rPr>
            <w:t>כ"ו ניסן תשע"ח</w:t>
          </w:r>
        </w:sdtContent>
      </w:sdt>
      <w:r w:rsidRPr="00250B83">
        <w:rPr>
          <w:rFonts w:ascii="Arial" w:hAnsi="Arial"/>
          <w:rtl/>
        </w:rPr>
        <w:t xml:space="preserve">, </w:t>
      </w:r>
      <w:sdt>
        <w:sdtPr>
          <w:rPr>
            <w:rtl/>
          </w:rPr>
          <w:alias w:val="1456"/>
          <w:tag w:val="1456"/>
          <w:id w:val="367718347"/>
          <w:text w:multiLine="1"/>
        </w:sdtPr>
        <w:sdtEndPr/>
        <w:sdtContent>
          <w:r>
            <w:rPr>
              <w:rFonts w:ascii="Arial" w:hAnsi="Arial"/>
              <w:rtl/>
            </w:rPr>
            <w:t>11 אפריל 2018</w:t>
          </w:r>
        </w:sdtContent>
      </w:sdt>
      <w:r w:rsidRPr="00250B83">
        <w:rPr>
          <w:rFonts w:ascii="Arial" w:hAnsi="Arial"/>
          <w:rtl/>
        </w:rPr>
        <w:t xml:space="preserve">, </w:t>
      </w:r>
      <w:r w:rsidR="00891B9C">
        <w:rPr>
          <w:rFonts w:hint="cs" w:ascii="Arial" w:hAnsi="Arial"/>
          <w:rtl/>
        </w:rPr>
        <w:t>במעמד</w:t>
      </w:r>
      <w:r w:rsidRPr="00250B83">
        <w:rPr>
          <w:rFonts w:ascii="Arial" w:hAnsi="Arial"/>
          <w:rtl/>
        </w:rPr>
        <w:t xml:space="preserve"> הצדדים.</w:t>
      </w:r>
      <w:bookmarkStart w:name="_GoBack" w:id="3"/>
      <w:bookmarkEnd w:id="3"/>
    </w:p>
    <w:p w:rsidRPr="00250B83" w:rsidR="00507694" w:rsidRDefault="00507694">
      <w:pPr>
        <w:rPr>
          <w:rtl/>
        </w:rPr>
      </w:pPr>
    </w:p>
    <w:p w:rsidRPr="00250B83" w:rsidR="00507694" w:rsidP="003E0C9F" w:rsidRDefault="003E0C9F">
      <w:pPr>
        <w:jc w:val="center"/>
        <w:rPr>
          <w:rFonts w:ascii="Arial" w:hAnsi="Arial"/>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sdt>
        <w:sdtPr>
          <w:alias w:val="MergeField"/>
          <w:tag w:val="1237"/>
        </w:sdtPr>
        <w:sdtContent>
          <w:p>
            <w:r>
              <w:drawing>
                <wp:inline distT="0" distB="0" distL="0" distR="0" wp14:editId="50D07946">
                  <wp:extent cx="1257300" cy="59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5b6391991dd4566" cstate="print">
                            <a:extLst>
                              <a:ext uri="{28A0092B-C50C-407E-A947-70E740481C1C}"/>
                            </a:extLst>
                          </a:blip>
                          <a:stretch>
                            <a:fillRect/>
                          </a:stretch>
                        </pic:blipFill>
                        <pic:spPr>
                          <a:xfrm>
                            <a:off x="0" y="0"/>
                            <a:ext cx="1257300" cy="596900"/>
                          </a:xfrm>
                          <a:prstGeom prst="rect">
                            <a:avLst/>
                          </a:prstGeom>
                        </pic:spPr>
                      </pic:pic>
                    </a:graphicData>
                  </a:graphic>
                </wp:inline>
              </w:drawing>
            </w:r>
          </w:p>
        </w:sdtContent>
      </w:sdt>
    </w:p>
    <w:p w:rsidRPr="00250B83" w:rsidR="00507694" w:rsidRDefault="00507694">
      <w:pPr>
        <w:rPr>
          <w:rtl/>
        </w:rPr>
      </w:pPr>
    </w:p>
    <w:p w:rsidR="00507694" w:rsidRDefault="00507694">
      <w:pPr>
        <w:pStyle w:val="a3"/>
        <w:jc w:val="center"/>
        <w:rPr>
          <w:rtl/>
        </w:rPr>
      </w:pPr>
    </w:p>
    <w:sectPr w:rsidR="00507694" w:rsidSect="00507694">
      <w:headerReference w:type="default" r:id="rId17"/>
      <w:footerReference w:type="even" r:id="rId18"/>
      <w:footerReference w:type="default" r:id="rId19"/>
      <w:pgSz w:w="11907" w:h="16840" w:code="9"/>
      <w:pgMar w:top="244" w:right="1701" w:bottom="2552" w:left="1701" w:header="187" w:footer="720" w:gutter="0"/>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694" w:rsidRDefault="00684E84">
      <w:r>
        <w:separator/>
      </w:r>
    </w:p>
  </w:endnote>
  <w:endnote w:type="continuationSeparator" w:id="0">
    <w:p w:rsidR="00507694" w:rsidRDefault="00684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7E7" w:rsidP="007D46DD" w:rsidRDefault="0006726A">
    <w:pPr>
      <w:pStyle w:val="a5"/>
      <w:framePr w:wrap="around" w:hAnchor="text" w:vAnchor="text" w:y="1"/>
      <w:rPr>
        <w:rStyle w:val="ab"/>
      </w:rPr>
    </w:pPr>
    <w:r>
      <w:rPr>
        <w:rStyle w:val="ab"/>
        <w:rtl/>
      </w:rPr>
      <w:fldChar w:fldCharType="begin"/>
    </w:r>
    <w:r w:rsidR="00BD67E7">
      <w:rPr>
        <w:rStyle w:val="ab"/>
      </w:rPr>
      <w:instrText xml:space="preserve">PAGE  </w:instrText>
    </w:r>
    <w:r>
      <w:rPr>
        <w:rStyle w:val="ab"/>
        <w:rtl/>
      </w:rPr>
      <w:fldChar w:fldCharType="end"/>
    </w:r>
  </w:p>
  <w:p w:rsidR="00BD67E7" w:rsidP="00BD67E7" w:rsidRDefault="00BD67E7">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7E7" w:rsidP="00BD67E7" w:rsidRDefault="00BD67E7">
    <w:pPr>
      <w:pStyle w:val="a5"/>
      <w:ind w:right="360"/>
      <w:jc w:val="center"/>
    </w:pPr>
    <w:r>
      <w:rPr>
        <w:rtl/>
      </w:rPr>
      <w:t>עמוד</w:t>
    </w:r>
    <w:r>
      <w:t xml:space="preserve"> </w:t>
    </w:r>
    <w:r w:rsidR="0006726A">
      <w:fldChar w:fldCharType="begin"/>
    </w:r>
    <w:r>
      <w:instrText xml:space="preserve"> PAGE </w:instrText>
    </w:r>
    <w:r w:rsidR="0006726A">
      <w:fldChar w:fldCharType="separate"/>
    </w:r>
    <w:r w:rsidR="00B32863">
      <w:rPr>
        <w:noProof/>
        <w:rtl/>
      </w:rPr>
      <w:t>8</w:t>
    </w:r>
    <w:r w:rsidR="0006726A">
      <w:fldChar w:fldCharType="end"/>
    </w:r>
    <w:r>
      <w:t xml:space="preserve"> </w:t>
    </w:r>
    <w:r>
      <w:rPr>
        <w:rtl/>
      </w:rPr>
      <w:t>מתוך</w:t>
    </w:r>
    <w:r>
      <w:t xml:space="preserve"> </w:t>
    </w:r>
    <w:r w:rsidR="0006726A">
      <w:fldChar w:fldCharType="begin"/>
    </w:r>
    <w:r>
      <w:instrText xml:space="preserve"> NUMPAGES </w:instrText>
    </w:r>
    <w:r w:rsidR="0006726A">
      <w:fldChar w:fldCharType="separate"/>
    </w:r>
    <w:r w:rsidR="00B32863">
      <w:rPr>
        <w:noProof/>
        <w:rtl/>
      </w:rPr>
      <w:t>8</w:t>
    </w:r>
    <w:r w:rsidR="0006726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694" w:rsidRDefault="00684E84">
      <w:r>
        <w:separator/>
      </w:r>
    </w:p>
  </w:footnote>
  <w:footnote w:type="continuationSeparator" w:id="0">
    <w:p w:rsidR="00507694" w:rsidRDefault="00684E84">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694" w:rsidRDefault="00B32863">
    <w:pPr>
      <w:pStyle w:val="a3"/>
      <w:jc w:val="center"/>
      <w:rPr>
        <w:rFonts w:cs="FrankRuehl"/>
        <w:sz w:val="28"/>
        <w:szCs w:val="28"/>
        <w:rtl/>
      </w:rPr>
    </w:pPr>
    <w:r>
      <w:rPr>
        <w:rFonts w:cs="FrankRuehl"/>
        <w:noProof/>
        <w:sz w:val="28"/>
        <w:szCs w:val="28"/>
        <w:rtl/>
      </w:rPr>
    </w:r>
    <w:r w:rsidR="005C7B0B">
      <w:rPr>
        <w:rFonts w:cs="FrankRuehl"/>
        <w:noProof/>
        <w:sz w:val="28"/>
        <w:szCs w:val="28"/>
      </w:rPr>
      <w:drawing>
        <wp:inline distT="0" distB="0" distL="0" distR="0" wp14:anchorId="7572CBEF" wp14:editId="50068B75">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38"/>
      <w:gridCol w:w="3567"/>
    </w:tblGrid>
    <w:tr w:rsidR="00507694">
      <w:trPr>
        <w:trHeight w:val="418" w:hRule="exact"/>
        <w:jc w:val="center"/>
      </w:trPr>
      <w:sdt>
        <w:sdtPr>
          <w:rPr>
            <w:sz w:val="32"/>
            <w:szCs w:val="32"/>
            <w:rtl/>
          </w:rPr>
          <w:alias w:val="1174"/>
          <w:tag w:val="1174"/>
          <w:id w:val="-140351139"/>
          <w:text/>
        </w:sdtPr>
        <w:sdtEndPr/>
        <w:sdtContent>
          <w:tc>
            <w:tcPr>
              <w:tcW w:w="8861" w:type="dxa"/>
              <w:gridSpan w:val="2"/>
            </w:tcPr>
            <w:p w:rsidRPr="00250B83" w:rsidR="00507694" w:rsidRDefault="00684E84">
              <w:pPr>
                <w:pStyle w:val="a3"/>
                <w:jc w:val="center"/>
                <w:rPr>
                  <w:rFonts w:ascii="Tahoma" w:hAnsi="Tahoma"/>
                  <w:color w:val="000080"/>
                  <w:sz w:val="32"/>
                  <w:szCs w:val="32"/>
                  <w:rtl/>
                </w:rPr>
              </w:pPr>
              <w:r w:rsidRPr="00250B83">
                <w:rPr>
                  <w:rFonts w:ascii="Tahoma" w:hAnsi="Tahoma"/>
                  <w:b/>
                  <w:bCs/>
                  <w:color w:val="000080"/>
                  <w:sz w:val="32"/>
                  <w:szCs w:val="32"/>
                  <w:rtl/>
                </w:rPr>
                <w:t>בית משפט השלום בתל אביב - יפו</w:t>
              </w:r>
            </w:p>
          </w:tc>
        </w:sdtContent>
      </w:sdt>
    </w:tr>
    <w:tr w:rsidR="00507694">
      <w:trPr>
        <w:trHeight w:val="337"/>
        <w:jc w:val="center"/>
      </w:trPr>
      <w:tc>
        <w:tcPr>
          <w:tcW w:w="5131" w:type="dxa"/>
        </w:tcPr>
        <w:p w:rsidRPr="004D24E2" w:rsidR="00507694" w:rsidP="004D24E2" w:rsidRDefault="00B32863">
          <w:pPr>
            <w:rPr>
              <w:sz w:val="26"/>
              <w:szCs w:val="26"/>
              <w:rtl/>
            </w:rPr>
          </w:pPr>
          <w:sdt>
            <w:sdtPr>
              <w:rPr>
                <w:sz w:val="26"/>
                <w:szCs w:val="26"/>
                <w:rtl/>
              </w:rPr>
              <w:alias w:val="1170"/>
              <w:tag w:val="1170"/>
              <w:id w:val="2112628154"/>
              <w:text w:multiLine="1"/>
            </w:sdtPr>
            <w:sdtEndPr/>
            <w:sdtContent>
              <w:r w:rsidR="001359DB">
                <w:rPr>
                  <w:sz w:val="26"/>
                  <w:szCs w:val="26"/>
                  <w:rtl/>
                </w:rPr>
                <w:t>ת"פ</w:t>
              </w:r>
            </w:sdtContent>
          </w:sdt>
          <w:r w:rsidRPr="00250B83" w:rsidR="00684E84">
            <w:rPr>
              <w:rFonts w:hint="cs"/>
              <w:sz w:val="26"/>
              <w:szCs w:val="26"/>
              <w:rtl/>
            </w:rPr>
            <w:t xml:space="preserve"> </w:t>
          </w:r>
          <w:sdt>
            <w:sdtPr>
              <w:rPr>
                <w:sz w:val="26"/>
                <w:szCs w:val="26"/>
                <w:rtl/>
              </w:rPr>
              <w:alias w:val="1171"/>
              <w:tag w:val="1171"/>
              <w:id w:val="-1870053316"/>
              <w:text w:multiLine="1"/>
            </w:sdtPr>
            <w:sdtEndPr/>
            <w:sdtContent>
              <w:r w:rsidR="001359DB">
                <w:rPr>
                  <w:sz w:val="26"/>
                  <w:szCs w:val="26"/>
                  <w:rtl/>
                </w:rPr>
                <w:t>17549-01-17</w:t>
              </w:r>
            </w:sdtContent>
          </w:sdt>
          <w:r w:rsidRPr="00250B83" w:rsidR="00684E84">
            <w:rPr>
              <w:rFonts w:hint="cs"/>
              <w:sz w:val="26"/>
              <w:szCs w:val="26"/>
              <w:rtl/>
            </w:rPr>
            <w:t xml:space="preserve"> </w:t>
          </w:r>
          <w:sdt>
            <w:sdtPr>
              <w:rPr>
                <w:sz w:val="26"/>
                <w:szCs w:val="26"/>
                <w:rtl/>
              </w:rPr>
              <w:alias w:val="1172"/>
              <w:tag w:val="1172"/>
              <w:id w:val="-2143494014"/>
              <w:text w:multiLine="1"/>
            </w:sdtPr>
            <w:sdtEndPr/>
            <w:sdtContent>
              <w:r w:rsidR="001359DB">
                <w:rPr>
                  <w:sz w:val="26"/>
                  <w:szCs w:val="26"/>
                  <w:rtl/>
                </w:rPr>
                <w:t>מדינת ישראל נ' לימונדה  א.א.נ בע"מ ואח'</w:t>
              </w:r>
            </w:sdtContent>
          </w:sdt>
        </w:p>
      </w:tc>
      <w:tc>
        <w:tcPr>
          <w:tcW w:w="3730" w:type="dxa"/>
        </w:tcPr>
        <w:p w:rsidR="00507694" w:rsidRDefault="00507694">
          <w:pPr>
            <w:pStyle w:val="a3"/>
            <w:jc w:val="right"/>
            <w:rPr>
              <w:rFonts w:cs="FrankRuehl"/>
              <w:sz w:val="28"/>
              <w:szCs w:val="28"/>
              <w:rtl/>
            </w:rPr>
          </w:pPr>
        </w:p>
      </w:tc>
    </w:tr>
  </w:tbl>
  <w:p w:rsidR="00507694" w:rsidRDefault="00684E84">
    <w:pPr>
      <w:pStyle w:val="a3"/>
      <w:rPr>
        <w:rtl/>
      </w:rPr>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15FBD"/>
    <w:multiLevelType w:val="hybridMultilevel"/>
    <w:tmpl w:val="3392CCFA"/>
    <w:lvl w:ilvl="0" w:tplc="0409000F">
      <w:start w:val="1"/>
      <w:numFmt w:val="decimal"/>
      <w:lvlText w:val="%1."/>
      <w:lvlJc w:val="left"/>
      <w:pPr>
        <w:ind w:left="861" w:hanging="360"/>
      </w:p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1" w15:restartNumberingAfterBreak="0">
    <w:nsid w:val="17043902"/>
    <w:multiLevelType w:val="hybridMultilevel"/>
    <w:tmpl w:val="061A8B86"/>
    <w:lvl w:ilvl="0" w:tplc="9B1861D0">
      <w:start w:val="1"/>
      <w:numFmt w:val="decimal"/>
      <w:lvlText w:val="%1."/>
      <w:lvlJc w:val="left"/>
      <w:pPr>
        <w:ind w:left="785" w:hanging="360"/>
      </w:pPr>
      <w:rPr>
        <w:rFonts w:cs="Times New Roman"/>
        <w:b w:val="0"/>
        <w:bCs w:val="0"/>
      </w:rPr>
    </w:lvl>
    <w:lvl w:ilvl="1" w:tplc="04090019">
      <w:start w:val="1"/>
      <w:numFmt w:val="lowerLetter"/>
      <w:lvlText w:val="%2."/>
      <w:lvlJc w:val="left"/>
      <w:pPr>
        <w:ind w:left="1298" w:hanging="360"/>
      </w:pPr>
      <w:rPr>
        <w:rFonts w:cs="Times New Roman"/>
      </w:rPr>
    </w:lvl>
    <w:lvl w:ilvl="2" w:tplc="0409001B">
      <w:start w:val="1"/>
      <w:numFmt w:val="lowerRoman"/>
      <w:lvlText w:val="%3."/>
      <w:lvlJc w:val="right"/>
      <w:pPr>
        <w:ind w:left="2018" w:hanging="180"/>
      </w:pPr>
      <w:rPr>
        <w:rFonts w:cs="Times New Roman"/>
      </w:rPr>
    </w:lvl>
    <w:lvl w:ilvl="3" w:tplc="0409000F">
      <w:start w:val="1"/>
      <w:numFmt w:val="decimal"/>
      <w:lvlText w:val="%4."/>
      <w:lvlJc w:val="left"/>
      <w:pPr>
        <w:ind w:left="2738" w:hanging="360"/>
      </w:pPr>
      <w:rPr>
        <w:rFonts w:cs="Times New Roman"/>
      </w:rPr>
    </w:lvl>
    <w:lvl w:ilvl="4" w:tplc="04090019">
      <w:start w:val="1"/>
      <w:numFmt w:val="lowerLetter"/>
      <w:lvlText w:val="%5."/>
      <w:lvlJc w:val="left"/>
      <w:pPr>
        <w:ind w:left="3458" w:hanging="360"/>
      </w:pPr>
      <w:rPr>
        <w:rFonts w:cs="Times New Roman"/>
      </w:rPr>
    </w:lvl>
    <w:lvl w:ilvl="5" w:tplc="0409001B">
      <w:start w:val="1"/>
      <w:numFmt w:val="lowerRoman"/>
      <w:lvlText w:val="%6."/>
      <w:lvlJc w:val="right"/>
      <w:pPr>
        <w:ind w:left="4178" w:hanging="180"/>
      </w:pPr>
      <w:rPr>
        <w:rFonts w:cs="Times New Roman"/>
      </w:rPr>
    </w:lvl>
    <w:lvl w:ilvl="6" w:tplc="0409000F">
      <w:start w:val="1"/>
      <w:numFmt w:val="decimal"/>
      <w:lvlText w:val="%7."/>
      <w:lvlJc w:val="left"/>
      <w:pPr>
        <w:ind w:left="4898" w:hanging="360"/>
      </w:pPr>
      <w:rPr>
        <w:rFonts w:cs="Times New Roman"/>
      </w:rPr>
    </w:lvl>
    <w:lvl w:ilvl="7" w:tplc="04090019">
      <w:start w:val="1"/>
      <w:numFmt w:val="lowerLetter"/>
      <w:lvlText w:val="%8."/>
      <w:lvlJc w:val="left"/>
      <w:pPr>
        <w:ind w:left="5618" w:hanging="360"/>
      </w:pPr>
      <w:rPr>
        <w:rFonts w:cs="Times New Roman"/>
      </w:rPr>
    </w:lvl>
    <w:lvl w:ilvl="8" w:tplc="0409001B">
      <w:start w:val="1"/>
      <w:numFmt w:val="lowerRoman"/>
      <w:lvlText w:val="%9."/>
      <w:lvlJc w:val="right"/>
      <w:pPr>
        <w:ind w:left="6338"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7D6E4D"/>
    <w:multiLevelType w:val="hybridMultilevel"/>
    <w:tmpl w:val="993AEB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0A46AF"/>
    <w:multiLevelType w:val="hybridMultilevel"/>
    <w:tmpl w:val="8BC6918E"/>
    <w:lvl w:ilvl="0" w:tplc="5BFA13CE">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5503422"/>
    <w:multiLevelType w:val="hybridMultilevel"/>
    <w:tmpl w:val="7D8E2FF0"/>
    <w:lvl w:ilvl="0" w:tplc="0409000F">
      <w:start w:val="1"/>
      <w:numFmt w:val="decimal"/>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6" w15:restartNumberingAfterBreak="0">
    <w:nsid w:val="48B21A26"/>
    <w:multiLevelType w:val="hybridMultilevel"/>
    <w:tmpl w:val="5E403820"/>
    <w:lvl w:ilvl="0" w:tplc="0674DA48">
      <w:start w:val="1"/>
      <w:numFmt w:val="decimal"/>
      <w:lvlText w:val="%1."/>
      <w:lvlJc w:val="left"/>
      <w:pPr>
        <w:ind w:left="2862" w:hanging="855"/>
      </w:pPr>
      <w:rPr>
        <w:rFonts w:hint="default"/>
        <w:b w:val="0"/>
        <w:bCs w:val="0"/>
      </w:rPr>
    </w:lvl>
    <w:lvl w:ilvl="1" w:tplc="04090019" w:tentative="1">
      <w:start w:val="1"/>
      <w:numFmt w:val="lowerLetter"/>
      <w:lvlText w:val="%2."/>
      <w:lvlJc w:val="left"/>
      <w:pPr>
        <w:ind w:left="2662" w:hanging="360"/>
      </w:pPr>
    </w:lvl>
    <w:lvl w:ilvl="2" w:tplc="0409001B" w:tentative="1">
      <w:start w:val="1"/>
      <w:numFmt w:val="lowerRoman"/>
      <w:lvlText w:val="%3."/>
      <w:lvlJc w:val="right"/>
      <w:pPr>
        <w:ind w:left="3382" w:hanging="180"/>
      </w:pPr>
    </w:lvl>
    <w:lvl w:ilvl="3" w:tplc="0409000F" w:tentative="1">
      <w:start w:val="1"/>
      <w:numFmt w:val="decimal"/>
      <w:lvlText w:val="%4."/>
      <w:lvlJc w:val="left"/>
      <w:pPr>
        <w:ind w:left="4102" w:hanging="360"/>
      </w:pPr>
    </w:lvl>
    <w:lvl w:ilvl="4" w:tplc="04090019" w:tentative="1">
      <w:start w:val="1"/>
      <w:numFmt w:val="lowerLetter"/>
      <w:lvlText w:val="%5."/>
      <w:lvlJc w:val="left"/>
      <w:pPr>
        <w:ind w:left="4822" w:hanging="360"/>
      </w:pPr>
    </w:lvl>
    <w:lvl w:ilvl="5" w:tplc="0409001B" w:tentative="1">
      <w:start w:val="1"/>
      <w:numFmt w:val="lowerRoman"/>
      <w:lvlText w:val="%6."/>
      <w:lvlJc w:val="right"/>
      <w:pPr>
        <w:ind w:left="5542" w:hanging="180"/>
      </w:pPr>
    </w:lvl>
    <w:lvl w:ilvl="6" w:tplc="0409000F" w:tentative="1">
      <w:start w:val="1"/>
      <w:numFmt w:val="decimal"/>
      <w:lvlText w:val="%7."/>
      <w:lvlJc w:val="left"/>
      <w:pPr>
        <w:ind w:left="6262" w:hanging="360"/>
      </w:pPr>
    </w:lvl>
    <w:lvl w:ilvl="7" w:tplc="04090019" w:tentative="1">
      <w:start w:val="1"/>
      <w:numFmt w:val="lowerLetter"/>
      <w:lvlText w:val="%8."/>
      <w:lvlJc w:val="left"/>
      <w:pPr>
        <w:ind w:left="6982" w:hanging="360"/>
      </w:pPr>
    </w:lvl>
    <w:lvl w:ilvl="8" w:tplc="0409001B" w:tentative="1">
      <w:start w:val="1"/>
      <w:numFmt w:val="lowerRoman"/>
      <w:lvlText w:val="%9."/>
      <w:lvlJc w:val="right"/>
      <w:pPr>
        <w:ind w:left="7702" w:hanging="180"/>
      </w:pPr>
    </w:lvl>
  </w:abstractNum>
  <w:abstractNum w:abstractNumId="7" w15:restartNumberingAfterBreak="0">
    <w:nsid w:val="522655B6"/>
    <w:multiLevelType w:val="hybridMultilevel"/>
    <w:tmpl w:val="6400EB70"/>
    <w:lvl w:ilvl="0" w:tplc="0409000F">
      <w:start w:val="1"/>
      <w:numFmt w:val="decimal"/>
      <w:lvlText w:val="%1."/>
      <w:lvlJc w:val="left"/>
      <w:pPr>
        <w:ind w:left="785"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26F1976"/>
    <w:multiLevelType w:val="hybridMultilevel"/>
    <w:tmpl w:val="F82A2C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2"/>
  </w:num>
  <w:num w:numId="3">
    <w:abstractNumId w:val="1"/>
  </w:num>
  <w:num w:numId="4">
    <w:abstractNumId w:val="5"/>
  </w:num>
  <w:num w:numId="5">
    <w:abstractNumId w:val="6"/>
  </w:num>
  <w:num w:numId="6">
    <w:abstractNumId w:val="0"/>
  </w:num>
  <w:num w:numId="7">
    <w:abstractNumId w:val="9"/>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en-US" w:vendorID="64" w:dllVersion="131078" w:nlCheck="1" w:checkStyle="0" w:appName="MSWord"/>
  <w:defaultTabStop w:val="720"/>
  <w:characterSpacingControl w:val="doNotCompress"/>
  <w:hdrShapeDefaults>
    <o:shapedefaults v:ext="edit" spidmax="99330"/>
    <o:shapelayout v:ext="edit">
      <o:idmap v:ext="edit" data="9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694"/>
    <w:rsid w:val="000069F0"/>
    <w:rsid w:val="00031F8A"/>
    <w:rsid w:val="00035EB7"/>
    <w:rsid w:val="00036F49"/>
    <w:rsid w:val="00041EB5"/>
    <w:rsid w:val="0004389D"/>
    <w:rsid w:val="00054075"/>
    <w:rsid w:val="00054FC4"/>
    <w:rsid w:val="0006726A"/>
    <w:rsid w:val="00076782"/>
    <w:rsid w:val="000856CF"/>
    <w:rsid w:val="00091752"/>
    <w:rsid w:val="000B08F8"/>
    <w:rsid w:val="000B09B2"/>
    <w:rsid w:val="000B45A9"/>
    <w:rsid w:val="000C1DCE"/>
    <w:rsid w:val="000D5D1A"/>
    <w:rsid w:val="000E3C6F"/>
    <w:rsid w:val="000F2039"/>
    <w:rsid w:val="000F7502"/>
    <w:rsid w:val="00100577"/>
    <w:rsid w:val="00112500"/>
    <w:rsid w:val="0011693E"/>
    <w:rsid w:val="001359DB"/>
    <w:rsid w:val="0013691C"/>
    <w:rsid w:val="00141A82"/>
    <w:rsid w:val="0014473F"/>
    <w:rsid w:val="00154BF8"/>
    <w:rsid w:val="001621BC"/>
    <w:rsid w:val="001624B5"/>
    <w:rsid w:val="00184568"/>
    <w:rsid w:val="00193511"/>
    <w:rsid w:val="001A4976"/>
    <w:rsid w:val="001A556D"/>
    <w:rsid w:val="001B711C"/>
    <w:rsid w:val="001D1468"/>
    <w:rsid w:val="001F59E4"/>
    <w:rsid w:val="00212125"/>
    <w:rsid w:val="00212457"/>
    <w:rsid w:val="002379BD"/>
    <w:rsid w:val="00250B83"/>
    <w:rsid w:val="00251F49"/>
    <w:rsid w:val="00276700"/>
    <w:rsid w:val="00282F90"/>
    <w:rsid w:val="002C024B"/>
    <w:rsid w:val="002D6A15"/>
    <w:rsid w:val="002D6C61"/>
    <w:rsid w:val="002E0EF4"/>
    <w:rsid w:val="002F6F73"/>
    <w:rsid w:val="002F7E1E"/>
    <w:rsid w:val="003061BD"/>
    <w:rsid w:val="0030697D"/>
    <w:rsid w:val="00353C63"/>
    <w:rsid w:val="00367565"/>
    <w:rsid w:val="00370527"/>
    <w:rsid w:val="0038114E"/>
    <w:rsid w:val="00387B12"/>
    <w:rsid w:val="00392A11"/>
    <w:rsid w:val="00396757"/>
    <w:rsid w:val="003974BD"/>
    <w:rsid w:val="003C79FA"/>
    <w:rsid w:val="003E0C9F"/>
    <w:rsid w:val="003F7FB2"/>
    <w:rsid w:val="004215DC"/>
    <w:rsid w:val="0042559A"/>
    <w:rsid w:val="004463EE"/>
    <w:rsid w:val="00457E86"/>
    <w:rsid w:val="00470A3B"/>
    <w:rsid w:val="004A00E3"/>
    <w:rsid w:val="004A38EC"/>
    <w:rsid w:val="004A475D"/>
    <w:rsid w:val="004A619E"/>
    <w:rsid w:val="004A7507"/>
    <w:rsid w:val="004B5D27"/>
    <w:rsid w:val="004D24E2"/>
    <w:rsid w:val="004D4FE9"/>
    <w:rsid w:val="00504C1C"/>
    <w:rsid w:val="00507694"/>
    <w:rsid w:val="00521A52"/>
    <w:rsid w:val="00521B2B"/>
    <w:rsid w:val="005255A4"/>
    <w:rsid w:val="005541F0"/>
    <w:rsid w:val="0057209F"/>
    <w:rsid w:val="00595B7F"/>
    <w:rsid w:val="005A1049"/>
    <w:rsid w:val="005B61C0"/>
    <w:rsid w:val="005B7301"/>
    <w:rsid w:val="005C10FC"/>
    <w:rsid w:val="005C7B0B"/>
    <w:rsid w:val="005D1B41"/>
    <w:rsid w:val="005D48B3"/>
    <w:rsid w:val="005E2F6C"/>
    <w:rsid w:val="005E7BBA"/>
    <w:rsid w:val="006026DC"/>
    <w:rsid w:val="0060710D"/>
    <w:rsid w:val="00607C62"/>
    <w:rsid w:val="00631501"/>
    <w:rsid w:val="00632D94"/>
    <w:rsid w:val="006341B3"/>
    <w:rsid w:val="00640C53"/>
    <w:rsid w:val="00641768"/>
    <w:rsid w:val="00643CDB"/>
    <w:rsid w:val="006466B3"/>
    <w:rsid w:val="006578B7"/>
    <w:rsid w:val="00665775"/>
    <w:rsid w:val="00683ABD"/>
    <w:rsid w:val="00684E84"/>
    <w:rsid w:val="006915D2"/>
    <w:rsid w:val="006C2095"/>
    <w:rsid w:val="006E0C8F"/>
    <w:rsid w:val="006F0E75"/>
    <w:rsid w:val="006F19E2"/>
    <w:rsid w:val="00714A76"/>
    <w:rsid w:val="00715D6D"/>
    <w:rsid w:val="007250E0"/>
    <w:rsid w:val="007268C4"/>
    <w:rsid w:val="00741503"/>
    <w:rsid w:val="00757983"/>
    <w:rsid w:val="007966F1"/>
    <w:rsid w:val="007B3251"/>
    <w:rsid w:val="007D7B97"/>
    <w:rsid w:val="007F49EA"/>
    <w:rsid w:val="007F502D"/>
    <w:rsid w:val="007F745F"/>
    <w:rsid w:val="008050B0"/>
    <w:rsid w:val="00805AA3"/>
    <w:rsid w:val="00805C83"/>
    <w:rsid w:val="00811B46"/>
    <w:rsid w:val="00821F29"/>
    <w:rsid w:val="00826E51"/>
    <w:rsid w:val="0082781D"/>
    <w:rsid w:val="00832D73"/>
    <w:rsid w:val="00853A6D"/>
    <w:rsid w:val="008752F7"/>
    <w:rsid w:val="008769BE"/>
    <w:rsid w:val="008819B4"/>
    <w:rsid w:val="0088439A"/>
    <w:rsid w:val="00891B9C"/>
    <w:rsid w:val="008B13D0"/>
    <w:rsid w:val="008C1AA5"/>
    <w:rsid w:val="008C37EC"/>
    <w:rsid w:val="008D02CB"/>
    <w:rsid w:val="008D151F"/>
    <w:rsid w:val="008D423C"/>
    <w:rsid w:val="00913614"/>
    <w:rsid w:val="009356A6"/>
    <w:rsid w:val="00941C5D"/>
    <w:rsid w:val="00942C65"/>
    <w:rsid w:val="009632AF"/>
    <w:rsid w:val="00965415"/>
    <w:rsid w:val="0098752C"/>
    <w:rsid w:val="009E1CD8"/>
    <w:rsid w:val="009E35A7"/>
    <w:rsid w:val="009E49A1"/>
    <w:rsid w:val="009E5D23"/>
    <w:rsid w:val="009F504D"/>
    <w:rsid w:val="00A01FAF"/>
    <w:rsid w:val="00A35B1F"/>
    <w:rsid w:val="00A46542"/>
    <w:rsid w:val="00A504C4"/>
    <w:rsid w:val="00A56F7C"/>
    <w:rsid w:val="00A75A66"/>
    <w:rsid w:val="00A77B7C"/>
    <w:rsid w:val="00AD5891"/>
    <w:rsid w:val="00AE5B97"/>
    <w:rsid w:val="00AF6850"/>
    <w:rsid w:val="00B05847"/>
    <w:rsid w:val="00B16BFF"/>
    <w:rsid w:val="00B22E0A"/>
    <w:rsid w:val="00B22F6E"/>
    <w:rsid w:val="00B32863"/>
    <w:rsid w:val="00B36B38"/>
    <w:rsid w:val="00B37B9E"/>
    <w:rsid w:val="00B43C12"/>
    <w:rsid w:val="00B72BFB"/>
    <w:rsid w:val="00B94E4C"/>
    <w:rsid w:val="00B97CCE"/>
    <w:rsid w:val="00BD67E7"/>
    <w:rsid w:val="00BE0015"/>
    <w:rsid w:val="00BE3289"/>
    <w:rsid w:val="00C02463"/>
    <w:rsid w:val="00C503E4"/>
    <w:rsid w:val="00C55E62"/>
    <w:rsid w:val="00C572E8"/>
    <w:rsid w:val="00C672EF"/>
    <w:rsid w:val="00C83E7D"/>
    <w:rsid w:val="00C906F5"/>
    <w:rsid w:val="00C90ACE"/>
    <w:rsid w:val="00C911A0"/>
    <w:rsid w:val="00C93C49"/>
    <w:rsid w:val="00C9676B"/>
    <w:rsid w:val="00CA4483"/>
    <w:rsid w:val="00CA68D1"/>
    <w:rsid w:val="00CC6025"/>
    <w:rsid w:val="00CE0248"/>
    <w:rsid w:val="00CE0C69"/>
    <w:rsid w:val="00CE1693"/>
    <w:rsid w:val="00CE2F98"/>
    <w:rsid w:val="00CE449C"/>
    <w:rsid w:val="00CF00DE"/>
    <w:rsid w:val="00CF34E1"/>
    <w:rsid w:val="00D02A79"/>
    <w:rsid w:val="00D064E9"/>
    <w:rsid w:val="00D11ACB"/>
    <w:rsid w:val="00D202F4"/>
    <w:rsid w:val="00D3203D"/>
    <w:rsid w:val="00D417E7"/>
    <w:rsid w:val="00D44BA2"/>
    <w:rsid w:val="00D46116"/>
    <w:rsid w:val="00D531EF"/>
    <w:rsid w:val="00D63AE1"/>
    <w:rsid w:val="00D645C3"/>
    <w:rsid w:val="00D80F22"/>
    <w:rsid w:val="00D82A11"/>
    <w:rsid w:val="00D93711"/>
    <w:rsid w:val="00DD10C2"/>
    <w:rsid w:val="00DD7FE5"/>
    <w:rsid w:val="00DE18AA"/>
    <w:rsid w:val="00E01326"/>
    <w:rsid w:val="00E06E55"/>
    <w:rsid w:val="00E2551F"/>
    <w:rsid w:val="00E424CE"/>
    <w:rsid w:val="00E55E3F"/>
    <w:rsid w:val="00E64A12"/>
    <w:rsid w:val="00E70F9C"/>
    <w:rsid w:val="00E76426"/>
    <w:rsid w:val="00E85C97"/>
    <w:rsid w:val="00E909C9"/>
    <w:rsid w:val="00EC0563"/>
    <w:rsid w:val="00ED1E6A"/>
    <w:rsid w:val="00ED7500"/>
    <w:rsid w:val="00EE2453"/>
    <w:rsid w:val="00EE6DF0"/>
    <w:rsid w:val="00EE7583"/>
    <w:rsid w:val="00EF34A0"/>
    <w:rsid w:val="00F23848"/>
    <w:rsid w:val="00F33FFA"/>
    <w:rsid w:val="00F75AFC"/>
    <w:rsid w:val="00F816FC"/>
    <w:rsid w:val="00F87D38"/>
    <w:rsid w:val="00FC19E6"/>
    <w:rsid w:val="00FC78E3"/>
    <w:rsid w:val="00FD2F41"/>
    <w:rsid w:val="00FF6F62"/>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9330"/>
    <o:shapelayout v:ext="edit">
      <o:idmap v:ext="edit" data="1"/>
    </o:shapelayout>
  </w:shapeDefaults>
  <w:decimalSymbol w:val="."/>
  <w:listSeparator w:val=","/>
  <w14:docId w14:val="0D6A5E94"/>
  <w15:docId w15:val="{EBBF236C-5AEA-4753-8B68-F6E1D726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B41"/>
    <w:pPr>
      <w:bidi/>
    </w:pPr>
    <w:rPr>
      <w:rFonts w:cs="David"/>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4">
    <w:name w:val="heading 4"/>
    <w:basedOn w:val="a"/>
    <w:next w:val="a"/>
    <w:qFormat/>
    <w:rsid w:val="003A7B41"/>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A7B41"/>
    <w:pPr>
      <w:tabs>
        <w:tab w:val="center" w:pos="4153"/>
        <w:tab w:val="right" w:pos="8306"/>
      </w:tabs>
    </w:pPr>
  </w:style>
  <w:style w:type="paragraph" w:styleId="a5">
    <w:name w:val="footer"/>
    <w:basedOn w:val="a"/>
    <w:link w:val="a6"/>
    <w:uiPriority w:val="99"/>
    <w:rsid w:val="003A7B41"/>
    <w:pPr>
      <w:tabs>
        <w:tab w:val="center" w:pos="4153"/>
        <w:tab w:val="right" w:pos="8306"/>
      </w:tabs>
    </w:pPr>
  </w:style>
  <w:style w:type="character" w:styleId="a7">
    <w:name w:val="annotation reference"/>
    <w:basedOn w:val="a0"/>
    <w:semiHidden/>
    <w:rsid w:val="003A7B41"/>
    <w:rPr>
      <w:sz w:val="16"/>
      <w:szCs w:val="16"/>
    </w:rPr>
  </w:style>
  <w:style w:type="paragraph" w:styleId="a8">
    <w:name w:val="annotation text"/>
    <w:basedOn w:val="a"/>
    <w:semiHidden/>
    <w:rsid w:val="003A7B41"/>
    <w:rPr>
      <w:rFonts w:cs="Times New Roman"/>
      <w:lang w:eastAsia="he-IL"/>
    </w:rPr>
  </w:style>
  <w:style w:type="paragraph" w:styleId="a9">
    <w:name w:val="Balloon Text"/>
    <w:basedOn w:val="a"/>
    <w:semiHidden/>
    <w:rsid w:val="003A7B41"/>
    <w:rPr>
      <w:rFonts w:ascii="Tahoma" w:hAnsi="Tahoma" w:cs="Tahoma"/>
      <w:sz w:val="16"/>
      <w:szCs w:val="16"/>
    </w:rPr>
  </w:style>
  <w:style w:type="table" w:styleId="aa">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rsid w:val="00BD67E7"/>
  </w:style>
  <w:style w:type="character" w:customStyle="1" w:styleId="a4">
    <w:name w:val="כותרת עליונה תו"/>
    <w:basedOn w:val="a0"/>
    <w:link w:val="a3"/>
    <w:uiPriority w:val="99"/>
    <w:locked/>
    <w:rsid w:val="00B22F6E"/>
    <w:rPr>
      <w:rFonts w:cs="David"/>
      <w:sz w:val="24"/>
      <w:szCs w:val="24"/>
    </w:rPr>
  </w:style>
  <w:style w:type="character" w:customStyle="1" w:styleId="a6">
    <w:name w:val="כותרת תחתונה תו"/>
    <w:basedOn w:val="a0"/>
    <w:link w:val="a5"/>
    <w:uiPriority w:val="99"/>
    <w:locked/>
    <w:rsid w:val="00B22F6E"/>
    <w:rPr>
      <w:rFonts w:cs="David"/>
      <w:sz w:val="24"/>
      <w:szCs w:val="24"/>
    </w:rPr>
  </w:style>
  <w:style w:type="paragraph" w:styleId="ac">
    <w:name w:val="List Paragraph"/>
    <w:basedOn w:val="a"/>
    <w:uiPriority w:val="34"/>
    <w:qFormat/>
    <w:rsid w:val="00B22F6E"/>
    <w:pPr>
      <w:ind w:left="720"/>
      <w:contextualSpacing/>
    </w:pPr>
  </w:style>
  <w:style w:type="paragraph" w:customStyle="1" w:styleId="10">
    <w:name w:val="פיסקת רשימה1"/>
    <w:basedOn w:val="a"/>
    <w:rsid w:val="00B22F6E"/>
    <w:pPr>
      <w:ind w:left="720"/>
      <w:contextualSpacing/>
    </w:pPr>
  </w:style>
  <w:style w:type="paragraph" w:customStyle="1" w:styleId="2">
    <w:name w:val="פיסקת רשימה2"/>
    <w:basedOn w:val="a"/>
    <w:rsid w:val="00B22F6E"/>
    <w:pPr>
      <w:ind w:left="720"/>
      <w:contextualSpacing/>
    </w:pPr>
  </w:style>
  <w:style w:type="character" w:styleId="Hyperlink">
    <w:name w:val="Hyperlink"/>
    <w:basedOn w:val="a0"/>
    <w:uiPriority w:val="99"/>
    <w:rsid w:val="00B22F6E"/>
    <w:rPr>
      <w:rFonts w:cs="Times New Roman"/>
      <w:color w:val="0000FF"/>
      <w:u w:val="single"/>
    </w:rPr>
  </w:style>
  <w:style w:type="character" w:styleId="FollowedHyperlink">
    <w:name w:val="FollowedHyperlink"/>
    <w:basedOn w:val="a0"/>
    <w:semiHidden/>
    <w:unhideWhenUsed/>
    <w:rsid w:val="008769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618106">
      <w:bodyDiv w:val="1"/>
      <w:marLeft w:val="0"/>
      <w:marRight w:val="0"/>
      <w:marTop w:val="0"/>
      <w:marBottom w:val="0"/>
      <w:divBdr>
        <w:top w:val="none" w:sz="0" w:space="0" w:color="auto"/>
        <w:left w:val="none" w:sz="0" w:space="0" w:color="auto"/>
        <w:bottom w:val="none" w:sz="0" w:space="0" w:color="auto"/>
        <w:right w:val="none" w:sz="0" w:space="0" w:color="auto"/>
      </w:divBdr>
    </w:div>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www.nevo.co.il/case/13045222" TargetMode="External" Id="rId13" /><Relationship Type="http://schemas.openxmlformats.org/officeDocument/2006/relationships/footer" Target="footer1.xml" Id="rId18" /><Relationship Type="http://schemas.openxmlformats.org/officeDocument/2006/relationships/numbering" Target="numbering.xml" Id="rId3" /><Relationship Type="http://schemas.openxmlformats.org/officeDocument/2006/relationships/theme" Target="theme/theme1.xml" Id="rId21" /><Relationship Type="http://schemas.openxmlformats.org/officeDocument/2006/relationships/footnotes" Target="footnotes.xml" Id="rId7" /><Relationship Type="http://schemas.openxmlformats.org/officeDocument/2006/relationships/hyperlink" Target="http://www.nevo.co.il/case/22219474" TargetMode="External" Id="rId12" /><Relationship Type="http://schemas.openxmlformats.org/officeDocument/2006/relationships/header" Target="header1.xml" Id="rId17" /><Relationship Type="http://schemas.openxmlformats.org/officeDocument/2006/relationships/hyperlink" Target="http://www.nevo.co.il/case/5751056" TargetMode="External" Id="rId16" /><Relationship Type="http://schemas.openxmlformats.org/officeDocument/2006/relationships/fontTable" Target="fontTable.xml" Id="rId20"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yperlink" Target="http://www.nevo.co.il/case/20559001" TargetMode="External" Id="rId11" /><Relationship Type="http://schemas.openxmlformats.org/officeDocument/2006/relationships/settings" Target="settings.xml" Id="rId5" /><Relationship Type="http://schemas.openxmlformats.org/officeDocument/2006/relationships/hyperlink" Target="http://www.nevo.co.il/case/20341525" TargetMode="External" Id="rId15" /><Relationship Type="http://schemas.openxmlformats.org/officeDocument/2006/relationships/hyperlink" Target="http://www.nevo.co.il/law/72813" TargetMode="External" Id="rId10" /><Relationship Type="http://schemas.openxmlformats.org/officeDocument/2006/relationships/footer" Target="footer2.xml" Id="rId19" /><Relationship Type="http://schemas.openxmlformats.org/officeDocument/2006/relationships/styles" Target="styles.xml" Id="rId4" /><Relationship Type="http://schemas.openxmlformats.org/officeDocument/2006/relationships/hyperlink" Target="http://www.nevo.co.il/law/72813/117.b.5" TargetMode="External" Id="rId9" /><Relationship Type="http://schemas.openxmlformats.org/officeDocument/2006/relationships/hyperlink" Target="http://www.nevo.co.il/case/17072963" TargetMode="External" Id="rId14" /><Relationship Type="http://schemas.openxmlformats.org/officeDocument/2006/relationships/image" Target="/media/image2.jpg" Id="Rf5b6391991dd456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889</TotalTime>
  <Pages>8</Pages>
  <Words>2590</Words>
  <Characters>12951</Characters>
  <Application>Microsoft Office Word</Application>
  <DocSecurity>0</DocSecurity>
  <Lines>107</Lines>
  <Paragraphs>31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דנה אמיר</cp:lastModifiedBy>
  <cp:revision>312</cp:revision>
  <cp:lastPrinted>2018-03-26T08:39:00Z</cp:lastPrinted>
  <dcterms:created xsi:type="dcterms:W3CDTF">2012-08-05T19:12:00Z</dcterms:created>
  <dcterms:modified xsi:type="dcterms:W3CDTF">2018-04-11T10:15:00Z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