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="00621052" w:rsidP="00D61F3F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68099F" w:rsidP="00D61F3F" w:rsidRDefault="0068099F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Pr="006C54DD" w:rsidR="0068099F" w:rsidP="00D61F3F" w:rsidRDefault="0068099F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D61F3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  <w:r w:rsidR="00D61F3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D61F3F" w:rsidRDefault="00CF68C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הפניקס חברה לביטוח בע"מ</w:t>
                </w:r>
                <w:r w:rsidR="00D61F3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 ח.פ. 520023185</w:t>
                </w:r>
              </w:sdtContent>
            </w:sdt>
          </w:p>
          <w:p w:rsidRPr="00D61F3F" w:rsidR="00621052" w:rsidRDefault="00621052">
            <w:pPr>
              <w:rPr>
                <w:noProof w:val="0"/>
                <w:sz w:val="28"/>
                <w:szCs w:val="28"/>
              </w:rPr>
            </w:pPr>
            <w:r w:rsidRPr="00D61F3F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D61F3F" w:rsidR="00D61F3F">
              <w:rPr>
                <w:rFonts w:hint="cs"/>
                <w:noProof w:val="0"/>
                <w:sz w:val="28"/>
                <w:szCs w:val="28"/>
                <w:rtl/>
              </w:rPr>
              <w:t xml:space="preserve"> אייל לשם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="0068099F" w:rsidP="00621052" w:rsidRDefault="0068099F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6C54DD" w:rsidR="0068099F" w:rsidP="00621052" w:rsidRDefault="0068099F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D61F3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D61F3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D61F3F" w:rsidRDefault="00CF68C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פאדי עבודות קונסטרוקציה בע"מ</w:t>
                </w:r>
                <w:r w:rsidR="00D61F3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 ח.פ. 513466011</w:t>
                </w:r>
              </w:sdtContent>
            </w:sdt>
          </w:p>
          <w:p w:rsidRPr="006C54DD" w:rsidR="00621052" w:rsidRDefault="00D61F3F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8099F" w:rsidRDefault="0068099F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D61F3F" w:rsidR="00D61F3F" w:rsidP="00D61F3F" w:rsidRDefault="00D61F3F">
      <w:pPr>
        <w:numPr>
          <w:ilvl w:val="0"/>
          <w:numId w:val="1"/>
        </w:numPr>
        <w:snapToGrid w:val="0"/>
        <w:spacing w:line="360" w:lineRule="auto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t xml:space="preserve">לפני בקשת התובעת למתן פסק דין בהעדר הגנה. </w:t>
      </w:r>
    </w:p>
    <w:p w:rsidRPr="00D61F3F" w:rsidR="00D61F3F" w:rsidP="00D61F3F" w:rsidRDefault="00D61F3F">
      <w:pPr>
        <w:numPr>
          <w:ilvl w:val="0"/>
          <w:numId w:val="1"/>
        </w:numPr>
        <w:snapToGrid w:val="0"/>
        <w:spacing w:line="360" w:lineRule="auto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t xml:space="preserve">התובעת צירפה לבקשה אישור מסירה ממנו עולה, כי כתב התביעה נמסר לנתבעת בכתובתה הרשומה ביום </w:t>
      </w:r>
      <w:r>
        <w:rPr>
          <w:rFonts w:hint="cs"/>
          <w:noProof w:val="0"/>
          <w:sz w:val="28"/>
          <w:szCs w:val="28"/>
          <w:rtl/>
        </w:rPr>
        <w:t>04.02.18</w:t>
      </w:r>
      <w:r w:rsidRPr="00D61F3F">
        <w:rPr>
          <w:noProof w:val="0"/>
          <w:sz w:val="28"/>
          <w:szCs w:val="28"/>
          <w:rtl/>
        </w:rPr>
        <w:t>.</w:t>
      </w:r>
    </w:p>
    <w:p w:rsidRPr="00D61F3F" w:rsidR="00D61F3F" w:rsidP="00D61F3F" w:rsidRDefault="00D61F3F">
      <w:pPr>
        <w:numPr>
          <w:ilvl w:val="0"/>
          <w:numId w:val="1"/>
        </w:numPr>
        <w:snapToGrid w:val="0"/>
        <w:spacing w:line="360" w:lineRule="auto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t xml:space="preserve">הנתבעת לא הגישה כתב הגנה מטעמה אף שחלף המועד להגשתו. התובעת עותרת למתן פסק דין בהעדר הגנה.   </w:t>
      </w:r>
    </w:p>
    <w:p w:rsidRPr="00D61F3F" w:rsidR="00D61F3F" w:rsidP="00D61F3F" w:rsidRDefault="00D61F3F">
      <w:pPr>
        <w:numPr>
          <w:ilvl w:val="0"/>
          <w:numId w:val="1"/>
        </w:numPr>
        <w:snapToGrid w:val="0"/>
        <w:spacing w:line="360" w:lineRule="auto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t xml:space="preserve">בהחלטה מיום </w:t>
      </w:r>
      <w:r>
        <w:rPr>
          <w:rFonts w:hint="cs"/>
          <w:noProof w:val="0"/>
          <w:sz w:val="28"/>
          <w:szCs w:val="28"/>
          <w:rtl/>
        </w:rPr>
        <w:t>13.03.18</w:t>
      </w:r>
      <w:r w:rsidRPr="00D61F3F">
        <w:rPr>
          <w:noProof w:val="0"/>
          <w:sz w:val="28"/>
          <w:szCs w:val="28"/>
          <w:rtl/>
        </w:rPr>
        <w:t xml:space="preserve"> התרה בית הדין בנתבעת, כי ככל שלא יוגש כתב הגנה מטעמה בתוך 21 ימים, ישקול בית הדין מתן פסק דין על יסוד כתב התביעה. </w:t>
      </w:r>
    </w:p>
    <w:p w:rsidRPr="00D61F3F" w:rsidR="00D61F3F" w:rsidP="00D61F3F" w:rsidRDefault="00D61F3F">
      <w:pPr>
        <w:numPr>
          <w:ilvl w:val="0"/>
          <w:numId w:val="1"/>
        </w:numPr>
        <w:snapToGrid w:val="0"/>
        <w:spacing w:line="360" w:lineRule="auto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t>עד למועד זה, לא הוגש לבית הדין כתב הגנה או הודעה מתאימה אחרת מטעם הנתבעת.</w:t>
      </w:r>
    </w:p>
    <w:p w:rsidRPr="0068099F" w:rsidR="00D61F3F" w:rsidP="00D61F3F" w:rsidRDefault="00D61F3F">
      <w:pPr>
        <w:numPr>
          <w:ilvl w:val="0"/>
          <w:numId w:val="1"/>
        </w:numPr>
        <w:snapToGrid w:val="0"/>
        <w:spacing w:line="360" w:lineRule="auto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t xml:space="preserve">בנסיבות אלה, יש מקום למתן פסק דין בהעדר הגנה בהתאם </w:t>
      </w:r>
      <w:hyperlink w:history="1" r:id="rId9">
        <w:r w:rsidRPr="00D61F3F">
          <w:rPr>
            <w:b/>
            <w:bCs/>
            <w:noProof w:val="0"/>
            <w:sz w:val="28"/>
            <w:szCs w:val="28"/>
            <w:rtl/>
          </w:rPr>
          <w:t>לתקנה 43 (א)</w:t>
        </w:r>
      </w:hyperlink>
      <w:r w:rsidRPr="00D61F3F">
        <w:rPr>
          <w:b/>
          <w:bCs/>
          <w:noProof w:val="0"/>
          <w:sz w:val="28"/>
          <w:szCs w:val="28"/>
          <w:rtl/>
        </w:rPr>
        <w:t xml:space="preserve"> ל</w:t>
      </w:r>
      <w:hyperlink w:history="1" r:id="rId10">
        <w:r w:rsidRPr="00D61F3F">
          <w:rPr>
            <w:b/>
            <w:bCs/>
            <w:noProof w:val="0"/>
            <w:sz w:val="28"/>
            <w:szCs w:val="28"/>
            <w:rtl/>
          </w:rPr>
          <w:t>תקנות בית הדין לעבודה (סדרי דין)</w:t>
        </w:r>
      </w:hyperlink>
      <w:r w:rsidRPr="00D61F3F">
        <w:rPr>
          <w:b/>
          <w:bCs/>
          <w:noProof w:val="0"/>
          <w:sz w:val="28"/>
          <w:szCs w:val="28"/>
          <w:rtl/>
        </w:rPr>
        <w:t xml:space="preserve"> התשנ"ב – 1991. </w:t>
      </w:r>
    </w:p>
    <w:p w:rsidR="0068099F" w:rsidP="0068099F" w:rsidRDefault="0068099F">
      <w:pPr>
        <w:snapToGrid w:val="0"/>
        <w:spacing w:line="360" w:lineRule="auto"/>
        <w:ind w:left="720"/>
        <w:jc w:val="both"/>
        <w:rPr>
          <w:noProof w:val="0"/>
          <w:sz w:val="28"/>
          <w:szCs w:val="28"/>
          <w:rtl/>
        </w:rPr>
      </w:pPr>
    </w:p>
    <w:p w:rsidRPr="00D61F3F" w:rsidR="0068099F" w:rsidP="0068099F" w:rsidRDefault="0068099F">
      <w:pPr>
        <w:snapToGrid w:val="0"/>
        <w:spacing w:line="360" w:lineRule="auto"/>
        <w:ind w:left="720"/>
        <w:jc w:val="both"/>
        <w:rPr>
          <w:noProof w:val="0"/>
          <w:sz w:val="28"/>
          <w:szCs w:val="28"/>
        </w:rPr>
      </w:pPr>
    </w:p>
    <w:p w:rsidR="00D61F3F" w:rsidP="00D61F3F" w:rsidRDefault="00D61F3F">
      <w:pPr>
        <w:numPr>
          <w:ilvl w:val="0"/>
          <w:numId w:val="1"/>
        </w:numPr>
        <w:snapToGrid w:val="0"/>
        <w:spacing w:line="360" w:lineRule="auto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lastRenderedPageBreak/>
        <w:t xml:space="preserve">הנתבעת תשלם לתובעת סכומים כדלקמן: </w:t>
      </w:r>
    </w:p>
    <w:p w:rsidRPr="00D61F3F" w:rsidR="0068099F" w:rsidP="0068099F" w:rsidRDefault="0068099F">
      <w:pPr>
        <w:snapToGrid w:val="0"/>
        <w:spacing w:line="360" w:lineRule="auto"/>
        <w:ind w:left="720"/>
        <w:jc w:val="both"/>
        <w:rPr>
          <w:noProof w:val="0"/>
          <w:sz w:val="28"/>
          <w:szCs w:val="28"/>
        </w:rPr>
      </w:pPr>
    </w:p>
    <w:p w:rsidRPr="00D61F3F" w:rsidR="00D61F3F" w:rsidP="0068099F" w:rsidRDefault="00D61F3F">
      <w:pPr>
        <w:snapToGrid w:val="0"/>
        <w:spacing w:line="360" w:lineRule="auto"/>
        <w:ind w:left="1440" w:hanging="720"/>
        <w:jc w:val="both"/>
        <w:rPr>
          <w:noProof w:val="0"/>
          <w:sz w:val="28"/>
          <w:szCs w:val="28"/>
        </w:rPr>
      </w:pPr>
      <w:r w:rsidRPr="00D61F3F">
        <w:rPr>
          <w:noProof w:val="0"/>
          <w:sz w:val="28"/>
          <w:szCs w:val="28"/>
          <w:rtl/>
        </w:rPr>
        <w:t>א.</w:t>
      </w:r>
      <w:r w:rsidRPr="00D61F3F">
        <w:rPr>
          <w:noProof w:val="0"/>
          <w:sz w:val="28"/>
          <w:szCs w:val="28"/>
          <w:rtl/>
        </w:rPr>
        <w:tab/>
        <w:t xml:space="preserve">סך של </w:t>
      </w:r>
      <w:r w:rsidR="001A14A2">
        <w:rPr>
          <w:rFonts w:hint="cs"/>
          <w:noProof w:val="0"/>
          <w:sz w:val="28"/>
          <w:szCs w:val="28"/>
          <w:rtl/>
        </w:rPr>
        <w:t>22,163.26</w:t>
      </w:r>
      <w:r w:rsidRPr="00D61F3F">
        <w:rPr>
          <w:noProof w:val="0"/>
          <w:sz w:val="28"/>
          <w:szCs w:val="28"/>
          <w:rtl/>
        </w:rPr>
        <w:t xml:space="preserve"> ₪  בצירוף </w:t>
      </w:r>
      <w:r w:rsidR="0068099F">
        <w:rPr>
          <w:rFonts w:hint="cs"/>
          <w:noProof w:val="0"/>
          <w:sz w:val="28"/>
          <w:szCs w:val="28"/>
          <w:rtl/>
        </w:rPr>
        <w:t>הפרש</w:t>
      </w:r>
      <w:bookmarkStart w:name="_GoBack" w:id="0"/>
      <w:bookmarkEnd w:id="0"/>
      <w:r w:rsidR="0068099F">
        <w:rPr>
          <w:rFonts w:hint="cs"/>
          <w:noProof w:val="0"/>
          <w:sz w:val="28"/>
          <w:szCs w:val="28"/>
          <w:rtl/>
        </w:rPr>
        <w:t xml:space="preserve">י הצמדה וריבית מיום הגשת התביעה (17.10.17) </w:t>
      </w:r>
      <w:r w:rsidRPr="00D61F3F">
        <w:rPr>
          <w:noProof w:val="0"/>
          <w:sz w:val="28"/>
          <w:szCs w:val="28"/>
          <w:rtl/>
        </w:rPr>
        <w:t xml:space="preserve">ועד התשלום המלא בפועל. </w:t>
      </w:r>
    </w:p>
    <w:p w:rsidRPr="00D61F3F" w:rsidR="00D61F3F" w:rsidP="0068099F" w:rsidRDefault="00D61F3F">
      <w:pPr>
        <w:snapToGrid w:val="0"/>
        <w:spacing w:line="360" w:lineRule="auto"/>
        <w:ind w:left="1440" w:hanging="720"/>
        <w:jc w:val="both"/>
        <w:rPr>
          <w:noProof w:val="0"/>
          <w:sz w:val="28"/>
          <w:szCs w:val="28"/>
          <w:rtl/>
        </w:rPr>
      </w:pPr>
      <w:r w:rsidRPr="00D61F3F">
        <w:rPr>
          <w:noProof w:val="0"/>
          <w:sz w:val="28"/>
          <w:szCs w:val="28"/>
          <w:rtl/>
        </w:rPr>
        <w:t>ב.</w:t>
      </w:r>
      <w:r w:rsidRPr="00D61F3F">
        <w:rPr>
          <w:noProof w:val="0"/>
          <w:sz w:val="28"/>
          <w:szCs w:val="28"/>
          <w:rtl/>
        </w:rPr>
        <w:tab/>
        <w:t xml:space="preserve">הוצאות משפט בסך </w:t>
      </w:r>
      <w:r w:rsidR="0068099F">
        <w:rPr>
          <w:rFonts w:hint="cs"/>
          <w:noProof w:val="0"/>
          <w:sz w:val="28"/>
          <w:szCs w:val="28"/>
          <w:rtl/>
        </w:rPr>
        <w:t xml:space="preserve">227.82 </w:t>
      </w:r>
      <w:r w:rsidRPr="00D61F3F">
        <w:rPr>
          <w:noProof w:val="0"/>
          <w:sz w:val="28"/>
          <w:szCs w:val="28"/>
          <w:rtl/>
        </w:rPr>
        <w:t xml:space="preserve">₪ ושכר טרחת עו"ד בסך 2,000 ₪. לא ישולם סכום זה בתוך 30 יום ממועד המצאת פסק הדין לנתבעת, יישא הפרשי הצמדה וריבית כחוק מיום מתן פסק הדין ועד התשלום בפועל. </w:t>
      </w:r>
    </w:p>
    <w:p w:rsidRPr="00D61F3F" w:rsidR="00D61F3F" w:rsidP="0068099F" w:rsidRDefault="0068099F">
      <w:pPr>
        <w:snapToGrid w:val="0"/>
        <w:spacing w:line="360" w:lineRule="auto"/>
        <w:jc w:val="both"/>
        <w:rPr>
          <w:noProof w:val="0"/>
          <w:sz w:val="28"/>
          <w:szCs w:val="28"/>
          <w:rtl/>
        </w:rPr>
      </w:pPr>
      <w:r>
        <w:rPr>
          <w:noProof w:val="0"/>
          <w:sz w:val="28"/>
          <w:szCs w:val="28"/>
          <w:rtl/>
        </w:rPr>
        <w:t xml:space="preserve">      </w:t>
      </w:r>
    </w:p>
    <w:p w:rsidRPr="00D61F3F" w:rsidR="00D61F3F" w:rsidP="00D61F3F" w:rsidRDefault="00D61F3F">
      <w:pPr>
        <w:spacing w:after="160" w:line="259" w:lineRule="auto"/>
        <w:rPr>
          <w:rFonts w:ascii="Calibri" w:hAnsi="Calibri" w:cs="Arial"/>
          <w:noProof w:val="0"/>
          <w:sz w:val="22"/>
          <w:szCs w:val="22"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P="00D61F3F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CF68CE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cdbf89acead474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6C54DD"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F3F" w:rsidRDefault="00D61F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F68CE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F68C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F3F" w:rsidRDefault="00D61F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F3F" w:rsidRDefault="00D61F3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61F3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CF68CE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26291-10-17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F3F" w:rsidRDefault="00D61F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4CC"/>
    <w:multiLevelType w:val="hybridMultilevel"/>
    <w:tmpl w:val="7C146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B7D85"/>
    <w:rsid w:val="0014234E"/>
    <w:rsid w:val="001A14A2"/>
    <w:rsid w:val="001C4003"/>
    <w:rsid w:val="0025187E"/>
    <w:rsid w:val="004121E7"/>
    <w:rsid w:val="004E6E3C"/>
    <w:rsid w:val="00541E41"/>
    <w:rsid w:val="00547DB7"/>
    <w:rsid w:val="00587156"/>
    <w:rsid w:val="00621052"/>
    <w:rsid w:val="00622BAA"/>
    <w:rsid w:val="00671BD5"/>
    <w:rsid w:val="006805C1"/>
    <w:rsid w:val="0068099F"/>
    <w:rsid w:val="00694556"/>
    <w:rsid w:val="006C54DD"/>
    <w:rsid w:val="006E1A53"/>
    <w:rsid w:val="007C4F95"/>
    <w:rsid w:val="00820005"/>
    <w:rsid w:val="00832B1C"/>
    <w:rsid w:val="008A58D0"/>
    <w:rsid w:val="00903896"/>
    <w:rsid w:val="00960E9C"/>
    <w:rsid w:val="00B80CBD"/>
    <w:rsid w:val="00C40B78"/>
    <w:rsid w:val="00CF68CE"/>
    <w:rsid w:val="00D53924"/>
    <w:rsid w:val="00D61F3F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4715ACDB"/>
  <w15:docId w15:val="{BFB5718D-B74C-4BE1-B293-4E0300D0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hyperlink" Target="http://www.nevo.co.il/law/98555" TargetMode="External" Id="rId10" /><Relationship Type="http://schemas.openxmlformats.org/officeDocument/2006/relationships/styles" Target="styles.xml" Id="rId4" /><Relationship Type="http://schemas.openxmlformats.org/officeDocument/2006/relationships/hyperlink" Target="http://www.nevo.co.il/law/98555/43.a" TargetMode="External" Id="rId9" /><Relationship Type="http://schemas.openxmlformats.org/officeDocument/2006/relationships/footer" Target="footer2.xml" Id="rId14" /><Relationship Type="http://schemas.openxmlformats.org/officeDocument/2006/relationships/image" Target="/media/image2.jpg" Id="Rbcdbf89acead474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17</cp:revision>
  <dcterms:created xsi:type="dcterms:W3CDTF">2012-08-06T01:26:00Z</dcterms:created>
  <dcterms:modified xsi:type="dcterms:W3CDTF">2018-04-12T05:54:00Z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