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2547"/>
        <w:tag w:val="2547"/>
        <w:id w:val="64311126"/>
        <w:lock w:val="contentLocked"/>
        <w:group/>
      </w:sdtPr>
      <w:sdtEndPr/>
      <w:sdtContent>
        <w:p w:rsidR="00694556" w:rsidP="006D3B31" w:rsidRDefault="00694556">
          <w:pPr>
            <w:suppressLineNumbers/>
            <w:rPr>
              <w:rtl/>
            </w:rPr>
          </w:pPr>
        </w:p>
        <w:tbl>
          <w:tblPr>
            <w:tblStyle w:val="a9"/>
            <w:bidiVisual/>
            <w:tblW w:w="8820" w:type="dxa"/>
            <w:jc w:val="center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1E0" w:firstRow="1" w:lastRow="1" w:firstColumn="1" w:lastColumn="1" w:noHBand="0" w:noVBand="0"/>
          </w:tblPr>
          <w:tblGrid>
            <w:gridCol w:w="743"/>
            <w:gridCol w:w="2506"/>
            <w:gridCol w:w="5571"/>
          </w:tblGrid>
          <w:tr w:rsidR="00694556">
            <w:trPr>
              <w:jc w:val="center"/>
            </w:trPr>
            <w:tc>
              <w:tcPr>
                <w:tcW w:w="743" w:type="dxa"/>
              </w:tcPr>
              <w:p w:rsidR="00694556" w:rsidRDefault="00005C8B">
                <w:pPr>
                  <w:jc w:val="both"/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ב</w:t>
                </w:r>
                <w:r>
                  <w:rPr>
                    <w:rFonts w:ascii="Arial" w:hAnsi="Arial"/>
                    <w:b/>
                    <w:bCs/>
                    <w:rtl/>
                  </w:rPr>
                  <w:t xml:space="preserve">פני </w:t>
                </w:r>
              </w:p>
            </w:tc>
            <w:tc>
              <w:tcPr>
                <w:tcW w:w="8077" w:type="dxa"/>
                <w:gridSpan w:val="2"/>
              </w:tcPr>
              <w:p w:rsidR="00694556" w:rsidRDefault="00005C8B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כב' ה</w:t>
                </w:r>
                <w:sdt>
                  <w:sdtPr>
                    <w:rPr>
                      <w:rtl/>
                    </w:rPr>
                    <w:alias w:val="1574"/>
                    <w:tag w:val="1574"/>
                    <w:id w:val="1381135220"/>
                    <w:text w:multiLine="1"/>
                  </w:sdtPr>
                  <w:sdtEndPr/>
                  <w:sdtContent>
                    <w:r>
                      <w:rPr>
                        <w:rFonts w:ascii="Arial" w:hAnsi="Arial"/>
                        <w:b/>
                        <w:bCs/>
                        <w:rtl/>
                      </w:rPr>
                      <w:t>שופט</w:t>
                    </w:r>
                  </w:sdtContent>
                </w:sdt>
                <w:r>
                  <w:rPr>
                    <w:rFonts w:hint="cs" w:ascii="Arial" w:hAnsi="Arial"/>
                    <w:b/>
                    <w:bCs/>
                    <w:rtl/>
                  </w:rPr>
                  <w:t xml:space="preserve">  </w:t>
                </w:r>
                <w:sdt>
                  <w:sdtPr>
                    <w:rPr>
                      <w:rtl/>
                    </w:rPr>
                    <w:alias w:val="1573"/>
                    <w:tag w:val="1573"/>
                    <w:id w:val="-2102251137"/>
                    <w:text w:multiLine="1"/>
                  </w:sdtPr>
                  <w:sdtEndPr/>
                  <w:sdtContent>
                    <w:r>
                      <w:rPr>
                        <w:rFonts w:ascii="Arial" w:hAnsi="Arial"/>
                        <w:b/>
                        <w:bCs/>
                        <w:rtl/>
                      </w:rPr>
                      <w:t>אבישי זבולון</w:t>
                    </w:r>
                  </w:sdtContent>
                </w:sdt>
              </w:p>
              <w:p w:rsidR="00694556" w:rsidRDefault="00694556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  <w:gridSpan w:val="2"/>
              </w:tcPr>
              <w:p w:rsidR="00694556" w:rsidRDefault="0069455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  <w:sdt>
                <w:sdtPr>
                  <w:alias w:val="1180"/>
                  <w:tag w:val="1180"/>
                  <w:id w:val="1608932696"/>
                  <w:text w:multiLine="1"/>
                </w:sdtPr>
                <w:sdtEndPr/>
                <w:sdtContent>
                  <w:p w:rsidR="007B2EB7" w:rsidRDefault="00BA65BC">
                    <w:pPr>
                      <w:bidi w:val="0"/>
                      <w:jc w:val="right"/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</w:pPr>
                    <w:r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תובע</w:t>
                    </w:r>
                    <w:r>
                      <w:rPr>
                        <w:rFonts w:hint="cs"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ת</w:t>
                    </w:r>
                  </w:p>
                </w:sdtContent>
              </w:sdt>
            </w:tc>
            <w:tc>
              <w:tcPr>
                <w:tcW w:w="5571" w:type="dxa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130BA1">
                <w:pPr>
                  <w:rPr>
                    <w:b/>
                    <w:bCs/>
                    <w:noProof w:val="0"/>
                    <w:sz w:val="26"/>
                    <w:szCs w:val="26"/>
                  </w:rPr>
                </w:pPr>
                <w:sdt>
                  <w:sdtPr>
                    <w:rPr>
                      <w:rtl/>
                    </w:rPr>
                    <w:alias w:val="1478"/>
                    <w:tag w:val="1478"/>
                    <w:id w:val="377283953"/>
                    <w:text w:multiLine="1"/>
                  </w:sdtPr>
                  <w:sdtEndPr/>
                  <w:sdtContent>
                    <w:r w:rsidR="004B2689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בזק החברה הישראלית לתקשורת בע"מ</w:t>
                    </w:r>
                  </w:sdtContent>
                </w:sdt>
              </w:p>
            </w:tc>
          </w:tr>
          <w:tr w:rsidR="00694556">
            <w:trPr>
              <w:jc w:val="center"/>
            </w:trPr>
            <w:tc>
              <w:tcPr>
                <w:tcW w:w="8820" w:type="dxa"/>
                <w:gridSpan w:val="3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005C8B">
                <w:pPr>
                  <w:jc w:val="center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נגד</w:t>
                </w:r>
              </w:p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  <w:gridSpan w:val="2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130BA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  <w:sdt>
                  <w:sdtPr>
                    <w:rPr>
                      <w:rtl/>
                    </w:rPr>
                    <w:alias w:val="1184"/>
                    <w:tag w:val="1184"/>
                    <w:id w:val="-907613391"/>
                    <w:text w:multiLine="1"/>
                  </w:sdtPr>
                  <w:sdtEndPr/>
                  <w:sdtContent>
                    <w:r w:rsidR="00BA65BC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נתבע</w:t>
                    </w:r>
                    <w:r w:rsidR="00BA65BC">
                      <w:rPr>
                        <w:rFonts w:hint="cs"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ת</w:t>
                    </w:r>
                  </w:sdtContent>
                </w:sdt>
              </w:p>
            </w:tc>
            <w:tc>
              <w:tcPr>
                <w:tcW w:w="5571" w:type="dxa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130BA1">
                <w:pPr>
                  <w:rPr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sdt>
                  <w:sdtPr>
                    <w:rPr>
                      <w:rtl/>
                    </w:rPr>
                    <w:alias w:val="1486"/>
                    <w:tag w:val="1486"/>
                    <w:id w:val="-663555465"/>
                    <w:text w:multiLine="1"/>
                  </w:sdtPr>
                  <w:sdtEndPr/>
                  <w:sdtContent>
                    <w:r w:rsidR="004B2689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נגב אקולוגיה בע"מ</w:t>
                    </w:r>
                  </w:sdtContent>
                </w:sdt>
              </w:p>
            </w:tc>
          </w:tr>
        </w:tbl>
      </w:sdtContent>
    </w:sdt>
    <w:p w:rsidRPr="007C2A34" w:rsidR="007C2A34" w:rsidP="006D3B31" w:rsidRDefault="007C2A34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7"/>
        <w:rPr>
          <w:rFonts w:ascii="Arial" w:hAnsi="Arial" w:eastAsia="Arial Unicode MS"/>
          <w:noProof w:val="0"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 xml:space="preserve">הנני קובע לישיבת הוכחות וסיכומים  ליום   </w:t>
      </w:r>
      <w:r>
        <w:rPr>
          <w:rFonts w:hint="cs" w:ascii="Arial" w:hAnsi="Arial" w:eastAsia="Arial Unicode MS"/>
          <w:noProof w:val="0"/>
          <w:rtl/>
          <w:lang w:eastAsia="he-IL"/>
        </w:rPr>
        <w:t>19/7/18</w:t>
      </w:r>
      <w:r w:rsidRPr="00BA65BC">
        <w:rPr>
          <w:rFonts w:ascii="Arial" w:hAnsi="Arial" w:eastAsia="Arial Unicode MS"/>
          <w:noProof w:val="0"/>
          <w:rtl/>
          <w:lang w:eastAsia="he-IL"/>
        </w:rPr>
        <w:t xml:space="preserve">   בשעה </w:t>
      </w:r>
      <w:r>
        <w:rPr>
          <w:rFonts w:hint="cs" w:ascii="Arial" w:hAnsi="Arial" w:eastAsia="Arial Unicode MS"/>
          <w:noProof w:val="0"/>
          <w:rtl/>
          <w:lang w:eastAsia="he-IL"/>
        </w:rPr>
        <w:t xml:space="preserve"> 14:00.</w:t>
      </w:r>
    </w:p>
    <w:p w:rsidRPr="00BA65BC" w:rsidR="00BA65BC" w:rsidP="00BA65BC" w:rsidRDefault="00BA65BC">
      <w:pPr>
        <w:spacing w:before="15" w:after="15" w:line="360" w:lineRule="auto"/>
        <w:ind w:left="15" w:right="17"/>
        <w:rPr>
          <w:rFonts w:ascii="Arial" w:hAnsi="Arial" w:eastAsia="Arial Unicode MS"/>
          <w:noProof w:val="0"/>
          <w:rtl/>
          <w:lang w:eastAsia="he-IL"/>
        </w:rPr>
      </w:pPr>
    </w:p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7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על הצדדים להגיש תצהירי עדות ראשית של העדים מטעמם בתוך 45 יום מהיום.</w:t>
      </w:r>
    </w:p>
    <w:p w:rsidRPr="00BA65BC" w:rsidR="00BA65BC" w:rsidP="00BA65BC" w:rsidRDefault="00BA65BC">
      <w:pPr>
        <w:spacing w:before="15" w:after="15" w:line="360" w:lineRule="auto"/>
        <w:ind w:left="15" w:right="17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     המועד להגשת תצהירי העדים חל בו-זמנית - על הצדדים.</w:t>
      </w:r>
    </w:p>
    <w:p w:rsidRPr="00BA65BC" w:rsidR="00BA65BC" w:rsidP="00BA65BC" w:rsidRDefault="00BA65BC">
      <w:pPr>
        <w:spacing w:before="15" w:after="15" w:line="360" w:lineRule="auto"/>
        <w:ind w:left="15" w:right="17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     לתצהירים יצורפו כל המסמכים עליהם מסתמך המצהיר בתצהירו.</w:t>
      </w:r>
    </w:p>
    <w:p w:rsidRPr="00BA65BC" w:rsidR="00BA65BC" w:rsidP="00BA65BC" w:rsidRDefault="00BA65BC">
      <w:pPr>
        <w:spacing w:before="15" w:after="15" w:line="360" w:lineRule="auto"/>
        <w:ind w:left="15" w:right="17"/>
        <w:rPr>
          <w:rFonts w:ascii="Arial" w:hAnsi="Arial" w:eastAsia="Arial Unicode MS"/>
          <w:noProof w:val="0"/>
          <w:rtl/>
          <w:lang w:eastAsia="he-IL"/>
        </w:rPr>
      </w:pPr>
    </w:p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7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לישיבת ההוכחות יתייצבו בעלי הדין והמצהירים מטעם הצדדים.</w:t>
      </w:r>
    </w:p>
    <w:p w:rsidRPr="00BA65BC" w:rsidR="00BA65BC" w:rsidP="00BA65BC" w:rsidRDefault="00BA65BC">
      <w:pPr>
        <w:spacing w:before="15" w:after="15" w:line="360" w:lineRule="auto"/>
        <w:ind w:left="386" w:right="17" w:hanging="371"/>
        <w:rPr>
          <w:rFonts w:ascii="Arial" w:hAnsi="Arial" w:eastAsia="Arial Unicode MS"/>
          <w:noProof w:val="0"/>
          <w:rtl/>
          <w:lang w:eastAsia="he-IL"/>
        </w:rPr>
      </w:pPr>
    </w:p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לא תורשה השמעת עדות שלא הוגשה בתצהיר או הגשת מוצג שלא צורף לכתבי הטענות או לתצהיר עדות כאמור, אלא  ברשות ביהמ"ש, ולאחר הגשת בקשה כדין.</w:t>
      </w:r>
    </w:p>
    <w:p w:rsidRPr="00BA65BC" w:rsidR="00BA65BC" w:rsidP="00BA65BC" w:rsidRDefault="00BA65BC">
      <w:pPr>
        <w:spacing w:before="15" w:after="15" w:line="360" w:lineRule="auto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 </w:t>
      </w:r>
    </w:p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כל אחד מבעלי הדין אחראי להתייצבות העדים מטעמו.</w:t>
      </w:r>
    </w:p>
    <w:p w:rsidRPr="00BA65BC" w:rsidR="00BA65BC" w:rsidP="00BA65BC" w:rsidRDefault="00BA65BC">
      <w:pPr>
        <w:spacing w:before="15" w:after="15" w:line="360" w:lineRule="auto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 </w:t>
      </w:r>
    </w:p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צד המבקש לזמן עד באמצעות בית המשפט יגיש בקשה מתאימה 60 ימים לפני הדיון שנקבע. </w:t>
      </w:r>
    </w:p>
    <w:p w:rsidRPr="00BA65BC" w:rsidR="00BA65BC" w:rsidP="00BA65BC" w:rsidRDefault="00BA65BC">
      <w:pPr>
        <w:spacing w:before="15" w:after="15" w:line="360" w:lineRule="auto"/>
        <w:ind w:left="375" w:right="15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ככל שלא תוגש בקשה בעניין זה לא ידחה הדיון למועד נוסף ולא תותר שמיעת עדות במועד אחר. </w:t>
      </w:r>
    </w:p>
    <w:p w:rsidRPr="00BA65BC" w:rsidR="00BA65BC" w:rsidP="00BA65BC" w:rsidRDefault="00BA65BC">
      <w:pPr>
        <w:spacing w:before="15" w:after="15" w:line="360" w:lineRule="auto"/>
        <w:ind w:right="15"/>
        <w:rPr>
          <w:rFonts w:ascii="Arial" w:hAnsi="Arial" w:eastAsia="Arial Unicode MS"/>
          <w:noProof w:val="0"/>
          <w:rtl/>
          <w:lang w:eastAsia="he-IL"/>
        </w:rPr>
      </w:pPr>
    </w:p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5"/>
        <w:rPr>
          <w:rFonts w:ascii="Arial" w:hAnsi="Arial" w:eastAsia="Arial Unicode MS"/>
          <w:noProof w:val="0"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ב"כ הצדדים יערכו לשמיעת סיכומיהם בעל פה.</w:t>
      </w:r>
    </w:p>
    <w:p w:rsidRPr="00BA65BC" w:rsidR="00BA65BC" w:rsidP="00BA65BC" w:rsidRDefault="00BA65BC">
      <w:pPr>
        <w:numPr>
          <w:ilvl w:val="0"/>
          <w:numId w:val="1"/>
        </w:numPr>
        <w:spacing w:before="15" w:after="15" w:line="360" w:lineRule="auto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BA65BC">
        <w:rPr>
          <w:rFonts w:ascii="Arial" w:hAnsi="Arial" w:eastAsia="Arial Unicode MS"/>
          <w:noProof w:val="0"/>
          <w:rtl/>
          <w:lang w:eastAsia="he-IL"/>
        </w:rPr>
        <w:t>ימי הפגרה יובאו במניין הימים.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70702585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7866318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0226B" w:rsidRDefault="00130BA1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1c00b50c24146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6018B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30BA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30BA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0B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367CF">
      <w:rPr>
        <w:rFonts w:cs="FrankRuehl"/>
        <w:sz w:val="28"/>
        <w:szCs w:val="28"/>
      </w:rPr>
      <w:drawing>
        <wp:inline distT="0" distB="0" distL="0" distR="0" wp14:anchorId="6C1CA21B" wp14:editId="2183CF0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Pr="004B2689" w:rsidR="004B2689" w:rsidRDefault="004B2689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4B2689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בית משפט השלום בקריית גת - בשבתו בבימ"ש באר שבע</w:t>
          </w:r>
        </w:p>
        <w:p w:rsidR="00694556" w:rsidP="004B2689" w:rsidRDefault="00694556">
          <w:pPr>
            <w:pStyle w:val="a3"/>
            <w:rPr>
              <w:rFonts w:ascii="Tahoma" w:hAnsi="Tahoma" w:cs="Tahoma"/>
              <w:noProof w:val="0"/>
              <w:color w:val="000080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30BA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376824503"/>
              <w:text w:multiLine="1"/>
            </w:sdtPr>
            <w:sdtEndPr/>
            <w:sdtContent>
              <w:r w:rsidR="004B2689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92055442"/>
              <w:text w:multiLine="1"/>
            </w:sdtPr>
            <w:sdtEndPr/>
            <w:sdtContent>
              <w:r w:rsidR="004B2689">
                <w:rPr>
                  <w:b/>
                  <w:bCs/>
                  <w:noProof w:val="0"/>
                  <w:sz w:val="26"/>
                  <w:szCs w:val="26"/>
                  <w:rtl/>
                </w:rPr>
                <w:t>17328-02-18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275289836"/>
              <w:text w:multiLine="1"/>
            </w:sdtPr>
            <w:sdtEndPr/>
            <w:sdtContent>
              <w:r w:rsidR="004B2689">
                <w:rPr>
                  <w:b/>
                  <w:bCs/>
                  <w:noProof w:val="0"/>
                  <w:sz w:val="26"/>
                  <w:szCs w:val="26"/>
                  <w:rtl/>
                </w:rPr>
                <w:t>בזק החברה הישראלית לתקשורת בע"מ ואח' נ' נגב אקולוגיה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434AD"/>
    <w:multiLevelType w:val="hybridMultilevel"/>
    <w:tmpl w:val="739EEB5A"/>
    <w:lvl w:ilvl="0" w:tplc="7982E34C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134E"/>
    <w:rsid w:val="000564AB"/>
    <w:rsid w:val="00064FBD"/>
    <w:rsid w:val="00082AB2"/>
    <w:rsid w:val="00096AF7"/>
    <w:rsid w:val="000C3B0F"/>
    <w:rsid w:val="000E3AF1"/>
    <w:rsid w:val="000F0BC8"/>
    <w:rsid w:val="0010179B"/>
    <w:rsid w:val="00107E6D"/>
    <w:rsid w:val="0011194C"/>
    <w:rsid w:val="00130BA1"/>
    <w:rsid w:val="00144D2A"/>
    <w:rsid w:val="0014653E"/>
    <w:rsid w:val="00161EA1"/>
    <w:rsid w:val="00180519"/>
    <w:rsid w:val="001914C4"/>
    <w:rsid w:val="001C4003"/>
    <w:rsid w:val="002265FF"/>
    <w:rsid w:val="002328D7"/>
    <w:rsid w:val="002C344E"/>
    <w:rsid w:val="002F7A32"/>
    <w:rsid w:val="00307A6A"/>
    <w:rsid w:val="00307C40"/>
    <w:rsid w:val="003161E7"/>
    <w:rsid w:val="00320433"/>
    <w:rsid w:val="0033597A"/>
    <w:rsid w:val="003367CF"/>
    <w:rsid w:val="0036743F"/>
    <w:rsid w:val="0043125D"/>
    <w:rsid w:val="0043502B"/>
    <w:rsid w:val="00491B00"/>
    <w:rsid w:val="004B2689"/>
    <w:rsid w:val="004C4BDF"/>
    <w:rsid w:val="004D1187"/>
    <w:rsid w:val="004E3510"/>
    <w:rsid w:val="004E6E3C"/>
    <w:rsid w:val="00513A35"/>
    <w:rsid w:val="005268F6"/>
    <w:rsid w:val="00547DB7"/>
    <w:rsid w:val="005B6415"/>
    <w:rsid w:val="005C5C23"/>
    <w:rsid w:val="00600801"/>
    <w:rsid w:val="006018B6"/>
    <w:rsid w:val="00622BAA"/>
    <w:rsid w:val="00671BD5"/>
    <w:rsid w:val="006805C1"/>
    <w:rsid w:val="00686C21"/>
    <w:rsid w:val="00694556"/>
    <w:rsid w:val="006D3B31"/>
    <w:rsid w:val="006E1A53"/>
    <w:rsid w:val="00704EDA"/>
    <w:rsid w:val="007175AD"/>
    <w:rsid w:val="00753019"/>
    <w:rsid w:val="00795365"/>
    <w:rsid w:val="007B2EB7"/>
    <w:rsid w:val="007B54D9"/>
    <w:rsid w:val="007C2A34"/>
    <w:rsid w:val="007E6115"/>
    <w:rsid w:val="007F4609"/>
    <w:rsid w:val="00804293"/>
    <w:rsid w:val="00820005"/>
    <w:rsid w:val="00844318"/>
    <w:rsid w:val="00896889"/>
    <w:rsid w:val="008C5714"/>
    <w:rsid w:val="00903896"/>
    <w:rsid w:val="00906F3D"/>
    <w:rsid w:val="009266B6"/>
    <w:rsid w:val="00945859"/>
    <w:rsid w:val="00967DFF"/>
    <w:rsid w:val="00994341"/>
    <w:rsid w:val="009E24C7"/>
    <w:rsid w:val="00A3392B"/>
    <w:rsid w:val="00A94B64"/>
    <w:rsid w:val="00A96B8F"/>
    <w:rsid w:val="00AA3229"/>
    <w:rsid w:val="00AC3B7B"/>
    <w:rsid w:val="00AC5209"/>
    <w:rsid w:val="00AE2B41"/>
    <w:rsid w:val="00AE7752"/>
    <w:rsid w:val="00AF7FDA"/>
    <w:rsid w:val="00B80CBD"/>
    <w:rsid w:val="00B86096"/>
    <w:rsid w:val="00BA19DC"/>
    <w:rsid w:val="00BA65BC"/>
    <w:rsid w:val="00BB3D05"/>
    <w:rsid w:val="00BB73BE"/>
    <w:rsid w:val="00BE6669"/>
    <w:rsid w:val="00BF1908"/>
    <w:rsid w:val="00C22D93"/>
    <w:rsid w:val="00C34482"/>
    <w:rsid w:val="00C35312"/>
    <w:rsid w:val="00C50A9F"/>
    <w:rsid w:val="00CD07C9"/>
    <w:rsid w:val="00CE00F8"/>
    <w:rsid w:val="00CF73E0"/>
    <w:rsid w:val="00D13B1E"/>
    <w:rsid w:val="00D32B89"/>
    <w:rsid w:val="00D33B86"/>
    <w:rsid w:val="00D5059E"/>
    <w:rsid w:val="00D53924"/>
    <w:rsid w:val="00D55D0C"/>
    <w:rsid w:val="00D96D8C"/>
    <w:rsid w:val="00DA6649"/>
    <w:rsid w:val="00DC75AC"/>
    <w:rsid w:val="00E25884"/>
    <w:rsid w:val="00E5426A"/>
    <w:rsid w:val="00E54642"/>
    <w:rsid w:val="00E60619"/>
    <w:rsid w:val="00EC37E9"/>
    <w:rsid w:val="00F4702B"/>
    <w:rsid w:val="00F84B6D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5:docId w15:val="{CCA89D48-6E7B-4941-96B7-C37F0717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טבלת רשת2"/>
    <w:basedOn w:val="a1"/>
    <w:next w:val="a9"/>
    <w:rsid w:val="009266B6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1c00b50c24146b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775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Court</cp:lastModifiedBy>
  <cp:revision>8</cp:revision>
  <dcterms:created xsi:type="dcterms:W3CDTF">2012-08-06T00:31:00Z</dcterms:created>
  <dcterms:modified xsi:type="dcterms:W3CDTF">2018-04-11T14:58:00Z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