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04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אסנת רובוביץ  - ברכש</w:t>
          </w:r>
        </w:sdtContent>
      </w:sdt>
      <w:r w:rsidRPr="003C4168" w:rsidR="00E8170A">
        <w:rPr>
          <w:b/>
          <w:bCs/>
          <w:sz w:val="28"/>
          <w:szCs w:val="28"/>
          <w:rtl/>
        </w:rPr>
        <w:t xml:space="preserve"> </w:t>
      </w:r>
    </w:p>
    <w:p w:rsidRPr="003C4168" w:rsidR="002C1C43" w:rsidP="002C1C43" w:rsidRDefault="00FC5B6A">
      <w:pPr>
        <w:spacing w:line="360" w:lineRule="auto"/>
        <w:rPr>
          <w:b/>
          <w:bCs/>
          <w:sz w:val="28"/>
          <w:szCs w:val="28"/>
          <w:rtl/>
        </w:rPr>
      </w:pPr>
      <w:r>
        <w:rPr>
          <w:rFonts w:hint="cs"/>
          <w:b/>
          <w:bCs/>
          <w:sz w:val="28"/>
          <w:szCs w:val="28"/>
          <w:rtl/>
        </w:rPr>
        <w:t xml:space="preserve">נציג  ציבור (עובדים)  </w:t>
      </w:r>
      <w:r w:rsidRPr="003C4168" w:rsidR="002C1C43">
        <w:rPr>
          <w:rFonts w:hint="cs"/>
          <w:b/>
          <w:bCs/>
          <w:sz w:val="28"/>
          <w:szCs w:val="28"/>
          <w:rtl/>
        </w:rPr>
        <w:t>גב':</w:t>
      </w:r>
      <w:r>
        <w:rPr>
          <w:rFonts w:hint="cs"/>
          <w:b/>
          <w:bCs/>
          <w:sz w:val="28"/>
          <w:szCs w:val="28"/>
          <w:rtl/>
        </w:rPr>
        <w:t xml:space="preserve"> חנה קפלניקוב</w:t>
      </w:r>
    </w:p>
    <w:p w:rsidRPr="003C4168" w:rsidR="002C1C43" w:rsidP="000E13CD" w:rsidRDefault="002C1C43">
      <w:pPr>
        <w:spacing w:line="360" w:lineRule="auto"/>
        <w:rPr>
          <w:b/>
          <w:bCs/>
          <w:sz w:val="28"/>
          <w:szCs w:val="28"/>
          <w:rtl/>
        </w:rPr>
      </w:pPr>
      <w:r w:rsidRPr="003C4168">
        <w:rPr>
          <w:rFonts w:hint="cs"/>
          <w:b/>
          <w:bCs/>
          <w:sz w:val="28"/>
          <w:szCs w:val="28"/>
          <w:rtl/>
        </w:rPr>
        <w:t>נציג ציבור (מע</w:t>
      </w:r>
      <w:r w:rsidR="000E13CD">
        <w:rPr>
          <w:rFonts w:hint="cs"/>
          <w:b/>
          <w:bCs/>
          <w:sz w:val="28"/>
          <w:szCs w:val="28"/>
          <w:rtl/>
        </w:rPr>
        <w:t>סיק</w:t>
      </w:r>
      <w:r w:rsidR="00FC5B6A">
        <w:rPr>
          <w:rFonts w:hint="cs"/>
          <w:b/>
          <w:bCs/>
          <w:sz w:val="28"/>
          <w:szCs w:val="28"/>
          <w:rtl/>
        </w:rPr>
        <w:t>ים)  מר מאיר ליברמן</w:t>
      </w:r>
      <w:r w:rsidRPr="003C4168">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702"/>
        <w:gridCol w:w="5100"/>
      </w:tblGrid>
      <w:tr w:rsidRPr="003C4168" w:rsidR="002C1C43" w:rsidTr="00FC5B6A">
        <w:trPr>
          <w:trHeight w:val="661"/>
        </w:trPr>
        <w:tc>
          <w:tcPr>
            <w:tcW w:w="3702"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100"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יצחק כהן</w:t>
                </w:r>
              </w:sdtContent>
            </w:sdt>
          </w:p>
          <w:p w:rsidRPr="003C4168" w:rsidR="00C71F5D" w:rsidP="00C71F5D" w:rsidRDefault="00C71F5D">
            <w:pPr>
              <w:rPr>
                <w:rFonts w:ascii="David" w:hAnsi="David" w:eastAsia="David"/>
                <w:b/>
                <w:bCs/>
                <w:sz w:val="28"/>
                <w:szCs w:val="28"/>
                <w:u w:val="single"/>
              </w:rPr>
            </w:pPr>
            <w:r w:rsidRPr="003C4168">
              <w:rPr>
                <w:rFonts w:hint="cs" w:ascii="David" w:hAnsi="David" w:eastAsia="David"/>
                <w:b/>
                <w:bCs/>
                <w:sz w:val="28"/>
                <w:szCs w:val="28"/>
                <w:rtl/>
              </w:rPr>
              <w:t>ע"י ב"כ</w:t>
            </w:r>
            <w:r w:rsidRPr="00FC5B6A">
              <w:rPr>
                <w:rFonts w:hint="cs" w:ascii="David" w:hAnsi="David" w:eastAsia="David"/>
                <w:b/>
                <w:bCs/>
                <w:sz w:val="28"/>
                <w:szCs w:val="28"/>
                <w:rtl/>
              </w:rPr>
              <w:t>: עו"ד</w:t>
            </w:r>
            <w:r w:rsidRPr="00FC5B6A" w:rsidR="00FC5B6A">
              <w:rPr>
                <w:rFonts w:hint="cs" w:ascii="David" w:hAnsi="David" w:eastAsia="David"/>
                <w:b/>
                <w:bCs/>
                <w:sz w:val="28"/>
                <w:szCs w:val="28"/>
                <w:rtl/>
              </w:rPr>
              <w:t xml:space="preserve"> תמיר שלמה</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00FC5B6A">
              <w:rPr>
                <w:rFonts w:hint="cs"/>
                <w:b/>
                <w:bCs/>
                <w:sz w:val="28"/>
                <w:szCs w:val="28"/>
                <w:rtl/>
              </w:rPr>
              <w:t xml:space="preserve">             </w:t>
            </w:r>
            <w:r w:rsidRPr="003C4168">
              <w:rPr>
                <w:rFonts w:hint="cs"/>
                <w:b/>
                <w:bCs/>
                <w:sz w:val="28"/>
                <w:szCs w:val="28"/>
                <w:rtl/>
              </w:rPr>
              <w:t xml:space="preserve">  </w:t>
            </w:r>
            <w:r w:rsidRPr="003C4168" w:rsidR="002C1C43">
              <w:rPr>
                <w:rFonts w:hint="cs"/>
                <w:b/>
                <w:bCs/>
                <w:sz w:val="28"/>
                <w:szCs w:val="28"/>
                <w:rtl/>
              </w:rPr>
              <w:t>-</w:t>
            </w:r>
          </w:p>
        </w:tc>
      </w:tr>
      <w:tr w:rsidRPr="003C4168" w:rsidR="002C1C43" w:rsidTr="00FC5B6A">
        <w:trPr>
          <w:trHeight w:val="692"/>
        </w:trPr>
        <w:tc>
          <w:tcPr>
            <w:tcW w:w="3702"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Pr="003C4168" w:rsidR="002C1C43">
              <w:rPr>
                <w:rFonts w:hint="cs"/>
                <w:b/>
                <w:bCs/>
                <w:sz w:val="28"/>
                <w:szCs w:val="28"/>
                <w:rtl/>
              </w:rPr>
              <w:t xml:space="preserve">: </w:t>
            </w:r>
            <w:r w:rsidRPr="003C4168">
              <w:rPr>
                <w:b/>
                <w:bCs/>
                <w:sz w:val="28"/>
                <w:szCs w:val="28"/>
                <w:rtl/>
              </w:rPr>
              <w:t xml:space="preserve"> </w:t>
            </w:r>
          </w:p>
        </w:tc>
        <w:tc>
          <w:tcPr>
            <w:tcW w:w="5100"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המוסד לביטוח לאומי</w:t>
                </w:r>
              </w:sdtContent>
            </w:sdt>
            <w:r w:rsidRPr="003C4168">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r w:rsidRPr="003C4168">
              <w:rPr>
                <w:rFonts w:hint="cs" w:ascii="David" w:hAnsi="David" w:eastAsia="David"/>
                <w:b/>
                <w:bCs/>
                <w:sz w:val="28"/>
                <w:szCs w:val="28"/>
                <w:rtl/>
              </w:rPr>
              <w:t>ע"י ב"כ: עו"ד</w:t>
            </w:r>
            <w:r w:rsidR="00FC5B6A">
              <w:rPr>
                <w:rFonts w:hint="cs" w:ascii="David" w:hAnsi="David" w:eastAsia="David"/>
                <w:b/>
                <w:bCs/>
                <w:sz w:val="28"/>
                <w:szCs w:val="28"/>
                <w:rtl/>
              </w:rPr>
              <w:t xml:space="preserve"> אירית רייכנברג</w:t>
            </w: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FC5B6A" w:rsidR="00FC5B6A" w:rsidP="00FC5B6A" w:rsidRDefault="00FC5B6A">
      <w:pPr>
        <w:spacing w:line="360" w:lineRule="auto"/>
        <w:jc w:val="both"/>
        <w:rPr>
          <w:rFonts w:hint="cs"/>
          <w:b/>
          <w:bCs/>
          <w:sz w:val="28"/>
          <w:szCs w:val="28"/>
          <w:rtl/>
        </w:rPr>
      </w:pPr>
    </w:p>
    <w:p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לפנינו תביעתו של התובע להכיר בפגיעתו בגב מיום 16.3.16 כפגיעה בעבודה כמשמעותה ב</w:t>
      </w:r>
      <w:hyperlink w:history="1" r:id="rId9">
        <w:r w:rsidRPr="00FC5B6A">
          <w:rPr>
            <w:rFonts w:hint="cs" w:ascii="Calibri" w:hAnsi="Calibri" w:eastAsia="Calibri"/>
            <w:noProof w:val="0"/>
            <w:color w:val="0000FF"/>
            <w:u w:val="single"/>
            <w:rtl/>
          </w:rPr>
          <w:t>חוק הביטוח הלאומי</w:t>
        </w:r>
      </w:hyperlink>
      <w:r w:rsidRPr="00FC5B6A">
        <w:rPr>
          <w:rFonts w:hint="cs" w:ascii="Calibri" w:hAnsi="Calibri" w:eastAsia="Calibri"/>
          <w:noProof w:val="0"/>
          <w:rtl/>
        </w:rPr>
        <w:t xml:space="preserve"> [נוסח משולב] תשנ"ה-1995 (להלן: </w:t>
      </w:r>
      <w:r w:rsidRPr="00FC5B6A">
        <w:rPr>
          <w:rFonts w:hint="cs" w:ascii="Calibri" w:hAnsi="Calibri" w:eastAsia="Calibri"/>
          <w:b/>
          <w:bCs/>
          <w:noProof w:val="0"/>
          <w:rtl/>
        </w:rPr>
        <w:t>חוק הביטוח הלאומי</w:t>
      </w:r>
      <w:r w:rsidRPr="00FC5B6A">
        <w:rPr>
          <w:rFonts w:hint="cs" w:ascii="Calibri" w:hAnsi="Calibri" w:eastAsia="Calibri"/>
          <w:noProof w:val="0"/>
          <w:rtl/>
        </w:rPr>
        <w:t xml:space="preserve"> או </w:t>
      </w:r>
      <w:r w:rsidRPr="00FC5B6A">
        <w:rPr>
          <w:rFonts w:hint="cs" w:ascii="Calibri" w:hAnsi="Calibri" w:eastAsia="Calibri"/>
          <w:b/>
          <w:bCs/>
          <w:noProof w:val="0"/>
          <w:rtl/>
        </w:rPr>
        <w:t>החוק</w:t>
      </w:r>
      <w:r w:rsidRPr="00FC5B6A">
        <w:rPr>
          <w:rFonts w:hint="cs" w:ascii="Calibri" w:hAnsi="Calibri" w:eastAsia="Calibri"/>
          <w:noProof w:val="0"/>
          <w:rtl/>
        </w:rPr>
        <w:t xml:space="preserve">), זאת נוכח החלטת המוסד לביטוח לאומי, (להלן: </w:t>
      </w:r>
      <w:r w:rsidRPr="00FC5B6A">
        <w:rPr>
          <w:rFonts w:hint="cs" w:ascii="Calibri" w:hAnsi="Calibri" w:eastAsia="Calibri"/>
          <w:b/>
          <w:bCs/>
          <w:noProof w:val="0"/>
          <w:rtl/>
        </w:rPr>
        <w:t>הנתבע</w:t>
      </w:r>
      <w:r w:rsidRPr="00FC5B6A">
        <w:rPr>
          <w:rFonts w:hint="cs" w:ascii="Calibri" w:hAnsi="Calibri" w:eastAsia="Calibri"/>
          <w:noProof w:val="0"/>
          <w:rtl/>
        </w:rPr>
        <w:t>) בה נדחתה תביעת התובע לתשלום דמי פגיעה בגין תאונה.</w:t>
      </w:r>
    </w:p>
    <w:p w:rsidRPr="00FC5B6A" w:rsidR="00FC5B6A" w:rsidP="00FC5B6A" w:rsidRDefault="00FC5B6A">
      <w:pPr>
        <w:spacing w:after="160" w:line="360" w:lineRule="auto"/>
        <w:ind w:left="502"/>
        <w:contextualSpacing/>
        <w:jc w:val="both"/>
        <w:rPr>
          <w:rFonts w:hint="cs" w:ascii="Calibri" w:hAnsi="Calibri" w:eastAsia="Calibri"/>
          <w:noProof w:val="0"/>
          <w:rtl/>
        </w:rPr>
      </w:pPr>
    </w:p>
    <w:p w:rsidRPr="00FC5B6A" w:rsidR="00FC5B6A" w:rsidP="00FC5B6A" w:rsidRDefault="00FC5B6A">
      <w:pPr>
        <w:spacing w:after="160" w:line="360" w:lineRule="auto"/>
        <w:jc w:val="both"/>
        <w:rPr>
          <w:rFonts w:ascii="Calibri" w:hAnsi="Calibri" w:eastAsia="Calibri"/>
          <w:b/>
          <w:bCs/>
          <w:noProof w:val="0"/>
        </w:rPr>
      </w:pPr>
      <w:r w:rsidRPr="00FC5B6A">
        <w:rPr>
          <w:rFonts w:hint="cs" w:ascii="Calibri" w:hAnsi="Calibri" w:eastAsia="Calibri"/>
          <w:b/>
          <w:bCs/>
          <w:noProof w:val="0"/>
          <w:rtl/>
        </w:rPr>
        <w:t>העובדות הצריכות לעניין כפי שהן עולות מחומר הראיות:</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התובע, יליד שנת 1972,  עבד כסבל ברשות שדות התעופה.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לטענתו ביום 16.3.16 נפגע בגב במהלך עבודתו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לתובע היו בעבר מספר תאונות ב</w:t>
      </w:r>
      <w:r>
        <w:rPr>
          <w:rFonts w:hint="cs" w:ascii="Calibri" w:hAnsi="Calibri" w:eastAsia="Calibri"/>
          <w:noProof w:val="0"/>
          <w:rtl/>
        </w:rPr>
        <w:t>גב שחלקן</w:t>
      </w:r>
      <w:r w:rsidRPr="00FC5B6A">
        <w:rPr>
          <w:rFonts w:hint="cs" w:ascii="Calibri" w:hAnsi="Calibri" w:eastAsia="Calibri"/>
          <w:noProof w:val="0"/>
          <w:rtl/>
        </w:rPr>
        <w:t xml:space="preserve"> הוכרו כתאונות עבודה.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ביום 20.3.16 פנה התובע לרופא המשפחה שלו ועידכן אותו על הפגיעה בעבודה מיום 16.3.16 ושם צויין:" </w:t>
      </w:r>
      <w:r w:rsidRPr="00FC5B6A">
        <w:rPr>
          <w:rFonts w:hint="cs" w:ascii="Calibri" w:hAnsi="Calibri" w:eastAsia="Calibri"/>
          <w:b/>
          <w:bCs/>
          <w:noProof w:val="0"/>
          <w:rtl/>
        </w:rPr>
        <w:t>מזה מספר ימים כאבים בגב התחתון שהופיעו עקב הרמת חפץ לדבריו בזמן עבודה. מאז כאבים בגב תחתון".</w:t>
      </w:r>
      <w:r w:rsidRPr="00FC5B6A">
        <w:rPr>
          <w:rFonts w:hint="cs" w:ascii="Calibri" w:hAnsi="Calibri" w:eastAsia="Calibri"/>
          <w:noProof w:val="0"/>
          <w:rtl/>
        </w:rPr>
        <w:t xml:space="preserve"> ר' נספח 1 לתצהיר.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התובע הגיש תביעה לדמי פגיעה והודעה לפגיעה בעבודה לנתבע. ביום 20.7.16 דחה הנתבע את תביעתו של התובע תוך שהנתבע נימק את דחייתו כי:</w:t>
      </w:r>
      <w:r>
        <w:rPr>
          <w:rFonts w:hint="cs" w:ascii="Calibri" w:hAnsi="Calibri" w:eastAsia="Calibri"/>
          <w:noProof w:val="0"/>
          <w:rtl/>
        </w:rPr>
        <w:t xml:space="preserve"> </w:t>
      </w:r>
      <w:r w:rsidRPr="00FC5B6A">
        <w:rPr>
          <w:rFonts w:hint="cs" w:ascii="Calibri" w:hAnsi="Calibri" w:eastAsia="Calibri"/>
          <w:noProof w:val="0"/>
          <w:rtl/>
        </w:rPr>
        <w:t>"</w:t>
      </w:r>
      <w:r w:rsidRPr="00FC5B6A">
        <w:rPr>
          <w:rFonts w:hint="cs" w:ascii="Calibri" w:hAnsi="Calibri" w:eastAsia="Calibri"/>
          <w:b/>
          <w:bCs/>
          <w:noProof w:val="0"/>
          <w:rtl/>
        </w:rPr>
        <w:t>מעיון בפרטי תביעתך ובמסמכים שבידינו, לא נמצא כי האירוע הנטען על ידך בתאריך 16/3/16, גרם לך לנזק בגב ולאי כושר לעבודה. על כן לא אירעה לך תאונת עבודה כמשמעותה בסעיף 79 לחוק הביטוח לאומי. אי הכושר לעבודה איננו תוצאה של האירוע הנ"ל, אלא נובע ממצב תחלואתי טבעי והיה קיים לפני האירוע הנ"ל</w:t>
      </w:r>
      <w:r w:rsidRPr="00FC5B6A">
        <w:rPr>
          <w:rFonts w:hint="cs" w:ascii="Calibri" w:hAnsi="Calibri" w:eastAsia="Calibri"/>
          <w:noProof w:val="0"/>
          <w:rtl/>
        </w:rPr>
        <w:t xml:space="preserve">". ר' נספח 7 לכתב ההגנה. </w:t>
      </w:r>
    </w:p>
    <w:p w:rsidR="00FC5B6A" w:rsidP="00FC5B6A" w:rsidRDefault="00FC5B6A">
      <w:pPr>
        <w:numPr>
          <w:ilvl w:val="0"/>
          <w:numId w:val="1"/>
        </w:numPr>
        <w:spacing w:after="160" w:line="360" w:lineRule="auto"/>
        <w:contextualSpacing/>
        <w:jc w:val="both"/>
        <w:rPr>
          <w:rFonts w:hint="cs" w:ascii="Calibri" w:hAnsi="Calibri" w:eastAsia="Calibri"/>
          <w:noProof w:val="0"/>
        </w:rPr>
      </w:pPr>
      <w:r>
        <w:rPr>
          <w:rFonts w:hint="cs" w:ascii="Calibri" w:hAnsi="Calibri" w:eastAsia="Calibri"/>
          <w:noProof w:val="0"/>
          <w:rtl/>
        </w:rPr>
        <w:lastRenderedPageBreak/>
        <w:t xml:space="preserve">   </w:t>
      </w:r>
      <w:r w:rsidRPr="00FC5B6A">
        <w:rPr>
          <w:rFonts w:hint="cs" w:ascii="Calibri" w:hAnsi="Calibri" w:eastAsia="Calibri"/>
          <w:noProof w:val="0"/>
          <w:rtl/>
        </w:rPr>
        <w:t xml:space="preserve">ביום 18.6.17 התקיים דיון מקדמי בתיק בפני חברתי כב' סגנית הנשיאה, השופטת הדס </w:t>
      </w:r>
      <w:r>
        <w:rPr>
          <w:rFonts w:hint="cs" w:ascii="Calibri" w:hAnsi="Calibri" w:eastAsia="Calibri"/>
          <w:noProof w:val="0"/>
          <w:rtl/>
        </w:rPr>
        <w:t xml:space="preserve">   </w:t>
      </w:r>
    </w:p>
    <w:p w:rsidR="00CC79B3" w:rsidP="00CC79B3" w:rsidRDefault="00FC5B6A">
      <w:pPr>
        <w:spacing w:after="160" w:line="360" w:lineRule="auto"/>
        <w:ind w:left="502"/>
        <w:contextualSpacing/>
        <w:jc w:val="both"/>
        <w:rPr>
          <w:rFonts w:ascii="Calibri" w:hAnsi="Calibri" w:eastAsia="Calibri"/>
          <w:noProof w:val="0"/>
          <w:rtl/>
        </w:rPr>
      </w:pPr>
      <w:r>
        <w:rPr>
          <w:rFonts w:hint="cs" w:ascii="Calibri" w:hAnsi="Calibri" w:eastAsia="Calibri"/>
          <w:noProof w:val="0"/>
          <w:rtl/>
        </w:rPr>
        <w:t xml:space="preserve">   </w:t>
      </w:r>
      <w:r w:rsidRPr="00FC5B6A">
        <w:rPr>
          <w:rFonts w:hint="cs" w:ascii="Calibri" w:hAnsi="Calibri" w:eastAsia="Calibri"/>
          <w:noProof w:val="0"/>
          <w:rtl/>
        </w:rPr>
        <w:t xml:space="preserve">יהלום, ונקבע כי הפלוגתאות בתיק: א. עצם קרות אירוע תאונתי ונסיבותיו ביום 16.3.16. </w:t>
      </w:r>
    </w:p>
    <w:p w:rsidR="00CC79B3" w:rsidP="00CC79B3" w:rsidRDefault="00CC79B3">
      <w:pPr>
        <w:spacing w:after="160" w:line="360" w:lineRule="auto"/>
        <w:ind w:left="502"/>
        <w:contextualSpacing/>
        <w:jc w:val="both"/>
        <w:rPr>
          <w:rFonts w:ascii="Calibri" w:hAnsi="Calibri" w:eastAsia="Calibri"/>
          <w:noProof w:val="0"/>
          <w:rtl/>
        </w:rPr>
      </w:pPr>
      <w:r>
        <w:rPr>
          <w:rFonts w:hint="cs" w:ascii="Calibri" w:hAnsi="Calibri" w:eastAsia="Calibri"/>
          <w:noProof w:val="0"/>
          <w:rtl/>
        </w:rPr>
        <w:t xml:space="preserve">   </w:t>
      </w:r>
      <w:r w:rsidRPr="00FC5B6A" w:rsidR="00FC5B6A">
        <w:rPr>
          <w:rFonts w:hint="cs" w:ascii="Calibri" w:hAnsi="Calibri" w:eastAsia="Calibri"/>
          <w:noProof w:val="0"/>
          <w:rtl/>
        </w:rPr>
        <w:t xml:space="preserve">ב. האם קיים קשר סיבתי בין האירוע לבין מחלת התובע. ג. האם השפעת העבודה פחותה </w:t>
      </w:r>
    </w:p>
    <w:p w:rsidRPr="00FC5B6A" w:rsidR="00FC5B6A" w:rsidP="00CC79B3" w:rsidRDefault="00CC79B3">
      <w:pPr>
        <w:spacing w:after="160" w:line="360" w:lineRule="auto"/>
        <w:ind w:left="502"/>
        <w:contextualSpacing/>
        <w:jc w:val="both"/>
        <w:rPr>
          <w:rFonts w:ascii="Calibri" w:hAnsi="Calibri" w:eastAsia="Calibri"/>
          <w:noProof w:val="0"/>
        </w:rPr>
      </w:pPr>
      <w:r>
        <w:rPr>
          <w:rFonts w:hint="cs" w:ascii="Calibri" w:hAnsi="Calibri" w:eastAsia="Calibri"/>
          <w:noProof w:val="0"/>
          <w:rtl/>
        </w:rPr>
        <w:t xml:space="preserve">   </w:t>
      </w:r>
      <w:r w:rsidRPr="00FC5B6A" w:rsidR="00FC5B6A">
        <w:rPr>
          <w:rFonts w:hint="cs" w:ascii="Calibri" w:hAnsi="Calibri" w:eastAsia="Calibri"/>
          <w:noProof w:val="0"/>
          <w:rtl/>
        </w:rPr>
        <w:t xml:space="preserve">בהרבה </w:t>
      </w:r>
      <w:r>
        <w:rPr>
          <w:rFonts w:hint="cs" w:ascii="Calibri" w:hAnsi="Calibri" w:eastAsia="Calibri"/>
          <w:noProof w:val="0"/>
          <w:rtl/>
        </w:rPr>
        <w:t xml:space="preserve"> </w:t>
      </w:r>
      <w:r w:rsidRPr="00FC5B6A" w:rsidR="00FC5B6A">
        <w:rPr>
          <w:rFonts w:hint="cs" w:ascii="Calibri" w:hAnsi="Calibri" w:eastAsia="Calibri"/>
          <w:noProof w:val="0"/>
          <w:rtl/>
        </w:rPr>
        <w:t xml:space="preserve">מהשפעת גורמים אחרים. </w:t>
      </w:r>
    </w:p>
    <w:p w:rsidR="00FC5B6A" w:rsidP="00151377" w:rsidRDefault="00FC5B6A">
      <w:pPr>
        <w:numPr>
          <w:ilvl w:val="0"/>
          <w:numId w:val="1"/>
        </w:numPr>
        <w:spacing w:after="160" w:line="360" w:lineRule="auto"/>
        <w:ind w:left="720"/>
        <w:contextualSpacing/>
        <w:jc w:val="both"/>
        <w:rPr>
          <w:rFonts w:ascii="Calibri" w:hAnsi="Calibri" w:eastAsia="Calibri"/>
          <w:noProof w:val="0"/>
        </w:rPr>
      </w:pPr>
      <w:r w:rsidRPr="00FC5B6A">
        <w:rPr>
          <w:rFonts w:hint="cs" w:ascii="Calibri" w:hAnsi="Calibri" w:eastAsia="Calibri"/>
          <w:noProof w:val="0"/>
          <w:rtl/>
        </w:rPr>
        <w:t xml:space="preserve">ביום  17.1.18 התקיימה ישיבת הוכחות במהלכה נשמעה עדות התובע וכן עדות מר ישראל אלאשוילי  מטעמו של התובע. </w:t>
      </w:r>
    </w:p>
    <w:p w:rsidRPr="00FC5B6A" w:rsidR="00FC5B6A" w:rsidP="00FC5B6A" w:rsidRDefault="00FC5B6A">
      <w:pPr>
        <w:spacing w:after="160" w:line="360" w:lineRule="auto"/>
        <w:ind w:left="720"/>
        <w:contextualSpacing/>
        <w:jc w:val="both"/>
        <w:rPr>
          <w:rFonts w:ascii="Calibri" w:hAnsi="Calibri" w:eastAsia="Calibri"/>
          <w:noProof w:val="0"/>
        </w:rPr>
      </w:pPr>
    </w:p>
    <w:p w:rsidRPr="00FC5B6A" w:rsidR="00FC5B6A" w:rsidP="00FC5B6A" w:rsidRDefault="00FC5B6A">
      <w:pPr>
        <w:spacing w:after="160" w:line="360" w:lineRule="auto"/>
        <w:jc w:val="both"/>
        <w:rPr>
          <w:rFonts w:ascii="Calibri" w:hAnsi="Calibri" w:eastAsia="Calibri"/>
          <w:b/>
          <w:bCs/>
          <w:noProof w:val="0"/>
        </w:rPr>
      </w:pPr>
      <w:r w:rsidRPr="00FC5B6A">
        <w:rPr>
          <w:rFonts w:hint="cs" w:ascii="Calibri" w:hAnsi="Calibri" w:eastAsia="Calibri"/>
          <w:b/>
          <w:bCs/>
          <w:noProof w:val="0"/>
          <w:rtl/>
        </w:rPr>
        <w:t>טענות הצדדים בתמצית</w:t>
      </w:r>
    </w:p>
    <w:p w:rsidRPr="00FC5B6A" w:rsidR="00FC5B6A" w:rsidP="00C946BD"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לטענת התובע, ביום 16/3/16 במהלך עבודתו נפגע התובע בתאונת עבודה. התאונה התרחשה עת חיבר התובע קונטיינרים אחד לשני כדי ליצור "רכבת קונטינרים" ותוך כדי חיבור בין שני קונטינריים חש התובע כאב חד בגב תחתון ועקב כך "נתפס" לו הגב.  התובע חשב שהכאבים יעברו אולם כאשר התגברו הכאבים ולאחר שחש הגבלות תפקודיות קשות פנה התובע ביום 20.3.16 לרו</w:t>
      </w:r>
      <w:r w:rsidR="00C946BD">
        <w:rPr>
          <w:rFonts w:hint="cs" w:ascii="Calibri" w:hAnsi="Calibri" w:eastAsia="Calibri"/>
          <w:noProof w:val="0"/>
          <w:rtl/>
        </w:rPr>
        <w:t xml:space="preserve">פא המשפחה שנתן לו 6 ימי מנוחה. </w:t>
      </w:r>
      <w:r w:rsidRPr="00FC5B6A">
        <w:rPr>
          <w:rFonts w:hint="cs" w:ascii="Calibri" w:hAnsi="Calibri" w:eastAsia="Calibri"/>
          <w:noProof w:val="0"/>
          <w:rtl/>
        </w:rPr>
        <w:t xml:space="preserve"> לאחר מכן קיבל התובע עוד 12 ימי מנוחה ולאחר ביקור נוסף, אצל רופא אורטופד הומלץ לו על 27 ימי אי כושר עם הפניה לפ</w:t>
      </w:r>
      <w:r w:rsidR="00C946BD">
        <w:rPr>
          <w:rFonts w:hint="cs" w:ascii="Calibri" w:hAnsi="Calibri" w:eastAsia="Calibri"/>
          <w:noProof w:val="0"/>
          <w:rtl/>
        </w:rPr>
        <w:t>י</w:t>
      </w:r>
      <w:r w:rsidRPr="00FC5B6A">
        <w:rPr>
          <w:rFonts w:hint="cs" w:ascii="Calibri" w:hAnsi="Calibri" w:eastAsia="Calibri"/>
          <w:noProof w:val="0"/>
          <w:rtl/>
        </w:rPr>
        <w:t>זיוטרפיה.  לאחר מכן קיבל</w:t>
      </w:r>
      <w:r w:rsidR="00C946BD">
        <w:rPr>
          <w:rFonts w:hint="cs" w:ascii="Calibri" w:hAnsi="Calibri" w:eastAsia="Calibri"/>
          <w:noProof w:val="0"/>
          <w:rtl/>
        </w:rPr>
        <w:t xml:space="preserve"> התובע </w:t>
      </w:r>
      <w:r w:rsidRPr="00FC5B6A">
        <w:rPr>
          <w:rFonts w:hint="cs" w:ascii="Calibri" w:hAnsi="Calibri" w:eastAsia="Calibri"/>
          <w:noProof w:val="0"/>
          <w:rtl/>
        </w:rPr>
        <w:t xml:space="preserve"> עוד 14 ימי אי כושר. ר' נספח 1-5 לכתב התביעה. לטענת התובע הוא סובל מכאבים ומגבלות בתנועה בע"ש תחתון אשר מקשה אליו בביצוע פעולות בחיי היום יום.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מנגד לטענת הנתבע, </w:t>
      </w:r>
      <w:r w:rsidR="00C946BD">
        <w:rPr>
          <w:rFonts w:hint="cs" w:ascii="Calibri" w:hAnsi="Calibri" w:eastAsia="Calibri"/>
          <w:noProof w:val="0"/>
          <w:rtl/>
        </w:rPr>
        <w:t xml:space="preserve">לתובע היו תאונות רבות לפני האירוע וכי </w:t>
      </w:r>
      <w:r w:rsidRPr="00FC5B6A">
        <w:rPr>
          <w:rFonts w:hint="cs" w:ascii="Calibri" w:hAnsi="Calibri" w:eastAsia="Calibri"/>
          <w:noProof w:val="0"/>
          <w:rtl/>
        </w:rPr>
        <w:t>לא עלה בידי התובע להרים את הנטל להוכיח את קרות האירוע הנטען שכן לאירוע לא היו עדים והתובע המשיך לעבוד כרגיל בימים שלאחר מכן. עוד טען הנתבע כי השפעת העבודה על מצבו הרפואי פחותה בהרבה מהשפעת גורמים אחרים וביניהם מצב בריאותי קונסטיטוציונלי של התובע.</w:t>
      </w:r>
    </w:p>
    <w:p w:rsidRPr="00FC5B6A" w:rsidR="00FC5B6A" w:rsidP="00FC5B6A" w:rsidRDefault="00FC5B6A">
      <w:pPr>
        <w:spacing w:line="360" w:lineRule="auto"/>
        <w:ind w:left="142"/>
        <w:contextualSpacing/>
        <w:jc w:val="both"/>
        <w:rPr>
          <w:rFonts w:ascii="Calibri" w:hAnsi="Calibri" w:eastAsia="Calibri"/>
          <w:noProof w:val="0"/>
        </w:rPr>
      </w:pPr>
    </w:p>
    <w:p w:rsidRPr="00FC5B6A" w:rsidR="00FC5B6A" w:rsidP="00FC5B6A" w:rsidRDefault="00FC5B6A">
      <w:pPr>
        <w:spacing w:after="160" w:line="360" w:lineRule="auto"/>
        <w:jc w:val="both"/>
        <w:rPr>
          <w:rFonts w:ascii="Calibri" w:hAnsi="Calibri" w:eastAsia="Calibri"/>
          <w:b/>
          <w:bCs/>
          <w:noProof w:val="0"/>
        </w:rPr>
      </w:pPr>
      <w:r w:rsidRPr="00FC5B6A">
        <w:rPr>
          <w:rFonts w:hint="cs" w:ascii="Calibri" w:hAnsi="Calibri" w:eastAsia="Calibri"/>
          <w:b/>
          <w:bCs/>
          <w:noProof w:val="0"/>
          <w:rtl/>
        </w:rPr>
        <w:t>דיון והכרעה</w:t>
      </w:r>
    </w:p>
    <w:p w:rsidRPr="00FC5B6A" w:rsidR="00FC5B6A" w:rsidP="00FC5B6A" w:rsidRDefault="00FC5B6A">
      <w:pPr>
        <w:spacing w:after="160" w:line="360" w:lineRule="auto"/>
        <w:jc w:val="both"/>
        <w:rPr>
          <w:rFonts w:ascii="Calibri" w:hAnsi="Calibri" w:eastAsia="Calibri"/>
          <w:b/>
          <w:bCs/>
          <w:noProof w:val="0"/>
        </w:rPr>
      </w:pPr>
      <w:r w:rsidRPr="00FC5B6A">
        <w:rPr>
          <w:rFonts w:hint="cs" w:ascii="Calibri" w:hAnsi="Calibri" w:eastAsia="Calibri"/>
          <w:b/>
          <w:bCs/>
          <w:noProof w:val="0"/>
          <w:rtl/>
        </w:rPr>
        <w:t>האם הוכיח התובע את קרות האירוע מיום 16.3.16?</w:t>
      </w:r>
    </w:p>
    <w:p w:rsidRPr="00FC5B6A" w:rsidR="00FC5B6A" w:rsidP="00FC5B6A" w:rsidRDefault="00FC5B6A">
      <w:pPr>
        <w:numPr>
          <w:ilvl w:val="0"/>
          <w:numId w:val="1"/>
        </w:numPr>
        <w:spacing w:after="160" w:line="360" w:lineRule="auto"/>
        <w:contextualSpacing/>
        <w:jc w:val="both"/>
        <w:rPr>
          <w:rFonts w:hint="cs" w:ascii="Calibri" w:hAnsi="Calibri" w:eastAsia="Calibri"/>
          <w:noProof w:val="0"/>
          <w:rtl/>
        </w:rPr>
      </w:pPr>
      <w:hyperlink w:history="1" r:id="rId10">
        <w:r w:rsidRPr="00C946BD">
          <w:rPr>
            <w:rFonts w:hint="cs" w:ascii="Calibri" w:hAnsi="Calibri" w:eastAsia="Calibri"/>
            <w:b/>
            <w:bCs/>
            <w:noProof w:val="0"/>
            <w:rtl/>
          </w:rPr>
          <w:t>סעיף 79</w:t>
        </w:r>
      </w:hyperlink>
      <w:r w:rsidRPr="00FC5B6A">
        <w:rPr>
          <w:rFonts w:hint="cs" w:ascii="Calibri" w:hAnsi="Calibri" w:eastAsia="Calibri"/>
          <w:b/>
          <w:bCs/>
          <w:noProof w:val="0"/>
          <w:rtl/>
        </w:rPr>
        <w:t xml:space="preserve"> ל</w:t>
      </w:r>
      <w:r w:rsidRPr="00FC5B6A">
        <w:rPr>
          <w:rFonts w:hint="cs" w:ascii="Calibri" w:hAnsi="Calibri" w:eastAsia="Calibri"/>
          <w:noProof w:val="0"/>
          <w:rtl/>
        </w:rPr>
        <w:t>חוק מגדיר מהי תאונת עבודה, כמצוטט:</w:t>
      </w:r>
    </w:p>
    <w:p w:rsidRPr="00FC5B6A" w:rsidR="00FC5B6A" w:rsidP="00FC5B6A" w:rsidRDefault="00FC5B6A">
      <w:pPr>
        <w:spacing w:after="160" w:line="360" w:lineRule="auto"/>
        <w:ind w:left="720"/>
        <w:contextualSpacing/>
        <w:jc w:val="both"/>
        <w:rPr>
          <w:rFonts w:ascii="Calibri" w:hAnsi="Calibri" w:eastAsia="Calibri"/>
          <w:noProof w:val="0"/>
        </w:rPr>
      </w:pPr>
      <w:r w:rsidRPr="00FC5B6A">
        <w:rPr>
          <w:rFonts w:hint="cs" w:ascii="Calibri" w:hAnsi="Calibri" w:eastAsia="Calibri"/>
          <w:noProof w:val="0"/>
          <w:rtl/>
        </w:rPr>
        <w:t>"</w:t>
      </w:r>
      <w:r w:rsidRPr="00FC5B6A">
        <w:rPr>
          <w:rFonts w:hint="cs" w:ascii="Calibri" w:hAnsi="Calibri" w:eastAsia="Calibri"/>
          <w:b/>
          <w:bCs/>
          <w:noProof w:val="0"/>
          <w:rtl/>
        </w:rPr>
        <w:t>תאונת עבודה – תאונה שארעה תוך כדי עבודתו ועקב עבודתו אצל מעבידו או מטעמו ...</w:t>
      </w:r>
      <w:r w:rsidRPr="00FC5B6A">
        <w:rPr>
          <w:rFonts w:hint="cs" w:ascii="Calibri" w:hAnsi="Calibri" w:eastAsia="Calibri"/>
          <w:noProof w:val="0"/>
          <w:rtl/>
        </w:rPr>
        <w:t>".</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בנוסף קובע </w:t>
      </w:r>
      <w:hyperlink w:history="1" r:id="rId11">
        <w:r w:rsidRPr="00C946BD">
          <w:rPr>
            <w:rFonts w:hint="cs" w:ascii="Calibri" w:hAnsi="Calibri" w:eastAsia="Calibri"/>
            <w:noProof w:val="0"/>
            <w:rtl/>
          </w:rPr>
          <w:t>סעיף 83</w:t>
        </w:r>
      </w:hyperlink>
      <w:r w:rsidRPr="00FC5B6A">
        <w:rPr>
          <w:rFonts w:hint="cs" w:ascii="Calibri" w:hAnsi="Calibri" w:eastAsia="Calibri"/>
          <w:noProof w:val="0"/>
          <w:rtl/>
        </w:rPr>
        <w:t xml:space="preserve"> לחוק את חזקת הסיבתיות כך: "</w:t>
      </w:r>
      <w:r w:rsidRPr="00FC5B6A">
        <w:rPr>
          <w:rFonts w:hint="cs" w:eastAsia="Calibri"/>
          <w:b/>
          <w:bCs/>
          <w:noProof w:val="0"/>
          <w:rtl/>
        </w:rPr>
        <w:t>תאונה שאירעה לעובד תוך כדי עבודה רואים אותה כתאונה שאירעה גם עקב העבודה, אם לא הוכח ההיפך; ואולם תאונה שאינה תוצאה של גורמים חיצוניים הנראים לעין, בין שאירעה לעובד ובין לעובד עצמאי, אין רואים אותה כתאונת עבודה אם הוכח כי השפעת העבודה על אירוע התאונה היתה פחותה הרבה מהשפעת גורמים אחרים</w:t>
      </w:r>
      <w:r w:rsidRPr="00FC5B6A">
        <w:rPr>
          <w:rFonts w:hint="cs" w:eastAsia="Calibri"/>
          <w:noProof w:val="0"/>
          <w:rtl/>
        </w:rPr>
        <w:t>".</w:t>
      </w:r>
    </w:p>
    <w:p w:rsidRPr="00FC5B6A" w:rsidR="00FC5B6A" w:rsidP="00FC5B6A"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 xml:space="preserve">בכדי שתוכר חזקת הסיבתיות יש להוכיח בראש ובראשונה כי ארעה תאונה. הלכה פסוקה היא כי תאונה מורכבת משני יסודות חיוניים: גורם או מחולל מחד גיסא ונזק או פגיעה מאידך גיסא. ברור הוא, כי באין חבלה אין תאונת עבודה וכי החבלה היא אחת העובדות הצריכות לעילת התביעה ועל התובע להוכיחה (ר' </w:t>
      </w:r>
      <w:hyperlink w:history="1" r:id="rId12">
        <w:r w:rsidRPr="00C946BD">
          <w:rPr>
            <w:rFonts w:hint="cs" w:ascii="Calibri" w:hAnsi="Calibri" w:eastAsia="Calibri"/>
            <w:noProof w:val="0"/>
            <w:rtl/>
          </w:rPr>
          <w:t>דב"ע נ"ג/0-153</w:t>
        </w:r>
      </w:hyperlink>
      <w:r w:rsidRPr="00FC5B6A">
        <w:rPr>
          <w:rFonts w:hint="cs" w:ascii="Calibri" w:hAnsi="Calibri" w:eastAsia="Calibri"/>
          <w:noProof w:val="0"/>
          <w:rtl/>
        </w:rPr>
        <w:t xml:space="preserve"> </w:t>
      </w:r>
      <w:r w:rsidRPr="00FC5B6A">
        <w:rPr>
          <w:rFonts w:hint="cs" w:ascii="Calibri" w:hAnsi="Calibri" w:eastAsia="Calibri"/>
          <w:b/>
          <w:bCs/>
          <w:noProof w:val="0"/>
          <w:rtl/>
        </w:rPr>
        <w:t>עוואד ג'אבר פראג' - המוסד</w:t>
      </w:r>
      <w:r w:rsidRPr="00FC5B6A">
        <w:rPr>
          <w:rFonts w:hint="cs" w:ascii="Calibri" w:hAnsi="Calibri" w:eastAsia="Calibri"/>
          <w:noProof w:val="0"/>
          <w:rtl/>
        </w:rPr>
        <w:t xml:space="preserve"> </w:t>
      </w:r>
      <w:r w:rsidRPr="00FC5B6A">
        <w:rPr>
          <w:rFonts w:hint="cs" w:eastAsia="Calibri"/>
          <w:noProof w:val="0"/>
          <w:sz w:val="22"/>
          <w:rtl/>
        </w:rPr>
        <w:t xml:space="preserve">[פורסם בנבו] </w:t>
      </w:r>
      <w:r w:rsidRPr="00FC5B6A">
        <w:rPr>
          <w:rFonts w:hint="cs" w:ascii="Calibri" w:hAnsi="Calibri" w:eastAsia="Calibri"/>
          <w:noProof w:val="0"/>
          <w:rtl/>
        </w:rPr>
        <w:lastRenderedPageBreak/>
        <w:t xml:space="preserve">פד"ע כ"ז 50; </w:t>
      </w:r>
      <w:hyperlink w:history="1" r:id="rId13">
        <w:r w:rsidRPr="00C946BD">
          <w:rPr>
            <w:rFonts w:hint="cs" w:ascii="Calibri" w:hAnsi="Calibri" w:eastAsia="Calibri"/>
            <w:noProof w:val="0"/>
            <w:rtl/>
          </w:rPr>
          <w:t>דב"ע נ"ב/0-88</w:t>
        </w:r>
      </w:hyperlink>
      <w:r w:rsidRPr="00FC5B6A">
        <w:rPr>
          <w:rFonts w:hint="cs" w:ascii="Calibri" w:hAnsi="Calibri" w:eastAsia="Calibri"/>
          <w:noProof w:val="0"/>
          <w:rtl/>
        </w:rPr>
        <w:t xml:space="preserve"> </w:t>
      </w:r>
      <w:r w:rsidRPr="00FC5B6A">
        <w:rPr>
          <w:rFonts w:hint="cs" w:ascii="Calibri" w:hAnsi="Calibri" w:eastAsia="Calibri"/>
          <w:b/>
          <w:bCs/>
          <w:noProof w:val="0"/>
          <w:rtl/>
        </w:rPr>
        <w:t>כאמל קופטי - המוסד</w:t>
      </w:r>
      <w:r w:rsidRPr="00FC5B6A">
        <w:rPr>
          <w:rFonts w:hint="cs" w:ascii="Calibri" w:hAnsi="Calibri" w:eastAsia="Calibri"/>
          <w:noProof w:val="0"/>
          <w:rtl/>
        </w:rPr>
        <w:t xml:space="preserve"> [פורסם בנבו] פד"ע כ"ט 169; </w:t>
      </w:r>
      <w:hyperlink w:history="1" r:id="rId14">
        <w:r w:rsidRPr="00FC5B6A">
          <w:rPr>
            <w:rFonts w:hint="cs" w:ascii="Calibri" w:hAnsi="Calibri" w:eastAsia="Calibri"/>
            <w:noProof w:val="0"/>
            <w:color w:val="0000FF"/>
            <w:u w:val="single"/>
            <w:rtl/>
          </w:rPr>
          <w:t>דב"ע שם/0-</w:t>
        </w:r>
        <w:r w:rsidRPr="00C946BD">
          <w:rPr>
            <w:rFonts w:hint="cs" w:ascii="Calibri" w:hAnsi="Calibri" w:eastAsia="Calibri"/>
            <w:noProof w:val="0"/>
            <w:rtl/>
          </w:rPr>
          <w:t xml:space="preserve">96 </w:t>
        </w:r>
      </w:hyperlink>
      <w:r w:rsidRPr="00FC5B6A">
        <w:rPr>
          <w:rFonts w:hint="cs" w:ascii="Calibri" w:hAnsi="Calibri" w:eastAsia="Calibri"/>
          <w:noProof w:val="0"/>
          <w:rtl/>
        </w:rPr>
        <w:t xml:space="preserve"> </w:t>
      </w:r>
      <w:r w:rsidRPr="00FC5B6A">
        <w:rPr>
          <w:rFonts w:hint="cs" w:ascii="Calibri" w:hAnsi="Calibri" w:eastAsia="Calibri"/>
          <w:b/>
          <w:bCs/>
          <w:noProof w:val="0"/>
          <w:rtl/>
        </w:rPr>
        <w:t>המוסד - אמנון וייל</w:t>
      </w:r>
      <w:r w:rsidRPr="00FC5B6A">
        <w:rPr>
          <w:rFonts w:hint="cs" w:ascii="Calibri" w:hAnsi="Calibri" w:eastAsia="Calibri"/>
          <w:noProof w:val="0"/>
          <w:rtl/>
        </w:rPr>
        <w:t xml:space="preserve"> [פורסם בנבו] פד"ע יב 225; </w:t>
      </w:r>
      <w:hyperlink w:history="1" r:id="rId15">
        <w:r w:rsidRPr="00C946BD">
          <w:rPr>
            <w:rFonts w:hint="cs" w:ascii="Calibri" w:hAnsi="Calibri" w:eastAsia="Calibri"/>
            <w:noProof w:val="0"/>
            <w:rtl/>
          </w:rPr>
          <w:t>דב"ע נ"ו/0-251</w:t>
        </w:r>
        <w:r w:rsidRPr="00FC5B6A">
          <w:rPr>
            <w:rFonts w:hint="cs" w:ascii="Calibri" w:hAnsi="Calibri" w:eastAsia="Calibri"/>
            <w:noProof w:val="0"/>
            <w:color w:val="0000FF"/>
            <w:u w:val="single"/>
            <w:rtl/>
          </w:rPr>
          <w:t xml:space="preserve"> </w:t>
        </w:r>
      </w:hyperlink>
      <w:r w:rsidRPr="00FC5B6A">
        <w:rPr>
          <w:rFonts w:hint="cs" w:ascii="Calibri" w:hAnsi="Calibri" w:eastAsia="Calibri"/>
          <w:noProof w:val="0"/>
          <w:rtl/>
        </w:rPr>
        <w:t xml:space="preserve">  </w:t>
      </w:r>
      <w:r w:rsidRPr="00FC5B6A">
        <w:rPr>
          <w:rFonts w:hint="cs" w:ascii="Calibri" w:hAnsi="Calibri" w:eastAsia="Calibri"/>
          <w:b/>
          <w:bCs/>
          <w:noProof w:val="0"/>
          <w:rtl/>
        </w:rPr>
        <w:t>בצלאל ישינובסקי - המוסד</w:t>
      </w:r>
      <w:r w:rsidRPr="00FC5B6A">
        <w:rPr>
          <w:rFonts w:hint="cs" w:ascii="Calibri" w:hAnsi="Calibri" w:eastAsia="Calibri"/>
          <w:noProof w:val="0"/>
          <w:rtl/>
        </w:rPr>
        <w:t xml:space="preserve"> [פורסם בנבו] פד"ע ל"א 241).</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עוד נקבע, כי על בית הדין לקבוע האם הקשר שבין הפעולה אותה ביצע העובד עת נפגע, לבין המהלך הרגיל של עבודתו, חזק דיו כדי להחיל את ההוראה בדבר חזקת הסיבתיות (ר' </w:t>
      </w:r>
      <w:hyperlink w:history="1" r:id="rId16">
        <w:r w:rsidRPr="00C946BD">
          <w:rPr>
            <w:rFonts w:hint="cs" w:ascii="Calibri" w:hAnsi="Calibri" w:eastAsia="Calibri"/>
            <w:noProof w:val="0"/>
            <w:rtl/>
          </w:rPr>
          <w:t>עב"ל 264/95</w:t>
        </w:r>
      </w:hyperlink>
      <w:r w:rsidRPr="00FC5B6A">
        <w:rPr>
          <w:rFonts w:hint="cs" w:ascii="Calibri" w:hAnsi="Calibri" w:eastAsia="Calibri"/>
          <w:noProof w:val="0"/>
          <w:rtl/>
        </w:rPr>
        <w:t xml:space="preserve"> המוסד נ' נורית פוזנר </w:t>
      </w:r>
      <w:r w:rsidRPr="00FC5B6A">
        <w:rPr>
          <w:rFonts w:hint="cs" w:eastAsia="Calibri"/>
          <w:noProof w:val="0"/>
          <w:sz w:val="22"/>
          <w:rtl/>
        </w:rPr>
        <w:t xml:space="preserve">[פורסם בנבו] </w:t>
      </w:r>
      <w:r w:rsidRPr="00FC5B6A">
        <w:rPr>
          <w:rFonts w:hint="cs" w:ascii="Calibri" w:hAnsi="Calibri" w:eastAsia="Calibri"/>
          <w:noProof w:val="0"/>
          <w:rtl/>
        </w:rPr>
        <w:t>פד"ע לד 566).</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הכללים בעניין הפגיעה בגב מורים על חלוקה לשתי סוגיות, האחת – תאונה כתוצאה מהרמה או דחיפה, שהיא תוצאה של גורמים חיצוניים הנראים לעין, והיא כפופה לחזקת הסיבתיות לפי הרישא של הסעיף. השנייה – תנועה במאמץ ובתנועה לא נכונה, הכפופה לסיפא של הסעיף, דהיינו – תוצאה של גורם חיצוני שאינו נראה לעין (ר' </w:t>
      </w:r>
      <w:hyperlink w:history="1" r:id="rId17">
        <w:r w:rsidRPr="00C946BD">
          <w:rPr>
            <w:rFonts w:hint="cs" w:ascii="Calibri" w:hAnsi="Calibri" w:eastAsia="Calibri"/>
            <w:noProof w:val="0"/>
            <w:rtl/>
          </w:rPr>
          <w:t xml:space="preserve">דב"ע לח/0-100 </w:t>
        </w:r>
      </w:hyperlink>
      <w:r w:rsidRPr="00FC5B6A">
        <w:rPr>
          <w:rFonts w:hint="cs" w:ascii="Calibri" w:hAnsi="Calibri" w:eastAsia="Calibri"/>
          <w:noProof w:val="0"/>
          <w:rtl/>
        </w:rPr>
        <w:t xml:space="preserve"> </w:t>
      </w:r>
      <w:r w:rsidRPr="00FC5B6A">
        <w:rPr>
          <w:rFonts w:hint="cs" w:ascii="Calibri" w:hAnsi="Calibri" w:eastAsia="Calibri"/>
          <w:b/>
          <w:bCs/>
          <w:noProof w:val="0"/>
          <w:rtl/>
        </w:rPr>
        <w:t>יוסף לאוב נ' המוסד</w:t>
      </w:r>
      <w:r w:rsidRPr="00FC5B6A">
        <w:rPr>
          <w:rFonts w:hint="cs" w:ascii="Calibri" w:hAnsi="Calibri" w:eastAsia="Calibri"/>
          <w:noProof w:val="0"/>
          <w:rtl/>
        </w:rPr>
        <w:t xml:space="preserve"> </w:t>
      </w:r>
      <w:r w:rsidRPr="00FC5B6A">
        <w:rPr>
          <w:rFonts w:hint="cs" w:eastAsia="Calibri"/>
          <w:noProof w:val="0"/>
          <w:sz w:val="22"/>
          <w:rtl/>
        </w:rPr>
        <w:t xml:space="preserve">[פורסם בנבו] </w:t>
      </w:r>
      <w:r w:rsidRPr="00FC5B6A">
        <w:rPr>
          <w:rFonts w:hint="cs" w:ascii="Calibri" w:hAnsi="Calibri" w:eastAsia="Calibri"/>
          <w:noProof w:val="0"/>
          <w:rtl/>
        </w:rPr>
        <w:t xml:space="preserve">פד"ע ט 421; </w:t>
      </w:r>
      <w:hyperlink w:history="1" r:id="rId18">
        <w:r w:rsidRPr="00C946BD">
          <w:rPr>
            <w:rFonts w:hint="cs" w:ascii="Calibri" w:hAnsi="Calibri" w:eastAsia="Calibri"/>
            <w:noProof w:val="0"/>
            <w:rtl/>
          </w:rPr>
          <w:t>דב"ע מג/0-74</w:t>
        </w:r>
      </w:hyperlink>
      <w:r w:rsidRPr="00FC5B6A">
        <w:rPr>
          <w:rFonts w:hint="cs" w:ascii="Calibri" w:hAnsi="Calibri" w:eastAsia="Calibri"/>
          <w:noProof w:val="0"/>
          <w:rtl/>
        </w:rPr>
        <w:t xml:space="preserve"> </w:t>
      </w:r>
      <w:r w:rsidRPr="00FC5B6A">
        <w:rPr>
          <w:rFonts w:hint="cs" w:ascii="Calibri" w:hAnsi="Calibri" w:eastAsia="Calibri"/>
          <w:b/>
          <w:bCs/>
          <w:noProof w:val="0"/>
          <w:rtl/>
        </w:rPr>
        <w:t>שלמה אליאל נ' המוסד</w:t>
      </w:r>
      <w:r w:rsidRPr="00FC5B6A">
        <w:rPr>
          <w:rFonts w:hint="cs" w:ascii="Calibri" w:hAnsi="Calibri" w:eastAsia="Calibri"/>
          <w:noProof w:val="0"/>
          <w:rtl/>
        </w:rPr>
        <w:t xml:space="preserve"> </w:t>
      </w:r>
      <w:r w:rsidRPr="00FC5B6A">
        <w:rPr>
          <w:rFonts w:hint="cs" w:eastAsia="Calibri"/>
          <w:noProof w:val="0"/>
          <w:sz w:val="22"/>
          <w:rtl/>
        </w:rPr>
        <w:t xml:space="preserve">[פורסם בנבו] </w:t>
      </w:r>
      <w:r w:rsidRPr="00FC5B6A">
        <w:rPr>
          <w:rFonts w:hint="cs" w:ascii="Calibri" w:hAnsi="Calibri" w:eastAsia="Calibri"/>
          <w:noProof w:val="0"/>
          <w:rtl/>
        </w:rPr>
        <w:t xml:space="preserve">פד"ע טו 155; </w:t>
      </w:r>
      <w:hyperlink w:history="1" r:id="rId19">
        <w:r w:rsidRPr="00C946BD">
          <w:rPr>
            <w:rFonts w:hint="cs" w:ascii="Calibri" w:hAnsi="Calibri" w:eastAsia="Calibri"/>
            <w:noProof w:val="0"/>
            <w:rtl/>
          </w:rPr>
          <w:t xml:space="preserve">דב"ע מו/0-6 </w:t>
        </w:r>
      </w:hyperlink>
      <w:r w:rsidRPr="00FC5B6A">
        <w:rPr>
          <w:rFonts w:hint="cs" w:ascii="Calibri" w:hAnsi="Calibri" w:eastAsia="Calibri"/>
          <w:noProof w:val="0"/>
          <w:rtl/>
        </w:rPr>
        <w:t xml:space="preserve"> </w:t>
      </w:r>
      <w:r w:rsidRPr="00FC5B6A">
        <w:rPr>
          <w:rFonts w:hint="cs" w:ascii="Calibri" w:hAnsi="Calibri" w:eastAsia="Calibri"/>
          <w:b/>
          <w:bCs/>
          <w:noProof w:val="0"/>
          <w:rtl/>
        </w:rPr>
        <w:t>דב גבאי נ' המוסד</w:t>
      </w:r>
      <w:r w:rsidRPr="00FC5B6A">
        <w:rPr>
          <w:rFonts w:hint="cs" w:ascii="Calibri" w:hAnsi="Calibri" w:eastAsia="Calibri"/>
          <w:noProof w:val="0"/>
          <w:rtl/>
        </w:rPr>
        <w:t xml:space="preserve"> </w:t>
      </w:r>
      <w:r w:rsidRPr="00FC5B6A">
        <w:rPr>
          <w:rFonts w:hint="cs" w:eastAsia="Calibri"/>
          <w:noProof w:val="0"/>
          <w:sz w:val="22"/>
          <w:rtl/>
        </w:rPr>
        <w:t xml:space="preserve">[פורסם בנבו] </w:t>
      </w:r>
      <w:r w:rsidRPr="00FC5B6A">
        <w:rPr>
          <w:rFonts w:hint="cs" w:ascii="Calibri" w:hAnsi="Calibri" w:eastAsia="Calibri"/>
          <w:noProof w:val="0"/>
          <w:rtl/>
        </w:rPr>
        <w:t xml:space="preserve">פד"ע יז 248). כאשר ראשית הראיה, בשני המקרים צריכה להיות שאכן קרה אירוע תאונתי בעבודה הקושר את הפגיעה לעבודה (ר' דב"ע לח/0-112 </w:t>
      </w:r>
      <w:r w:rsidRPr="00FC5B6A">
        <w:rPr>
          <w:rFonts w:hint="cs" w:ascii="Calibri" w:hAnsi="Calibri" w:eastAsia="Calibri"/>
          <w:b/>
          <w:bCs/>
          <w:noProof w:val="0"/>
          <w:rtl/>
        </w:rPr>
        <w:t>ארמון כץ נ' המוסד</w:t>
      </w:r>
      <w:r w:rsidRPr="00FC5B6A">
        <w:rPr>
          <w:rFonts w:hint="cs" w:ascii="Calibri" w:hAnsi="Calibri" w:eastAsia="Calibri"/>
          <w:noProof w:val="0"/>
          <w:rtl/>
        </w:rPr>
        <w:t>, לקט פסקי דין 22.13).</w:t>
      </w:r>
    </w:p>
    <w:p w:rsidRPr="00FC5B6A" w:rsidR="00FC5B6A" w:rsidP="00FC5B6A"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 xml:space="preserve">הכלל הוא שצריך שתהיה "ראשית ראיה" שאכן קרה "אירוע תאונתי" בעבודה, בין שהפגימה הינה כתוצאה מגורמים הנראים לעין (כגון, הרמת משא כבד), ובין מגורמים שאינם נראים לעין (כגון תנועה לא נכונה) אשר בגינה נתפס הגב.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בהקשר זה נקבע כי: </w:t>
      </w:r>
    </w:p>
    <w:p w:rsidRPr="00FC5B6A" w:rsidR="00FC5B6A" w:rsidP="00FC5B6A" w:rsidRDefault="00FC5B6A">
      <w:pPr>
        <w:spacing w:after="160" w:line="360" w:lineRule="auto"/>
        <w:ind w:left="720"/>
        <w:contextualSpacing/>
        <w:jc w:val="both"/>
        <w:rPr>
          <w:rFonts w:ascii="Calibri" w:hAnsi="Calibri" w:eastAsia="Calibri"/>
          <w:noProof w:val="0"/>
        </w:rPr>
      </w:pPr>
      <w:r w:rsidRPr="00FC5B6A">
        <w:rPr>
          <w:rFonts w:hint="cs" w:ascii="Calibri" w:hAnsi="Calibri" w:eastAsia="Calibri"/>
          <w:noProof w:val="0"/>
          <w:rtl/>
        </w:rPr>
        <w:t>"</w:t>
      </w:r>
      <w:r w:rsidRPr="00FC5B6A">
        <w:rPr>
          <w:rFonts w:hint="cs" w:ascii="Calibri" w:hAnsi="Calibri" w:eastAsia="Calibri"/>
          <w:b/>
          <w:bCs/>
          <w:noProof w:val="0"/>
          <w:rtl/>
        </w:rPr>
        <w:t>ניסיון החיים לימד את בית הדין שהכרה בפגיעה בעמוד השדרה כתאונת עבודה, תלויה בעיקר בשאלה האם הוכח שבמהלך העבודה אירע משהו שבגינו 'נתפש' גבו של המבוטח, או שפקדוהו לפתע כאבים עזים שמנעו ממנו להמשיך לעבוד. ביסודם של דברים עומדת שאלת אמינות גרסתו של התובע</w:t>
      </w:r>
      <w:r w:rsidRPr="00FC5B6A">
        <w:rPr>
          <w:rFonts w:hint="cs" w:ascii="Calibri" w:hAnsi="Calibri" w:eastAsia="Calibri"/>
          <w:noProof w:val="0"/>
          <w:rtl/>
        </w:rPr>
        <w:t xml:space="preserve">" (ר' דב"ע (ארצי) מה/0-24 </w:t>
      </w:r>
      <w:r w:rsidRPr="00FC5B6A">
        <w:rPr>
          <w:rFonts w:hint="cs" w:ascii="Calibri" w:hAnsi="Calibri" w:eastAsia="Calibri"/>
          <w:b/>
          <w:bCs/>
          <w:noProof w:val="0"/>
          <w:rtl/>
        </w:rPr>
        <w:t>אזולאי – המוסד לביטוח לאומי</w:t>
      </w:r>
      <w:r w:rsidRPr="00FC5B6A">
        <w:rPr>
          <w:rFonts w:hint="cs" w:ascii="Calibri" w:hAnsi="Calibri" w:eastAsia="Calibri"/>
          <w:noProof w:val="0"/>
          <w:rtl/>
        </w:rPr>
        <w:t xml:space="preserve">, לקט 33.46; </w:t>
      </w:r>
      <w:hyperlink w:history="1" r:id="rId20">
        <w:r w:rsidRPr="00C946BD">
          <w:rPr>
            <w:rFonts w:hint="cs" w:ascii="Calibri" w:hAnsi="Calibri" w:eastAsia="Calibri"/>
            <w:noProof w:val="0"/>
            <w:rtl/>
          </w:rPr>
          <w:t>דב"ע (ארצי) נא/0-218</w:t>
        </w:r>
      </w:hyperlink>
      <w:r w:rsidRPr="00FC5B6A">
        <w:rPr>
          <w:rFonts w:hint="cs" w:ascii="Calibri" w:hAnsi="Calibri" w:eastAsia="Calibri"/>
          <w:noProof w:val="0"/>
          <w:rtl/>
        </w:rPr>
        <w:t xml:space="preserve"> </w:t>
      </w:r>
      <w:r w:rsidRPr="00FC5B6A">
        <w:rPr>
          <w:rFonts w:hint="cs" w:ascii="Calibri" w:hAnsi="Calibri" w:eastAsia="Calibri"/>
          <w:b/>
          <w:bCs/>
          <w:noProof w:val="0"/>
          <w:rtl/>
        </w:rPr>
        <w:t>המוסד לביטוח לאומי – דרור</w:t>
      </w:r>
      <w:r w:rsidRPr="00FC5B6A">
        <w:rPr>
          <w:rFonts w:hint="cs" w:ascii="Calibri" w:hAnsi="Calibri" w:eastAsia="Calibri"/>
          <w:noProof w:val="0"/>
          <w:rtl/>
        </w:rPr>
        <w:t>, [פורסם בנבו] פד"ע כד 545).</w:t>
      </w:r>
    </w:p>
    <w:p w:rsidRPr="00FC5B6A" w:rsidR="00FC5B6A" w:rsidP="00FC5B6A" w:rsidRDefault="00FC5B6A">
      <w:pPr>
        <w:spacing w:after="160" w:line="360" w:lineRule="auto"/>
        <w:ind w:left="720"/>
        <w:contextualSpacing/>
        <w:jc w:val="both"/>
        <w:rPr>
          <w:rFonts w:hint="cs" w:ascii="Calibri" w:hAnsi="Calibri" w:eastAsia="Calibri"/>
          <w:noProof w:val="0"/>
          <w:rtl/>
        </w:rPr>
      </w:pPr>
      <w:r w:rsidRPr="00FC5B6A">
        <w:rPr>
          <w:rFonts w:hint="cs" w:ascii="Calibri" w:hAnsi="Calibri" w:eastAsia="Calibri"/>
          <w:noProof w:val="0"/>
          <w:rtl/>
        </w:rPr>
        <w:t>וכן - "</w:t>
      </w:r>
      <w:r w:rsidRPr="00FC5B6A">
        <w:rPr>
          <w:rFonts w:hint="cs" w:ascii="Calibri" w:hAnsi="Calibri" w:eastAsia="Calibri"/>
          <w:b/>
          <w:bCs/>
          <w:noProof w:val="0"/>
          <w:rtl/>
        </w:rPr>
        <w:t>על מנת להכיר בכאבי גב כתאונת עבודה, על המבוטח להוכיח שהיה מאמץ בלתי רגיל או אירוע פיזי מיוחד בעבודה שניתן לקשור להופעתם; כדוגמת הרמה משא כבד ממה שהמבוטח רגיל להרים או הרמת משא תוך תנועה סיבובית לא נכונה</w:t>
      </w:r>
      <w:r w:rsidRPr="00FC5B6A">
        <w:rPr>
          <w:rFonts w:hint="cs" w:ascii="Calibri" w:hAnsi="Calibri" w:eastAsia="Calibri"/>
          <w:noProof w:val="0"/>
          <w:rtl/>
        </w:rPr>
        <w:t xml:space="preserve">" (ר' </w:t>
      </w:r>
      <w:hyperlink w:history="1" r:id="rId21">
        <w:r w:rsidRPr="00C946BD">
          <w:rPr>
            <w:rFonts w:hint="cs" w:ascii="Calibri" w:hAnsi="Calibri" w:eastAsia="Calibri"/>
            <w:b/>
            <w:bCs/>
            <w:noProof w:val="0"/>
            <w:rtl/>
          </w:rPr>
          <w:t>עב"ל 338/96</w:t>
        </w:r>
      </w:hyperlink>
      <w:r w:rsidRPr="00FC5B6A">
        <w:rPr>
          <w:rFonts w:hint="cs" w:ascii="Calibri" w:hAnsi="Calibri" w:eastAsia="Calibri"/>
          <w:b/>
          <w:bCs/>
          <w:noProof w:val="0"/>
          <w:rtl/>
        </w:rPr>
        <w:t xml:space="preserve"> המוסד - יוסף עובדיה</w:t>
      </w:r>
      <w:r w:rsidRPr="00FC5B6A">
        <w:rPr>
          <w:rFonts w:hint="cs" w:ascii="Calibri" w:hAnsi="Calibri" w:eastAsia="Calibri"/>
          <w:noProof w:val="0"/>
          <w:rtl/>
        </w:rPr>
        <w:t>, [פורסם בנבו] פד"ע לו 213, 230).</w:t>
      </w:r>
    </w:p>
    <w:p w:rsidRPr="00FC5B6A" w:rsidR="00FC5B6A" w:rsidP="00FC5B6A"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 xml:space="preserve">מכאן, שעל מנת להכיר בתאונה כתאונת עבודה, על התובע להוכיח שכתוצאה מהרמת משקל, גבו למעשה "נתפס", כאשר ככל שאותם הכאבים הנטענים כקשורים לאירוע שאירע בעבודה אינם מדווחים בהזדמנות הראשונה בה המבוטח ניגש לקבלת טיפול רפואי, עליו להביא ראשית ראיה כי אכן ארע האירוע לו הוא טוען. נפסק כי הראיה יכולה להיות ישירה, כזו המועלית על ידי המבוטח עצמו, וככל הנדרש – בסיוע של עדים אחרים אשר נכחו בעת התאונה (ר' </w:t>
      </w:r>
      <w:hyperlink w:history="1" r:id="rId22">
        <w:r w:rsidRPr="004B6D08">
          <w:rPr>
            <w:rFonts w:hint="cs" w:ascii="Calibri" w:hAnsi="Calibri" w:eastAsia="Calibri"/>
            <w:noProof w:val="0"/>
            <w:rtl/>
          </w:rPr>
          <w:t>דב"ע מד/0-90</w:t>
        </w:r>
      </w:hyperlink>
      <w:r w:rsidRPr="00FC5B6A">
        <w:rPr>
          <w:rFonts w:hint="cs" w:ascii="Calibri" w:hAnsi="Calibri" w:eastAsia="Calibri"/>
          <w:noProof w:val="0"/>
          <w:rtl/>
        </w:rPr>
        <w:t xml:space="preserve"> צבי שפיר נ' המוסד לביטוח לאומי </w:t>
      </w:r>
      <w:r w:rsidRPr="00FC5B6A">
        <w:rPr>
          <w:rFonts w:hint="cs" w:eastAsia="Calibri"/>
          <w:noProof w:val="0"/>
          <w:sz w:val="22"/>
          <w:rtl/>
        </w:rPr>
        <w:t xml:space="preserve">[פורסם בנבו] </w:t>
      </w:r>
      <w:r w:rsidRPr="00FC5B6A">
        <w:rPr>
          <w:rFonts w:hint="cs" w:ascii="Calibri" w:hAnsi="Calibri" w:eastAsia="Calibri"/>
          <w:noProof w:val="0"/>
          <w:rtl/>
        </w:rPr>
        <w:t>פד"ע טז 93).</w:t>
      </w:r>
    </w:p>
    <w:p w:rsidRPr="00FC5B6A" w:rsidR="00FC5B6A" w:rsidP="00FC5B6A"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בית הדין הארצי חזר על ההלכות הנ"ל ב</w:t>
      </w:r>
      <w:hyperlink w:history="1" r:id="rId23">
        <w:r w:rsidRPr="004B6D08">
          <w:rPr>
            <w:rFonts w:hint="cs" w:ascii="Calibri" w:hAnsi="Calibri" w:eastAsia="Calibri"/>
            <w:noProof w:val="0"/>
            <w:rtl/>
          </w:rPr>
          <w:t>עב"ל (ארצי) 45780-04-12</w:t>
        </w:r>
      </w:hyperlink>
      <w:r w:rsidRPr="00FC5B6A">
        <w:rPr>
          <w:rFonts w:hint="cs" w:ascii="Calibri" w:hAnsi="Calibri" w:eastAsia="Calibri"/>
          <w:noProof w:val="0"/>
          <w:rtl/>
        </w:rPr>
        <w:t xml:space="preserve">‏ ‏מכנס – המוסד לביטוח לאומי, [פורסם בנבו] ניתן ביום 2.7.2014, וקבע כי: " </w:t>
      </w:r>
      <w:r w:rsidRPr="00FC5B6A">
        <w:rPr>
          <w:rFonts w:hint="cs" w:ascii="Calibri" w:hAnsi="Calibri" w:eastAsia="Calibri"/>
          <w:b/>
          <w:bCs/>
          <w:noProof w:val="0"/>
          <w:rtl/>
        </w:rPr>
        <w:t xml:space="preserve">... עת "נתפס" גבו של מבוטח תוך כדי </w:t>
      </w:r>
      <w:r w:rsidRPr="00FC5B6A">
        <w:rPr>
          <w:rFonts w:hint="cs" w:ascii="Calibri" w:hAnsi="Calibri" w:eastAsia="Calibri"/>
          <w:b/>
          <w:bCs/>
          <w:noProof w:val="0"/>
          <w:rtl/>
        </w:rPr>
        <w:lastRenderedPageBreak/>
        <w:t>עבודתו – ככלל לא יכחיש המוסד לביטוח לאומי את הקשר הסיבתי הרפואי בין העבודה לבין הפגיעה בגב. וכך נקבע באותו מקרה: "ברוב המכריע של המקרים, עת מעמידים את התובענה במסגרת הנכונה - דמי פגיעה - וקובעים את העובדות הצריכות לעניין, כך שברור כי הגב 'נתפס' במהלך העבודה, לא יכחיש המוסד לביטוח לאומי זכאות לדמי פגיעה...</w:t>
      </w:r>
      <w:r w:rsidRPr="00FC5B6A">
        <w:rPr>
          <w:rFonts w:hint="cs" w:ascii="Calibri" w:hAnsi="Calibri" w:eastAsia="Calibri"/>
          <w:noProof w:val="0"/>
          <w:rtl/>
        </w:rPr>
        <w:t xml:space="preserve">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לאחר שמיעת העדויות ושקילת הראיות שהובאו לפנינו, הגענו לידי מסקנה כי התובע הרים את נטל הראיה בדבר התרחשות של אירוע בעבודה מיום 16.3.16, נפרט את נימוקינו להלן:</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אין בידנו לקבל את טענת הנתבע כי התובע לא הוכיח את קיומו של אירוע תאונתי מיום 16.3.16. שכן כאמור לעיל, די בראשית ראיה לצורך הוכחתה של תאונה תוך כדי עבודה, ולטעמנו התובע עמד בנטל זה. שכן תיאורו של התובע את האירוע הנטען שבנדון, היה אמין ורציף, כמפורט. </w:t>
      </w:r>
    </w:p>
    <w:p w:rsidRPr="00FC5B6A" w:rsidR="00FC5B6A" w:rsidP="00FC5B6A" w:rsidRDefault="00FC5B6A">
      <w:pPr>
        <w:numPr>
          <w:ilvl w:val="0"/>
          <w:numId w:val="1"/>
        </w:numPr>
        <w:spacing w:after="160" w:line="360" w:lineRule="auto"/>
        <w:contextualSpacing/>
        <w:jc w:val="both"/>
        <w:rPr>
          <w:rFonts w:ascii="Calibri" w:hAnsi="Calibri" w:eastAsia="Calibri"/>
          <w:b/>
          <w:bCs/>
          <w:noProof w:val="0"/>
        </w:rPr>
      </w:pPr>
      <w:r w:rsidRPr="00FC5B6A">
        <w:rPr>
          <w:rFonts w:hint="cs" w:ascii="Calibri" w:hAnsi="Calibri" w:eastAsia="Calibri"/>
          <w:noProof w:val="0"/>
          <w:rtl/>
        </w:rPr>
        <w:t>באשר לאופן התרחשות התאונה בטופס ההודעה על פגיעה בעבודה, תוארה התאונה על ידי התובע, כך: "</w:t>
      </w:r>
      <w:r w:rsidRPr="00FC5B6A">
        <w:rPr>
          <w:rFonts w:hint="cs" w:ascii="Calibri" w:hAnsi="Calibri" w:eastAsia="Calibri"/>
          <w:b/>
          <w:bCs/>
          <w:noProof w:val="0"/>
          <w:rtl/>
        </w:rPr>
        <w:t>חיברתי שתי ...(קונטנרים) יחד. מלאים ביד ותוך כדי נתפס לי הגב"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עיון בתצהיר התובע בסעיף 3 הצהיר התובע:</w:t>
      </w:r>
      <w:r w:rsidRPr="00FC5B6A">
        <w:rPr>
          <w:rFonts w:hint="cs" w:ascii="Calibri" w:hAnsi="Calibri" w:eastAsia="Calibri"/>
          <w:b/>
          <w:bCs/>
          <w:noProof w:val="0"/>
          <w:rtl/>
        </w:rPr>
        <w:t xml:space="preserve"> "ביום 16.3.16 במשמרת בוקר שהחלה בשעה 4.00 ושהייתה אמורה להסתיים בשעה 14.00, עסקתי בהטענת מטוס של חברת אלאיטליה יחד עם עוד שני חברים לצוות ישראל אלאשוילי ומאיר כהן ז"ל. במהלך טעינת המטוס, חברתי בין דוליסים –עגלות, שעליהם מונחים הקונטנריים המיועדים למשלוח לאיטליה. פעולת חיבור העגלות אחד לשני, הינה פעולה המצריכה כיפוף ומאמץ פיזי רב. תוך כדי פעילות בין הדולסים, כשעה לאחר תחילת המשמרת,  הרגשתי כאב חד בגס תחתון ועקב כך " נתפס" לי הגב... כתוצאה מהתאונה לא יכולתי ליישר את הגב, ולכן נשכבתי על ריצפת רחבת הטעינה כדי שהכאב יעבור. </w:t>
      </w:r>
      <w:r w:rsidRPr="00FC5B6A">
        <w:rPr>
          <w:rFonts w:hint="cs" w:ascii="Calibri" w:hAnsi="Calibri" w:eastAsia="Calibri"/>
          <w:noProof w:val="0"/>
          <w:rtl/>
        </w:rPr>
        <w:t>" ר' סעיפים 3-7 לתצהיר התובע.</w:t>
      </w:r>
    </w:p>
    <w:p w:rsidRPr="00FC5B6A" w:rsidR="00FC5B6A" w:rsidP="00FC5B6A" w:rsidRDefault="00FC5B6A">
      <w:pPr>
        <w:spacing w:after="160" w:line="256" w:lineRule="auto"/>
        <w:ind w:left="720"/>
        <w:contextualSpacing/>
        <w:rPr>
          <w:rFonts w:ascii="Calibri" w:hAnsi="Calibri" w:eastAsia="Calibri"/>
          <w:noProof w:val="0"/>
        </w:rPr>
      </w:pPr>
    </w:p>
    <w:p w:rsidRPr="00FC5B6A" w:rsidR="00FC5B6A" w:rsidP="004B6D08"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גם עיון בחקירתו הנגדית של התובע במהלך דיון ההוכחות מעלה כי תצהירו לא נסתר בכל הנוגע לאירוע התאונה</w:t>
      </w:r>
      <w:r w:rsidRPr="00FC5B6A">
        <w:rPr>
          <w:rFonts w:hint="cs" w:ascii="Calibri" w:hAnsi="Calibri" w:eastAsia="Calibri"/>
          <w:b/>
          <w:bCs/>
          <w:noProof w:val="0"/>
          <w:rtl/>
        </w:rPr>
        <w:t>:" ..הוא ראה אותי מוטל על הרצפה, שאל אותי מה קרה, אמרתי לו שניסיתי לחבר שני דוליסים, עגלות שמונחות עליהם המזוודות, זה בעצם קונטיינר שמונח על הדוליס ובתוכו המזוודות והוא שוקל הרבה, ואם יש מזוודות אז זה כפליים. תוך כדי החיבור כאבי תופת בגב. נשכבתי , לא יכולתי לזוז... כשאני באתי לחבר את הדוליס הרגשתי לחץ. הדוליס עצמו הוא בגובה של אולי ח</w:t>
      </w:r>
      <w:r w:rsidR="004B6D08">
        <w:rPr>
          <w:rFonts w:hint="cs" w:ascii="Calibri" w:hAnsi="Calibri" w:eastAsia="Calibri"/>
          <w:b/>
          <w:bCs/>
          <w:noProof w:val="0"/>
          <w:rtl/>
        </w:rPr>
        <w:t>צ</w:t>
      </w:r>
      <w:r w:rsidRPr="00FC5B6A">
        <w:rPr>
          <w:rFonts w:hint="cs" w:ascii="Calibri" w:hAnsi="Calibri" w:eastAsia="Calibri"/>
          <w:b/>
          <w:bCs/>
          <w:noProof w:val="0"/>
          <w:rtl/>
        </w:rPr>
        <w:t>י מטר בערך, וכדי לקחת את הדוליס ולחבר אותו עם השני צריך להתכופף ולמשוך. תוך כדי המשיכה הרגשתי כאב ונתפס לי הגב וישבתי . ולא חיברתי את הדוליס ונשכבתי על הקרקע. לא יכולתי להתרומם עד שהגיע ישראל וגם לו היה קשה להרים אותי. היה עוד אחד מאיר כהן, אבל הוא נפטר. הוא גם היה נוכח."</w:t>
      </w:r>
      <w:r w:rsidRPr="00FC5B6A">
        <w:rPr>
          <w:rFonts w:hint="cs" w:ascii="Calibri" w:hAnsi="Calibri" w:eastAsia="Calibri"/>
          <w:noProof w:val="0"/>
          <w:rtl/>
        </w:rPr>
        <w:t xml:space="preserve"> ר' עמ' 4 שורות 5-23. </w:t>
      </w:r>
    </w:p>
    <w:p w:rsidRPr="00FC5B6A" w:rsidR="00FC5B6A" w:rsidP="00FC5B6A" w:rsidRDefault="00FC5B6A">
      <w:pPr>
        <w:spacing w:after="160" w:line="256" w:lineRule="auto"/>
        <w:ind w:left="720"/>
        <w:contextualSpacing/>
        <w:rPr>
          <w:rFonts w:ascii="Calibri" w:hAnsi="Calibri" w:eastAsia="Calibri"/>
          <w:noProof w:val="0"/>
        </w:rPr>
      </w:pPr>
    </w:p>
    <w:p w:rsidRPr="00FC5B6A" w:rsidR="00FC5B6A" w:rsidP="004B6D08"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כמו כן גרסתו של התובע עולה בקנה</w:t>
      </w:r>
      <w:r w:rsidR="004B6D08">
        <w:rPr>
          <w:rFonts w:hint="cs" w:ascii="Calibri" w:hAnsi="Calibri" w:eastAsia="Calibri"/>
          <w:noProof w:val="0"/>
          <w:rtl/>
        </w:rPr>
        <w:t xml:space="preserve"> אחד עם תצהירו של מר ישראל אלאש</w:t>
      </w:r>
      <w:r w:rsidRPr="00FC5B6A">
        <w:rPr>
          <w:rFonts w:hint="cs" w:ascii="Calibri" w:hAnsi="Calibri" w:eastAsia="Calibri"/>
          <w:noProof w:val="0"/>
          <w:rtl/>
        </w:rPr>
        <w:t>וילי שהצהיר כי:"</w:t>
      </w:r>
      <w:r w:rsidRPr="00FC5B6A">
        <w:rPr>
          <w:rFonts w:hint="cs" w:ascii="Calibri" w:hAnsi="Calibri" w:eastAsia="Calibri"/>
          <w:b/>
          <w:bCs/>
          <w:noProof w:val="0"/>
          <w:rtl/>
        </w:rPr>
        <w:t>ביום 16.3.16 עבדתי יחד עם יצחק כהן ואחרים, במשמרת בוקר בטעינת מטוס של חברת אליא</w:t>
      </w:r>
      <w:r w:rsidR="004B6D08">
        <w:rPr>
          <w:rFonts w:hint="cs" w:ascii="Calibri" w:hAnsi="Calibri" w:eastAsia="Calibri"/>
          <w:b/>
          <w:bCs/>
          <w:noProof w:val="0"/>
          <w:rtl/>
        </w:rPr>
        <w:t>יט</w:t>
      </w:r>
      <w:r w:rsidRPr="00FC5B6A">
        <w:rPr>
          <w:rFonts w:hint="cs" w:ascii="Calibri" w:hAnsi="Calibri" w:eastAsia="Calibri"/>
          <w:b/>
          <w:bCs/>
          <w:noProof w:val="0"/>
          <w:rtl/>
        </w:rPr>
        <w:t>ליה. כשעה לאחר תחילת העבודה הבחנתי שטעינת הקונטנריים הופסקה ועומדים במקום. התקרבתי לקונט</w:t>
      </w:r>
      <w:r w:rsidR="004B6D08">
        <w:rPr>
          <w:rFonts w:hint="cs" w:ascii="Calibri" w:hAnsi="Calibri" w:eastAsia="Calibri"/>
          <w:b/>
          <w:bCs/>
          <w:noProof w:val="0"/>
          <w:rtl/>
        </w:rPr>
        <w:t>נ</w:t>
      </w:r>
      <w:r w:rsidRPr="00FC5B6A">
        <w:rPr>
          <w:rFonts w:hint="cs" w:ascii="Calibri" w:hAnsi="Calibri" w:eastAsia="Calibri"/>
          <w:b/>
          <w:bCs/>
          <w:noProof w:val="0"/>
          <w:rtl/>
        </w:rPr>
        <w:t xml:space="preserve">ריים וראיתי את יצחק שרוע על המסלול. יצחק אמר שנתפס לו הגב ולא יכול לזוז . הצעתי ליצחק לפנותו למרפאה אולם בתחילה יצחק סירב ואמר שקיבל מכה ותיכף זה יעבור. לאחר כמה דקות כשראיתי שיצחק עדיין מתפתל מכאבים הצלחתי לשכנע </w:t>
      </w:r>
      <w:r w:rsidRPr="00FC5B6A">
        <w:rPr>
          <w:rFonts w:hint="cs" w:ascii="Calibri" w:hAnsi="Calibri" w:eastAsia="Calibri"/>
          <w:b/>
          <w:bCs/>
          <w:noProof w:val="0"/>
          <w:rtl/>
        </w:rPr>
        <w:lastRenderedPageBreak/>
        <w:t>את יצחק שאקח אותו לחדר עד שהכאב יעבור. ובשעה 7.30 לקחתי אותו מחדר המנוחה למרפאה ושם קיבל טיפול במשככי כאבים". ר' סעיפים 2</w:t>
      </w:r>
      <w:r w:rsidR="004B6D08">
        <w:rPr>
          <w:rFonts w:hint="cs" w:ascii="Calibri" w:hAnsi="Calibri" w:eastAsia="Calibri"/>
          <w:b/>
          <w:bCs/>
          <w:noProof w:val="0"/>
          <w:rtl/>
        </w:rPr>
        <w:t>-</w:t>
      </w:r>
      <w:r w:rsidRPr="00FC5B6A">
        <w:rPr>
          <w:rFonts w:hint="cs" w:ascii="Calibri" w:hAnsi="Calibri" w:eastAsia="Calibri"/>
          <w:b/>
          <w:bCs/>
          <w:noProof w:val="0"/>
          <w:rtl/>
        </w:rPr>
        <w:t xml:space="preserve">4 לתצהירו. </w:t>
      </w:r>
      <w:r w:rsidRPr="00FC5B6A">
        <w:rPr>
          <w:rFonts w:hint="cs" w:ascii="Calibri" w:hAnsi="Calibri" w:eastAsia="Calibri"/>
          <w:noProof w:val="0"/>
          <w:rtl/>
        </w:rPr>
        <w:t>עיון בחקירתו הנגדית מעלה כי תצהירו לא נסתר, כמצוטט:</w:t>
      </w:r>
      <w:r w:rsidRPr="00FC5B6A">
        <w:rPr>
          <w:rFonts w:hint="cs" w:ascii="Calibri" w:hAnsi="Calibri" w:eastAsia="Calibri"/>
          <w:b/>
          <w:bCs/>
          <w:noProof w:val="0"/>
          <w:rtl/>
        </w:rPr>
        <w:t>" .. כשאני הגעתי עם הטרקטור מהאייר גורדן  יצחק היה שוכב למטה על הרצפה ועצרתי את הטרקטור, ירדתי אליו, הוא אמר לי שהיה לו כאבים, פיניתי אותו למחלקה. התקשרתי למונית גם , לראש משמרת.. הוא אמר לי שהוא משך את הדוליס, יש לו רצועות כאלה, כמעט 30 ר5 מהסבלים שלנו נופלים מזה ונמצאים בתאונות עבודה. גם לי יש כבר 3 פריצות דיסק, ואני לא יכול להרים שום דבר"</w:t>
      </w:r>
      <w:r w:rsidRPr="00FC5B6A">
        <w:rPr>
          <w:rFonts w:hint="cs" w:ascii="Calibri" w:hAnsi="Calibri" w:eastAsia="Calibri"/>
          <w:noProof w:val="0"/>
          <w:rtl/>
        </w:rPr>
        <w:t xml:space="preserve"> ר' עמ' 7 שורות 1-25. </w:t>
      </w:r>
    </w:p>
    <w:p w:rsidRPr="00FC5B6A" w:rsidR="00FC5B6A" w:rsidP="00FC5B6A" w:rsidRDefault="00FC5B6A">
      <w:pPr>
        <w:spacing w:after="160" w:line="256" w:lineRule="auto"/>
        <w:ind w:left="720"/>
        <w:contextualSpacing/>
        <w:rPr>
          <w:rFonts w:ascii="Calibri" w:hAnsi="Calibri" w:eastAsia="Calibri"/>
          <w:noProof w:val="0"/>
        </w:rPr>
      </w:pPr>
    </w:p>
    <w:p w:rsidRPr="00FC5B6A" w:rsidR="00FC5B6A" w:rsidP="00FC5B6A" w:rsidRDefault="00FC5B6A">
      <w:pPr>
        <w:numPr>
          <w:ilvl w:val="0"/>
          <w:numId w:val="1"/>
        </w:numPr>
        <w:spacing w:after="160" w:line="360" w:lineRule="auto"/>
        <w:contextualSpacing/>
        <w:jc w:val="both"/>
        <w:rPr>
          <w:rFonts w:hint="cs" w:ascii="Calibri" w:hAnsi="Calibri" w:eastAsia="Calibri"/>
          <w:b/>
          <w:bCs/>
          <w:noProof w:val="0"/>
          <w:rtl/>
        </w:rPr>
      </w:pPr>
      <w:r w:rsidRPr="00FC5B6A">
        <w:rPr>
          <w:rFonts w:hint="cs" w:ascii="Calibri" w:hAnsi="Calibri" w:eastAsia="Calibri"/>
          <w:noProof w:val="0"/>
          <w:rtl/>
        </w:rPr>
        <w:t xml:space="preserve">כמו כן עיון בנספח 1 מעלה כי עוד ביום 17.3.16 יש דו"ח תאונה/גיהות בעבודה חתום על ידי </w:t>
      </w:r>
      <w:r w:rsidR="004B6D08">
        <w:rPr>
          <w:rFonts w:hint="cs" w:ascii="Calibri" w:hAnsi="Calibri" w:eastAsia="Calibri"/>
          <w:noProof w:val="0"/>
          <w:rtl/>
        </w:rPr>
        <w:t>התובע והמנהל הישיר וגם שם ת</w:t>
      </w:r>
      <w:r w:rsidRPr="00FC5B6A">
        <w:rPr>
          <w:rFonts w:hint="cs" w:ascii="Calibri" w:hAnsi="Calibri" w:eastAsia="Calibri"/>
          <w:noProof w:val="0"/>
          <w:rtl/>
        </w:rPr>
        <w:t xml:space="preserve">יאור התאונה, </w:t>
      </w:r>
      <w:r w:rsidR="004B6D08">
        <w:rPr>
          <w:rFonts w:hint="cs" w:ascii="Calibri" w:hAnsi="Calibri" w:eastAsia="Calibri"/>
          <w:noProof w:val="0"/>
          <w:rtl/>
        </w:rPr>
        <w:t xml:space="preserve">הינו </w:t>
      </w:r>
      <w:r w:rsidRPr="00FC5B6A">
        <w:rPr>
          <w:rFonts w:hint="cs" w:ascii="Calibri" w:hAnsi="Calibri" w:eastAsia="Calibri"/>
          <w:noProof w:val="0"/>
          <w:rtl/>
        </w:rPr>
        <w:t xml:space="preserve">כמפורט:" </w:t>
      </w:r>
      <w:r w:rsidRPr="00FC5B6A">
        <w:rPr>
          <w:rFonts w:hint="cs" w:ascii="Calibri" w:hAnsi="Calibri" w:eastAsia="Calibri"/>
          <w:b/>
          <w:bCs/>
          <w:noProof w:val="0"/>
          <w:rtl/>
        </w:rPr>
        <w:t>ניסיתי לחבר את הדולסים +2 קונטניירים...ברגע שהתכופפתי למשוך את הדוליס לא יכולתי להתיישר ולעמוד זקוף על הרגליים. יש לציין ש-2 הקונטיינרים היו מלאים במטען"</w:t>
      </w:r>
    </w:p>
    <w:p w:rsidRPr="00FC5B6A" w:rsidR="00FC5B6A" w:rsidP="00FC5B6A" w:rsidRDefault="00FC5B6A">
      <w:pPr>
        <w:spacing w:after="160" w:line="256" w:lineRule="auto"/>
        <w:ind w:left="720"/>
        <w:contextualSpacing/>
        <w:rPr>
          <w:rFonts w:hint="cs" w:ascii="Calibri" w:hAnsi="Calibri" w:eastAsia="Calibri"/>
          <w:noProof w:val="0"/>
          <w:rtl/>
        </w:rPr>
      </w:pPr>
    </w:p>
    <w:p w:rsidRPr="00FC5B6A" w:rsidR="00FC5B6A" w:rsidP="004B6D08" w:rsidRDefault="00FC5B6A">
      <w:pPr>
        <w:numPr>
          <w:ilvl w:val="0"/>
          <w:numId w:val="1"/>
        </w:numPr>
        <w:spacing w:after="160" w:line="360" w:lineRule="auto"/>
        <w:contextualSpacing/>
        <w:jc w:val="both"/>
        <w:rPr>
          <w:rFonts w:hint="cs" w:ascii="Calibri" w:hAnsi="Calibri" w:eastAsia="Calibri"/>
          <w:b/>
          <w:bCs/>
          <w:noProof w:val="0"/>
          <w:rtl/>
        </w:rPr>
      </w:pPr>
      <w:r w:rsidRPr="00FC5B6A">
        <w:rPr>
          <w:rFonts w:hint="cs" w:ascii="Calibri" w:hAnsi="Calibri" w:eastAsia="Calibri"/>
          <w:noProof w:val="0"/>
          <w:rtl/>
        </w:rPr>
        <w:t>נציין כי ערים אנו כי התובע בעד</w:t>
      </w:r>
      <w:r w:rsidR="004B6D08">
        <w:rPr>
          <w:rFonts w:hint="cs" w:ascii="Calibri" w:hAnsi="Calibri" w:eastAsia="Calibri"/>
          <w:noProof w:val="0"/>
          <w:rtl/>
        </w:rPr>
        <w:t>ו</w:t>
      </w:r>
      <w:r w:rsidRPr="00FC5B6A">
        <w:rPr>
          <w:rFonts w:hint="cs" w:ascii="Calibri" w:hAnsi="Calibri" w:eastAsia="Calibri"/>
          <w:noProof w:val="0"/>
          <w:rtl/>
        </w:rPr>
        <w:t xml:space="preserve">תו ציין כי הגיע למרפאה לאחר שנפגע אולם לא הציג כל אישור לכך וכי בעדותו הבהיר בנוגע לאמור כי :" </w:t>
      </w:r>
      <w:r w:rsidRPr="00FC5B6A">
        <w:rPr>
          <w:rFonts w:hint="cs" w:ascii="Calibri" w:hAnsi="Calibri" w:eastAsia="Calibri"/>
          <w:b/>
          <w:bCs/>
          <w:noProof w:val="0"/>
          <w:rtl/>
        </w:rPr>
        <w:t xml:space="preserve">האחראי מרפאה לא רשם אותי. בדרך כלל כשבאים לשם, לוקחים מספר ורושמים אותו. הם לא מצאו את הטופס שאני הגעתי להביא את הטופס הזה . ... " ר' עמ' 5 שורות13-21. </w:t>
      </w:r>
      <w:r w:rsidRPr="00FC5B6A">
        <w:rPr>
          <w:rFonts w:hint="cs" w:ascii="Calibri" w:hAnsi="Calibri" w:eastAsia="Calibri"/>
          <w:noProof w:val="0"/>
          <w:rtl/>
        </w:rPr>
        <w:t>מעבר לאמור, בהתאם להחלטת בית הדין התובע הציג לאחר דיון ההוכחות אישור ממנהל</w:t>
      </w:r>
      <w:r w:rsidR="004B6D08">
        <w:rPr>
          <w:rFonts w:hint="cs" w:ascii="Calibri" w:hAnsi="Calibri" w:eastAsia="Calibri"/>
          <w:noProof w:val="0"/>
          <w:rtl/>
        </w:rPr>
        <w:t xml:space="preserve"> מחלקת עזרה ראשונה בנתב"ג לפיו </w:t>
      </w:r>
      <w:r w:rsidRPr="00FC5B6A">
        <w:rPr>
          <w:rFonts w:hint="cs" w:ascii="Calibri" w:hAnsi="Calibri" w:eastAsia="Calibri"/>
          <w:noProof w:val="0"/>
          <w:rtl/>
        </w:rPr>
        <w:t>רישו</w:t>
      </w:r>
      <w:r w:rsidR="004B6D08">
        <w:rPr>
          <w:rFonts w:hint="cs" w:ascii="Calibri" w:hAnsi="Calibri" w:eastAsia="Calibri"/>
          <w:noProof w:val="0"/>
          <w:rtl/>
        </w:rPr>
        <w:t>ם</w:t>
      </w:r>
      <w:r w:rsidRPr="00FC5B6A">
        <w:rPr>
          <w:rFonts w:hint="cs" w:ascii="Calibri" w:hAnsi="Calibri" w:eastAsia="Calibri"/>
          <w:noProof w:val="0"/>
          <w:rtl/>
        </w:rPr>
        <w:t xml:space="preserve"> מחלקת עזרה ראשונה , אינו נרשם ונשלח לרופא מטפל".</w:t>
      </w:r>
    </w:p>
    <w:p w:rsidRPr="00FC5B6A" w:rsidR="00FC5B6A" w:rsidP="00FC5B6A" w:rsidRDefault="00FC5B6A">
      <w:pPr>
        <w:spacing w:after="160" w:line="256" w:lineRule="auto"/>
        <w:ind w:left="720"/>
        <w:contextualSpacing/>
        <w:rPr>
          <w:rFonts w:ascii="Calibri" w:hAnsi="Calibri" w:eastAsia="Calibri"/>
          <w:noProof w:val="0"/>
        </w:rPr>
      </w:pPr>
    </w:p>
    <w:p w:rsidRPr="00FC5B6A" w:rsidR="00FC5B6A" w:rsidP="00FC5B6A"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משכך, לא מצאנו כי גרסת התובע באשר לקרות האירוע נסתרה, והיא מהווה ראשית ראיה. לטעמנו עדות התובע עשתה רושם מהימן והתרשמנו כי עדותו היתה עקבית ואמינה ונתמכה בעדות מר ישראל אלאשווילי.</w:t>
      </w:r>
    </w:p>
    <w:p w:rsidRPr="00FC5B6A" w:rsidR="00FC5B6A" w:rsidP="00FC5B6A" w:rsidRDefault="00FC5B6A">
      <w:pPr>
        <w:numPr>
          <w:ilvl w:val="0"/>
          <w:numId w:val="1"/>
        </w:numPr>
        <w:spacing w:after="160" w:line="360" w:lineRule="auto"/>
        <w:contextualSpacing/>
        <w:jc w:val="both"/>
        <w:rPr>
          <w:rFonts w:hint="cs" w:ascii="Calibri" w:hAnsi="Calibri" w:eastAsia="Calibri"/>
          <w:noProof w:val="0"/>
          <w:rtl/>
        </w:rPr>
      </w:pPr>
      <w:r w:rsidRPr="00FC5B6A">
        <w:rPr>
          <w:rFonts w:hint="cs" w:ascii="Calibri" w:hAnsi="Calibri" w:eastAsia="Calibri"/>
          <w:noProof w:val="0"/>
          <w:rtl/>
        </w:rPr>
        <w:t xml:space="preserve">הלכה פסוקה היא כי בית הדין בבואו לקבוע את עצם קיומו של אירוע נותן משקל רב לאנמנזה הרפואית, כפי שנרשמה (ר' </w:t>
      </w:r>
      <w:hyperlink w:history="1" r:id="rId24">
        <w:r w:rsidRPr="00F41E2D">
          <w:rPr>
            <w:rFonts w:hint="cs" w:ascii="Calibri" w:hAnsi="Calibri" w:eastAsia="Calibri"/>
            <w:noProof w:val="0"/>
            <w:rtl/>
          </w:rPr>
          <w:t>עב"ל (ארצי) 176/99</w:t>
        </w:r>
      </w:hyperlink>
      <w:r w:rsidRPr="00FC5B6A">
        <w:rPr>
          <w:rFonts w:hint="cs" w:ascii="Calibri" w:hAnsi="Calibri" w:eastAsia="Calibri"/>
          <w:noProof w:val="0"/>
          <w:rtl/>
        </w:rPr>
        <w:t xml:space="preserve"> </w:t>
      </w:r>
      <w:r w:rsidRPr="00FC5B6A">
        <w:rPr>
          <w:rFonts w:hint="cs" w:ascii="Calibri" w:hAnsi="Calibri" w:eastAsia="Calibri"/>
          <w:b/>
          <w:bCs/>
          <w:noProof w:val="0"/>
          <w:rtl/>
        </w:rPr>
        <w:t>דניאל גרץ – המוסד לביטוח לאומי</w:t>
      </w:r>
      <w:r w:rsidRPr="00FC5B6A">
        <w:rPr>
          <w:rFonts w:hint="cs" w:ascii="Calibri" w:hAnsi="Calibri" w:eastAsia="Calibri"/>
          <w:noProof w:val="0"/>
          <w:rtl/>
        </w:rPr>
        <w:t xml:space="preserve"> [פורסם בנבו] (ניתן ביום 16.7.2002); </w:t>
      </w:r>
      <w:hyperlink w:history="1" r:id="rId25">
        <w:r w:rsidRPr="00F41E2D">
          <w:rPr>
            <w:rFonts w:hint="cs" w:ascii="Calibri" w:hAnsi="Calibri" w:eastAsia="Calibri"/>
            <w:noProof w:val="0"/>
            <w:rtl/>
          </w:rPr>
          <w:t>עב"ל (ארצי) 45989-06-10</w:t>
        </w:r>
      </w:hyperlink>
      <w:r w:rsidRPr="00FC5B6A">
        <w:rPr>
          <w:rFonts w:hint="cs" w:ascii="Calibri" w:hAnsi="Calibri" w:eastAsia="Calibri"/>
          <w:noProof w:val="0"/>
          <w:rtl/>
        </w:rPr>
        <w:t xml:space="preserve"> </w:t>
      </w:r>
      <w:r w:rsidRPr="00FC5B6A">
        <w:rPr>
          <w:rFonts w:hint="cs" w:ascii="Calibri" w:hAnsi="Calibri" w:eastAsia="Calibri"/>
          <w:b/>
          <w:bCs/>
          <w:noProof w:val="0"/>
          <w:rtl/>
        </w:rPr>
        <w:t>המוסד לביטוח לאומי – אברהם יונאני</w:t>
      </w:r>
      <w:r w:rsidRPr="00FC5B6A">
        <w:rPr>
          <w:rFonts w:hint="cs" w:ascii="Calibri" w:hAnsi="Calibri" w:eastAsia="Calibri"/>
          <w:noProof w:val="0"/>
          <w:rtl/>
        </w:rPr>
        <w:t xml:space="preserve"> </w:t>
      </w:r>
      <w:r w:rsidRPr="00FC5B6A">
        <w:rPr>
          <w:rFonts w:hint="cs" w:eastAsia="Calibri"/>
          <w:noProof w:val="0"/>
          <w:sz w:val="22"/>
          <w:rtl/>
        </w:rPr>
        <w:t xml:space="preserve">[פורסם בנבו] </w:t>
      </w:r>
      <w:r w:rsidRPr="00FC5B6A">
        <w:rPr>
          <w:rFonts w:hint="cs" w:ascii="Calibri" w:hAnsi="Calibri" w:eastAsia="Calibri"/>
          <w:noProof w:val="0"/>
          <w:rtl/>
        </w:rPr>
        <w:t>(ניתן ביום 4.9.2012)).</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גם עיון במסמך הרפואי הראשון  מיום 20.3.16 המועד בו פנה התובע לראשונה למרפאה מעלה כי הבהיר כי מדובר באירוע שקרה במסגרת העבודה כמצוטט: </w:t>
      </w:r>
      <w:r w:rsidR="00F41E2D">
        <w:rPr>
          <w:rFonts w:hint="cs" w:ascii="Calibri" w:hAnsi="Calibri" w:eastAsia="Calibri"/>
          <w:noProof w:val="0"/>
          <w:rtl/>
        </w:rPr>
        <w:t>"</w:t>
      </w:r>
      <w:r w:rsidRPr="00FC5B6A">
        <w:rPr>
          <w:rFonts w:hint="cs" w:ascii="Calibri" w:hAnsi="Calibri" w:eastAsia="Calibri"/>
          <w:b/>
          <w:bCs/>
          <w:noProof w:val="0"/>
          <w:rtl/>
        </w:rPr>
        <w:t>מזה מספר ימים כאבים בגב תחתון שהופיעו עקב הרמת חפץ לדבריו בזמן העבודה. מאז כאבים בגב תחתון</w:t>
      </w:r>
      <w:r w:rsidRPr="00FC5B6A">
        <w:rPr>
          <w:rFonts w:hint="cs" w:ascii="Calibri" w:hAnsi="Calibri" w:eastAsia="Calibri"/>
          <w:noProof w:val="0"/>
          <w:rtl/>
        </w:rPr>
        <w:t>"</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בחקירתו הנגדית נשאל התובע על אותו חפץ המאוזכר לעיל והבהיר כי מדובר על הדוליס </w:t>
      </w:r>
      <w:r w:rsidRPr="00FC5B6A">
        <w:rPr>
          <w:rFonts w:hint="cs" w:ascii="Calibri" w:hAnsi="Calibri" w:eastAsia="Calibri"/>
          <w:b/>
          <w:bCs/>
          <w:noProof w:val="0"/>
          <w:rtl/>
        </w:rPr>
        <w:t>:" כנראה שהסברתי לו על סחיבה. ש. אתה לא מרים את הדוליס לסחוב אלא גורר אותו? ת: אני חייב להרים אותו כדי לסחוב. זה איצול, מן מוט כבד מברזל, בשביל למשוך את הדוליס צריך להרים אותו, כדי להכניס אותו לטבעת שננעלת עם סוגר ופין ביטחון."</w:t>
      </w:r>
      <w:r w:rsidRPr="00FC5B6A">
        <w:rPr>
          <w:rFonts w:hint="cs" w:ascii="Calibri" w:hAnsi="Calibri" w:eastAsia="Calibri"/>
          <w:noProof w:val="0"/>
          <w:rtl/>
        </w:rPr>
        <w:t xml:space="preserve"> ר' עמ' 6 שורות 1-5. </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lastRenderedPageBreak/>
        <w:t>לסיכום, משגרסת התובע לעצם קרות האירוע, אשר נתמכה בעדותו של מר ישראל אלאשווילי, מהימנה עלינו, ומשלא מצאנו כי הרישומים הרפואיים יש בהם בכדי לסתור את טענותיו, מצאנו כי יש לקבל את גרסתו באשר להתרחשות האירוע התאונתי.</w:t>
      </w:r>
    </w:p>
    <w:p w:rsidRPr="00FC5B6A" w:rsidR="00FC5B6A" w:rsidP="00FC5B6A"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לאור כל האמור מצאנו כי התובע הרים את הנטל להוכיח את קיומו של האירוע .</w:t>
      </w:r>
    </w:p>
    <w:p w:rsidRPr="00FC5B6A" w:rsidR="00FC5B6A" w:rsidP="00F41E2D" w:rsidRDefault="00FC5B6A">
      <w:pPr>
        <w:numPr>
          <w:ilvl w:val="0"/>
          <w:numId w:val="1"/>
        </w:numPr>
        <w:spacing w:after="160" w:line="360" w:lineRule="auto"/>
        <w:contextualSpacing/>
        <w:jc w:val="both"/>
        <w:rPr>
          <w:rFonts w:ascii="Calibri" w:hAnsi="Calibri" w:eastAsia="Calibri"/>
          <w:noProof w:val="0"/>
        </w:rPr>
      </w:pPr>
      <w:r w:rsidRPr="00FC5B6A">
        <w:rPr>
          <w:rFonts w:hint="cs" w:ascii="Calibri" w:hAnsi="Calibri" w:eastAsia="Calibri"/>
          <w:noProof w:val="0"/>
          <w:rtl/>
        </w:rPr>
        <w:t xml:space="preserve">עובר למתן החלטה בדבר מינוי מומחה רפואי יודיע הנתבע לא יאוחר מיום 20.4.18 האם יש צורך בכך או שניתן להגיע להסכמות </w:t>
      </w:r>
      <w:r w:rsidR="00F41E2D">
        <w:rPr>
          <w:rFonts w:hint="cs" w:ascii="Calibri" w:hAnsi="Calibri" w:eastAsia="Calibri"/>
          <w:noProof w:val="0"/>
          <w:rtl/>
        </w:rPr>
        <w:t xml:space="preserve">בנדון. </w:t>
      </w:r>
      <w:r w:rsidRPr="00FC5B6A">
        <w:rPr>
          <w:rFonts w:hint="cs" w:ascii="Calibri" w:hAnsi="Calibri" w:eastAsia="Calibri"/>
          <w:noProof w:val="0"/>
          <w:rtl/>
        </w:rPr>
        <w:t xml:space="preserve"> לעיוני ליום 20.4.18. </w:t>
      </w:r>
    </w:p>
    <w:p w:rsidRPr="00FC5B6A" w:rsidR="002C1C43" w:rsidP="00563391" w:rsidRDefault="002C1C43">
      <w:pPr>
        <w:spacing w:line="360" w:lineRule="auto"/>
        <w:jc w:val="both"/>
        <w:rPr>
          <w:b/>
          <w:bCs/>
          <w:sz w:val="28"/>
          <w:szCs w:val="28"/>
          <w:rtl/>
        </w:rPr>
      </w:pPr>
    </w:p>
    <w:p w:rsidRPr="00150BF3" w:rsidR="00F41E2D" w:rsidP="00364014" w:rsidRDefault="00F41E2D">
      <w:pPr>
        <w:rPr>
          <w:rtl/>
        </w:rPr>
      </w:pPr>
    </w:p>
    <w:p w:rsidRPr="00150BF3" w:rsidR="00F41E2D" w:rsidP="00364014" w:rsidRDefault="00F41E2D">
      <w:pPr>
        <w:rPr>
          <w:rtl/>
        </w:rPr>
      </w:pPr>
    </w:p>
    <w:tbl>
      <w:tblPr>
        <w:tblStyle w:val="a9"/>
        <w:bidiVisual/>
        <w:tblW w:w="85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556"/>
        <w:gridCol w:w="235"/>
        <w:gridCol w:w="2938"/>
        <w:gridCol w:w="235"/>
        <w:gridCol w:w="2630"/>
      </w:tblGrid>
      <w:tr w:rsidRPr="00150BF3" w:rsidR="00F41E2D" w:rsidTr="00405E99">
        <w:tc>
          <w:tcPr>
            <w:tcW w:w="2474" w:type="dxa"/>
            <w:tcBorders>
              <w:top w:val="nil"/>
              <w:left w:val="nil"/>
              <w:bottom w:val="single" w:color="auto" w:sz="4" w:space="0"/>
              <w:right w:val="nil"/>
            </w:tcBorders>
          </w:tcPr>
          <w:p w:rsidR="00F41E2D" w:rsidRDefault="00F41E2D">
            <w:r>
              <w:drawing>
                <wp:anchor distT="0" distB="0" distL="114300" distR="114300" simplePos="0" relativeHeight="251659264" behindDoc="1" locked="0" layoutInCell="1" allowOverlap="1">
                  <wp:simplePos x="0" y="0"/>
                  <wp:positionH relativeFrom="column">
                    <wp:posOffset>4686300</wp:posOffset>
                  </wp:positionH>
                  <wp:positionV relativeFrom="paragraph">
                    <wp:posOffset>-800100</wp:posOffset>
                  </wp:positionV>
                  <wp:extent cx="1480820" cy="974090"/>
                  <wp:effectExtent l="0" t="0" r="5080" b="0"/>
                  <wp:wrapTight wrapText="bothSides">
                    <wp:wrapPolygon edited="0">
                      <wp:start x="0" y="0"/>
                      <wp:lineTo x="0" y="21121"/>
                      <wp:lineTo x="21396" y="21121"/>
                      <wp:lineTo x="2139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l="43945" t="49486" r="43562" b="43213"/>
                          <a:stretch>
                            <a:fillRect/>
                          </a:stretch>
                        </pic:blipFill>
                        <pic:spPr bwMode="auto">
                          <a:xfrm>
                            <a:off x="0" y="0"/>
                            <a:ext cx="1480820" cy="974090"/>
                          </a:xfrm>
                          <a:prstGeom prst="rect">
                            <a:avLst/>
                          </a:prstGeom>
                          <a:noFill/>
                        </pic:spPr>
                      </pic:pic>
                    </a:graphicData>
                  </a:graphic>
                  <wp14:sizeRelH relativeFrom="page">
                    <wp14:pctWidth>0</wp14:pctWidth>
                  </wp14:sizeRelH>
                  <wp14:sizeRelV relativeFrom="page">
                    <wp14:pctHeight>0</wp14:pctHeight>
                  </wp14:sizeRelV>
                </wp:anchor>
              </w:drawing>
            </w:r>
          </w:p>
          <w:p w:rsidRPr="00150BF3" w:rsidR="00F41E2D" w:rsidP="00405E99" w:rsidRDefault="00F41E2D">
            <w:pPr>
              <w:jc w:val="center"/>
              <w:rPr>
                <w:b/>
                <w:bCs/>
              </w:rPr>
            </w:pPr>
          </w:p>
        </w:tc>
        <w:tc>
          <w:tcPr>
            <w:tcW w:w="236" w:type="dxa"/>
          </w:tcPr>
          <w:p w:rsidRPr="00150BF3" w:rsidR="00F41E2D" w:rsidP="00405E99" w:rsidRDefault="00F41E2D">
            <w:pPr>
              <w:jc w:val="center"/>
              <w:rPr>
                <w:b/>
                <w:bCs/>
              </w:rPr>
            </w:pPr>
          </w:p>
        </w:tc>
        <w:tc>
          <w:tcPr>
            <w:tcW w:w="2948" w:type="dxa"/>
            <w:tcBorders>
              <w:top w:val="nil"/>
              <w:left w:val="nil"/>
              <w:bottom w:val="single" w:color="auto" w:sz="4" w:space="0"/>
              <w:right w:val="nil"/>
            </w:tcBorders>
          </w:tcPr>
          <w:p w:rsidRPr="00150BF3" w:rsidR="00F41E2D" w:rsidP="00405E99" w:rsidRDefault="00F41E2D">
            <w:pPr>
              <w:jc w:val="center"/>
              <w:rPr>
                <w:b/>
                <w:bCs/>
              </w:rPr>
            </w:pPr>
            <w:r w:rsidRPr="00150BF3">
              <w:drawing>
                <wp:inline distT="0" distB="0" distL="0" distR="0" wp14:anchorId="06D75542" wp14:editId="0DEE6F9D">
                  <wp:extent cx="1630045" cy="381635"/>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l="44666" t="53012" r="24413" b="37349"/>
                          <a:stretch>
                            <a:fillRect/>
                          </a:stretch>
                        </pic:blipFill>
                        <pic:spPr bwMode="auto">
                          <a:xfrm>
                            <a:off x="0" y="0"/>
                            <a:ext cx="1630045" cy="381635"/>
                          </a:xfrm>
                          <a:prstGeom prst="rect">
                            <a:avLst/>
                          </a:prstGeom>
                          <a:noFill/>
                          <a:ln>
                            <a:noFill/>
                          </a:ln>
                        </pic:spPr>
                      </pic:pic>
                    </a:graphicData>
                  </a:graphic>
                </wp:inline>
              </w:drawing>
            </w:r>
          </w:p>
        </w:tc>
        <w:tc>
          <w:tcPr>
            <w:tcW w:w="236" w:type="dxa"/>
            <w:tcBorders>
              <w:top w:val="nil"/>
              <w:left w:val="nil"/>
              <w:bottom w:val="single" w:color="auto" w:sz="4" w:space="0"/>
              <w:right w:val="nil"/>
            </w:tcBorders>
          </w:tcPr>
          <w:p w:rsidRPr="00150BF3" w:rsidR="00F41E2D" w:rsidP="00405E99" w:rsidRDefault="00F41E2D">
            <w:pPr>
              <w:jc w:val="center"/>
              <w:rPr>
                <w:b/>
                <w:bCs/>
              </w:rPr>
            </w:pPr>
          </w:p>
        </w:tc>
        <w:tc>
          <w:tcPr>
            <w:tcW w:w="2700" w:type="dxa"/>
            <w:tcBorders>
              <w:top w:val="nil"/>
              <w:left w:val="nil"/>
              <w:bottom w:val="single" w:color="auto" w:sz="4" w:space="0"/>
              <w:right w:val="nil"/>
            </w:tcBorders>
          </w:tcPr>
          <w:p w:rsidR="00F41E2D" w:rsidRDefault="00F41E2D">
            <w:r>
              <w:drawing>
                <wp:inline distT="0" distB="0" distL="0" distR="0" wp14:anchorId="56817E40" wp14:editId="6B4C8B1A">
                  <wp:extent cx="927100" cy="45720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4065" t="44470" r="42752" b="47404"/>
                          <a:stretch/>
                        </pic:blipFill>
                        <pic:spPr bwMode="auto">
                          <a:xfrm>
                            <a:off x="0" y="0"/>
                            <a:ext cx="927589" cy="457441"/>
                          </a:xfrm>
                          <a:prstGeom prst="rect">
                            <a:avLst/>
                          </a:prstGeom>
                          <a:ln>
                            <a:noFill/>
                          </a:ln>
                          <a:extLst>
                            <a:ext uri="{53640926-AAD7-44D8-BBD7-CCE9431645EC}">
                              <a14:shadowObscured xmlns:a14="http://schemas.microsoft.com/office/drawing/2010/main"/>
                            </a:ext>
                          </a:extLst>
                        </pic:spPr>
                      </pic:pic>
                    </a:graphicData>
                  </a:graphic>
                </wp:inline>
              </w:drawing>
            </w:r>
          </w:p>
          <w:p w:rsidRPr="00150BF3" w:rsidR="00F41E2D" w:rsidP="00405E99" w:rsidRDefault="00F41E2D">
            <w:pPr>
              <w:jc w:val="center"/>
              <w:rPr>
                <w:b/>
                <w:bCs/>
              </w:rPr>
            </w:pPr>
          </w:p>
        </w:tc>
      </w:tr>
      <w:tr w:rsidRPr="00150BF3" w:rsidR="00F41E2D" w:rsidTr="00405E99">
        <w:tc>
          <w:tcPr>
            <w:tcW w:w="2474" w:type="dxa"/>
            <w:tcBorders>
              <w:top w:val="single" w:color="auto" w:sz="4" w:space="0"/>
              <w:left w:val="nil"/>
              <w:bottom w:val="nil"/>
              <w:right w:val="nil"/>
            </w:tcBorders>
          </w:tcPr>
          <w:p w:rsidRPr="00150BF3" w:rsidR="00F41E2D" w:rsidP="00405E99" w:rsidRDefault="00F41E2D">
            <w:pPr>
              <w:jc w:val="center"/>
              <w:rPr>
                <w:b/>
                <w:bCs/>
              </w:rPr>
            </w:pPr>
            <w:r w:rsidRPr="00150BF3">
              <w:rPr>
                <w:rFonts w:hint="cs"/>
                <w:b/>
                <w:bCs/>
                <w:rtl/>
              </w:rPr>
              <w:t>נציג ציבור עובדים,</w:t>
            </w:r>
            <w:r>
              <w:rPr>
                <w:rFonts w:hint="cs"/>
                <w:b/>
                <w:bCs/>
                <w:rtl/>
              </w:rPr>
              <w:t>גב' חנה קפלניקוב</w:t>
            </w:r>
          </w:p>
        </w:tc>
        <w:tc>
          <w:tcPr>
            <w:tcW w:w="236" w:type="dxa"/>
          </w:tcPr>
          <w:p w:rsidRPr="00150BF3" w:rsidR="00F41E2D" w:rsidP="00405E99" w:rsidRDefault="00F41E2D">
            <w:pPr>
              <w:jc w:val="center"/>
              <w:rPr>
                <w:b/>
                <w:bCs/>
              </w:rPr>
            </w:pPr>
          </w:p>
        </w:tc>
        <w:tc>
          <w:tcPr>
            <w:tcW w:w="2948" w:type="dxa"/>
            <w:tcBorders>
              <w:top w:val="single" w:color="auto" w:sz="4" w:space="0"/>
              <w:left w:val="nil"/>
              <w:bottom w:val="nil"/>
              <w:right w:val="nil"/>
            </w:tcBorders>
          </w:tcPr>
          <w:p w:rsidRPr="00150BF3" w:rsidR="00F41E2D" w:rsidP="00405E99" w:rsidRDefault="00F41E2D">
            <w:pPr>
              <w:jc w:val="center"/>
              <w:rPr>
                <w:b/>
                <w:bCs/>
              </w:rPr>
            </w:pPr>
            <w:r w:rsidRPr="00150BF3">
              <w:rPr>
                <w:rFonts w:hint="cs"/>
                <w:b/>
                <w:bCs/>
                <w:rtl/>
              </w:rPr>
              <w:t>אסנת רובוביץ - ברכש, שופטת</w:t>
            </w:r>
          </w:p>
        </w:tc>
        <w:tc>
          <w:tcPr>
            <w:tcW w:w="236" w:type="dxa"/>
            <w:tcBorders>
              <w:top w:val="single" w:color="auto" w:sz="4" w:space="0"/>
              <w:left w:val="nil"/>
              <w:bottom w:val="nil"/>
              <w:right w:val="nil"/>
            </w:tcBorders>
          </w:tcPr>
          <w:p w:rsidRPr="00150BF3" w:rsidR="00F41E2D" w:rsidP="00405E99" w:rsidRDefault="00F41E2D">
            <w:pPr>
              <w:jc w:val="center"/>
              <w:rPr>
                <w:b/>
                <w:bCs/>
              </w:rPr>
            </w:pPr>
          </w:p>
        </w:tc>
        <w:tc>
          <w:tcPr>
            <w:tcW w:w="2700" w:type="dxa"/>
            <w:tcBorders>
              <w:top w:val="single" w:color="auto" w:sz="4" w:space="0"/>
              <w:left w:val="nil"/>
              <w:bottom w:val="nil"/>
              <w:right w:val="nil"/>
            </w:tcBorders>
          </w:tcPr>
          <w:p w:rsidRPr="00150BF3" w:rsidR="00F41E2D" w:rsidP="00E93571" w:rsidRDefault="00F41E2D">
            <w:pPr>
              <w:jc w:val="center"/>
              <w:rPr>
                <w:b/>
                <w:bCs/>
              </w:rPr>
            </w:pPr>
            <w:r w:rsidRPr="00150BF3">
              <w:rPr>
                <w:rFonts w:hint="cs"/>
                <w:b/>
                <w:bCs/>
                <w:rtl/>
              </w:rPr>
              <w:t>נציג ציבור מע</w:t>
            </w:r>
            <w:r>
              <w:rPr>
                <w:rFonts w:hint="cs"/>
                <w:b/>
                <w:bCs/>
                <w:rtl/>
              </w:rPr>
              <w:t>סיק</w:t>
            </w:r>
            <w:r w:rsidRPr="00150BF3">
              <w:rPr>
                <w:rFonts w:hint="cs"/>
                <w:b/>
                <w:bCs/>
                <w:rtl/>
              </w:rPr>
              <w:t>ים,</w:t>
            </w:r>
            <w:r>
              <w:rPr>
                <w:rFonts w:hint="cs"/>
                <w:b/>
                <w:bCs/>
                <w:rtl/>
              </w:rPr>
              <w:t xml:space="preserve"> מר מאיר ליברמן</w:t>
            </w:r>
          </w:p>
        </w:tc>
      </w:tr>
    </w:tbl>
    <w:p w:rsidRPr="00150BF3" w:rsidR="00F41E2D" w:rsidP="00364014" w:rsidRDefault="00F41E2D">
      <w:pPr>
        <w:rPr>
          <w:rtl/>
        </w:rPr>
      </w:pPr>
    </w:p>
    <w:p w:rsidRPr="003C4168" w:rsidR="002C1C43" w:rsidP="00563391" w:rsidRDefault="002C1C43">
      <w:pPr>
        <w:spacing w:line="360" w:lineRule="auto"/>
        <w:jc w:val="both"/>
        <w:rPr>
          <w:b/>
          <w:bCs/>
          <w:sz w:val="28"/>
          <w:szCs w:val="28"/>
          <w:rtl/>
        </w:rPr>
      </w:pPr>
      <w:r w:rsidRPr="003C4168">
        <w:rPr>
          <w:rFonts w:hint="cs"/>
          <w:b/>
          <w:bCs/>
          <w:sz w:val="28"/>
          <w:szCs w:val="28"/>
          <w:rtl/>
        </w:rPr>
        <w:br/>
      </w:r>
    </w:p>
    <w:p w:rsidR="002C1C43" w:rsidP="00F41E2D"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י"ט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04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913F69" w:rsidP="00F41E2D" w:rsidRDefault="000B2DA4">
      <w:pPr>
        <w:spacing w:line="360" w:lineRule="auto"/>
        <w:jc w:val="both"/>
        <w:rPr>
          <w:sz w:val="28"/>
          <w:szCs w:val="28"/>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bookmarkStart w:name="_GoBack" w:id="0"/>
      <w:bookmarkEnd w:id="0"/>
    </w:p>
    <w:sectPr w:rsidRPr="00913F69" w:rsidR="00694556" w:rsidSect="00903896">
      <w:headerReference w:type="even" r:id="rId29"/>
      <w:headerReference w:type="default" r:id="rId30"/>
      <w:footerReference w:type="even" r:id="rId31"/>
      <w:footerReference w:type="default" r:id="rId32"/>
      <w:headerReference w:type="first" r:id="rId33"/>
      <w:footerReference w:type="first" r:id="rId3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B6A" w:rsidRDefault="00FC5B6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E6B7A">
      <w:rPr>
        <w:rStyle w:val="ab"/>
        <w:rFonts w:cs="Times New Roman"/>
        <w:rtl/>
      </w:rPr>
      <w:t>6</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E6B7A">
      <w:rPr>
        <w:rStyle w:val="ab"/>
        <w:rtl/>
      </w:rPr>
      <w:t>6</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B6A" w:rsidRDefault="00FC5B6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B6A" w:rsidRDefault="00FC5B6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C5B6A">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7E6B7A">
          <w:pPr>
            <w:jc w:val="right"/>
            <w:rPr>
              <w:rtl/>
            </w:rPr>
          </w:pPr>
          <w:sdt>
            <w:sdtPr>
              <w:rPr>
                <w:sz w:val="28"/>
                <w:szCs w:val="28"/>
                <w:rtl/>
              </w:rPr>
              <w:alias w:val="1170"/>
              <w:tag w:val="1170"/>
              <w:id w:val="270825555"/>
              <w:text w:multiLine="1"/>
            </w:sdtPr>
            <w:sdtEndPr/>
            <w:sdtContent>
              <w:r w:rsidR="000E13CD">
                <w:rPr>
                  <w:b/>
                  <w:bCs/>
                  <w:noProof w:val="0"/>
                  <w:sz w:val="28"/>
                  <w:szCs w:val="28"/>
                  <w:rtl/>
                </w:rPr>
                <w:t>ב"ל</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8413-09-16</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B6A" w:rsidRDefault="00FC5B6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77D97"/>
    <w:multiLevelType w:val="hybridMultilevel"/>
    <w:tmpl w:val="97426E6C"/>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7405D"/>
    <w:rsid w:val="004B6079"/>
    <w:rsid w:val="004B6D08"/>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7E6B7A"/>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C946BD"/>
    <w:rsid w:val="00CC79B3"/>
    <w:rsid w:val="00D53924"/>
    <w:rsid w:val="00D901AC"/>
    <w:rsid w:val="00D96D8C"/>
    <w:rsid w:val="00DA783C"/>
    <w:rsid w:val="00DB68AC"/>
    <w:rsid w:val="00DE3B9C"/>
    <w:rsid w:val="00E54642"/>
    <w:rsid w:val="00E8170A"/>
    <w:rsid w:val="00E97908"/>
    <w:rsid w:val="00EF62A3"/>
    <w:rsid w:val="00F41E2D"/>
    <w:rsid w:val="00F9387D"/>
    <w:rsid w:val="00FB3D7D"/>
    <w:rsid w:val="00FC5B6A"/>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7727BE50"/>
  <w15:docId w15:val="{88CC26B1-AA6B-4D63-A10F-5E840852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1857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case/20005438" TargetMode="External" Id="rId13" /><Relationship Type="http://schemas.openxmlformats.org/officeDocument/2006/relationships/hyperlink" Target="http://www.nevo.co.il/case/20095071" TargetMode="External" Id="rId18" /><Relationship Type="http://schemas.openxmlformats.org/officeDocument/2006/relationships/image" Target="media/image1.png" Id="rId26" /><Relationship Type="http://schemas.openxmlformats.org/officeDocument/2006/relationships/hyperlink" Target="http://www.nevo.co.il/case/32584" TargetMode="External" Id="rId21" /><Relationship Type="http://schemas.openxmlformats.org/officeDocument/2006/relationships/footer" Target="footer3.xml" Id="rId34" /><Relationship Type="http://schemas.openxmlformats.org/officeDocument/2006/relationships/footnotes" Target="footnotes.xml" Id="rId7" /><Relationship Type="http://schemas.openxmlformats.org/officeDocument/2006/relationships/hyperlink" Target="http://www.nevo.co.il/case/18798060" TargetMode="External" Id="rId12" /><Relationship Type="http://schemas.openxmlformats.org/officeDocument/2006/relationships/hyperlink" Target="http://www.nevo.co.il/case/20111568" TargetMode="External" Id="rId17" /><Relationship Type="http://schemas.openxmlformats.org/officeDocument/2006/relationships/hyperlink" Target="http://www.nevo.co.il/case/2388213" TargetMode="External" Id="rId25" /><Relationship Type="http://schemas.openxmlformats.org/officeDocument/2006/relationships/header" Target="header3.xml" Id="rId33" /><Relationship Type="http://schemas.openxmlformats.org/officeDocument/2006/relationships/hyperlink" Target="http://www.nevo.co.il/case/20161754" TargetMode="External" Id="rId16" /><Relationship Type="http://schemas.openxmlformats.org/officeDocument/2006/relationships/hyperlink" Target="http://www.nevo.co.il/case/20028493" TargetMode="External" Id="rId20" /><Relationship Type="http://schemas.openxmlformats.org/officeDocument/2006/relationships/header" Target="header1.xml" Id="rId29"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4505/83" TargetMode="External" Id="rId11" /><Relationship Type="http://schemas.openxmlformats.org/officeDocument/2006/relationships/hyperlink" Target="http://www.nevo.co.il/case/20007229" TargetMode="External" Id="rId24" /><Relationship Type="http://schemas.openxmlformats.org/officeDocument/2006/relationships/footer" Target="footer2.xml" Id="rId32" /><Relationship Type="http://schemas.openxmlformats.org/officeDocument/2006/relationships/theme" Target="theme/theme1.xml" Id="rId37" /><Relationship Type="http://schemas.openxmlformats.org/officeDocument/2006/relationships/settings" Target="settings.xml" Id="rId5" /><Relationship Type="http://schemas.openxmlformats.org/officeDocument/2006/relationships/hyperlink" Target="http://www.nevo.co.il/case/20806212" TargetMode="External" Id="rId15" /><Relationship Type="http://schemas.openxmlformats.org/officeDocument/2006/relationships/hyperlink" Target="http://www.nevo.co.il/case/2388906" TargetMode="External" Id="rId23" /><Relationship Type="http://schemas.openxmlformats.org/officeDocument/2006/relationships/image" Target="media/image3.png" Id="rId28" /><Relationship Type="http://schemas.openxmlformats.org/officeDocument/2006/relationships/glossaryDocument" Target="glossary/document.xml" Id="rId36" /><Relationship Type="http://schemas.openxmlformats.org/officeDocument/2006/relationships/hyperlink" Target="http://www.nevo.co.il/law/74505/79" TargetMode="External" Id="rId10" /><Relationship Type="http://schemas.openxmlformats.org/officeDocument/2006/relationships/hyperlink" Target="http://www.nevo.co.il/case/%2020078445" TargetMode="External" Id="rId19" /><Relationship Type="http://schemas.openxmlformats.org/officeDocument/2006/relationships/footer" Target="footer1.xml" Id="rId31" /><Relationship Type="http://schemas.openxmlformats.org/officeDocument/2006/relationships/styles" Target="styles.xml" Id="rId4" /><Relationship Type="http://schemas.openxmlformats.org/officeDocument/2006/relationships/hyperlink" Target="http://www.nevo.co.il/law/74505" TargetMode="External" Id="rId9" /><Relationship Type="http://schemas.openxmlformats.org/officeDocument/2006/relationships/hyperlink" Target="http://www.nevo.co.il/case/18766807" TargetMode="External" Id="rId14" /><Relationship Type="http://schemas.openxmlformats.org/officeDocument/2006/relationships/hyperlink" Target="http://www.nevo.co.il/case/18766809" TargetMode="External" Id="rId22" /><Relationship Type="http://schemas.openxmlformats.org/officeDocument/2006/relationships/image" Target="media/image2.png" Id="rId27" /><Relationship Type="http://schemas.openxmlformats.org/officeDocument/2006/relationships/header" Target="header2.xml" Id="rId30" /><Relationship Type="http://schemas.openxmlformats.org/officeDocument/2006/relationships/fontTable" Target="fontTable.xml" Id="rId35" /><Relationship Type="http://schemas.openxmlformats.org/officeDocument/2006/relationships/endnotes" Target="endnotes.xml" Id="rId8" /><Relationship Type="http://schemas.openxmlformats.org/officeDocument/2006/relationships/numbering" Target="numbering.xml" Id="rId3" /></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2110</Words>
  <Characters>10551</Characters>
  <Application>Microsoft Office Word</Application>
  <DocSecurity>0</DocSecurity>
  <Lines>87</Lines>
  <Paragraphs>25</Paragraphs>
  <ScaleCrop>false</ScaleCrop>
  <Company>Microsoft Corporation</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אסנת רובוביץ - ברכש</cp:lastModifiedBy>
  <cp:revision>48</cp:revision>
  <dcterms:created xsi:type="dcterms:W3CDTF">2012-08-05T16:56:00Z</dcterms:created>
  <dcterms:modified xsi:type="dcterms:W3CDTF">2018-04-04T15:09:00Z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