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7"/>
        <w:gridCol w:w="55"/>
      </w:tblGrid>
      <w:tr w:rsidR="00F74D2F" w:rsidTr="00F74D2F">
        <w:trPr>
          <w:gridBefore w:val="1"/>
          <w:gridAfter w:val="1"/>
          <w:wBefore w:w="28" w:type="dxa"/>
          <w:wAfter w:w="55" w:type="dxa"/>
        </w:trPr>
        <w:tc>
          <w:tcPr>
            <w:tcW w:w="8719" w:type="dxa"/>
            <w:gridSpan w:val="2"/>
            <w:hideMark/>
          </w:tcPr>
          <w:p w:rsidR="00F74D2F" w:rsidRDefault="00874BFC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בפני כב' ה</w:t>
            </w:r>
            <w:sdt>
              <w:sdtPr>
                <w:rPr>
                  <w:rtl/>
                </w:rPr>
                <w:alias w:val="165"/>
                <w:tag w:val="165"/>
                <w:id w:val="31946349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שופטת רגד זועבי</w:t>
                </w:r>
              </w:sdtContent>
            </w:sdt>
            <w:r>
              <w:rPr>
                <w:rStyle w:val="TimesNewRomanTimesNewRoman"/>
                <w:rFonts w:hint="cs"/>
                <w:rtl/>
              </w:rPr>
              <w:t xml:space="preserve"> </w:t>
            </w:r>
          </w:p>
          <w:p w:rsidR="00874BFC" w:rsidRDefault="00874BFC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F74D2F" w:rsidTr="00F74D2F">
        <w:tc>
          <w:tcPr>
            <w:tcW w:w="2880" w:type="dxa"/>
            <w:gridSpan w:val="2"/>
            <w:hideMark/>
          </w:tcPr>
          <w:p w:rsidR="00F74D2F" w:rsidRDefault="00874BFC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264"/>
                <w:tag w:val="1264"/>
                <w:id w:val="1500691457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</w:t>
                </w:r>
              </w:sdtContent>
            </w:sdt>
          </w:p>
        </w:tc>
        <w:tc>
          <w:tcPr>
            <w:tcW w:w="5922" w:type="dxa"/>
            <w:gridSpan w:val="2"/>
          </w:tcPr>
          <w:p w:rsidRPr="00874BFC" w:rsidR="00F74D2F" w:rsidP="00C33445" w:rsidRDefault="00576FF2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b/>
                  <w:bCs/>
                  <w:rtl/>
                </w:rPr>
                <w:alias w:val="825"/>
                <w:tag w:val="825"/>
                <w:id w:val="-2140873446"/>
                <w:text w:multiLine="1"/>
              </w:sdtPr>
              <w:sdtEndPr/>
              <w:sdtContent>
                <w:r w:rsidRPr="00874BFC" w:rsidR="00874BFC">
                  <w:rPr>
                    <w:rFonts w:hint="cs"/>
                    <w:b/>
                    <w:bCs/>
                    <w:rtl/>
                  </w:rPr>
                  <w:t xml:space="preserve">בנימין דונר ת.ז. </w:t>
                </w:r>
                <w:r w:rsidR="00874BFC">
                  <w:rPr>
                    <w:rFonts w:hint="cs"/>
                    <w:b/>
                    <w:bCs/>
                    <w:rtl/>
                  </w:rPr>
                  <w:t>056208804</w:t>
                </w:r>
              </w:sdtContent>
            </w:sdt>
          </w:p>
          <w:p w:rsidRPr="00874BFC" w:rsidR="00F74D2F" w:rsidRDefault="00576FF2">
            <w:pPr>
              <w:rPr>
                <w:b/>
                <w:bCs/>
                <w:sz w:val="26"/>
                <w:szCs w:val="26"/>
                <w:rtl/>
              </w:rPr>
            </w:pPr>
          </w:p>
          <w:p w:rsidRPr="00874BFC" w:rsidR="00F74D2F" w:rsidRDefault="00576FF2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F74D2F" w:rsidTr="00F74D2F">
        <w:tc>
          <w:tcPr>
            <w:tcW w:w="8802" w:type="dxa"/>
            <w:gridSpan w:val="4"/>
          </w:tcPr>
          <w:p w:rsidRPr="00874BFC" w:rsidR="00F74D2F" w:rsidRDefault="00874BFC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874BF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874BFC" w:rsidR="00F74D2F" w:rsidRDefault="00576FF2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F74D2F" w:rsidTr="00F74D2F">
        <w:tc>
          <w:tcPr>
            <w:tcW w:w="2880" w:type="dxa"/>
            <w:gridSpan w:val="2"/>
            <w:hideMark/>
          </w:tcPr>
          <w:p w:rsidR="00F74D2F" w:rsidRDefault="00874BFC">
            <w:pPr>
              <w:ind w:left="26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265"/>
                <w:tag w:val="1265"/>
                <w:id w:val="212418308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922" w:type="dxa"/>
            <w:gridSpan w:val="2"/>
          </w:tcPr>
          <w:p w:rsidRPr="00874BFC" w:rsidR="00F74D2F" w:rsidRDefault="00576FF2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b/>
                  <w:bCs/>
                  <w:rtl/>
                </w:rPr>
                <w:alias w:val="1266"/>
                <w:tag w:val="1266"/>
                <w:id w:val="-1527786861"/>
                <w:text w:multiLine="1"/>
              </w:sdtPr>
              <w:sdtEndPr/>
              <w:sdtContent>
                <w:r w:rsidRPr="00874BFC" w:rsidR="00874BF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מנחם גולדשלגר</w:t>
                </w:r>
                <w:r w:rsidRPr="00874BFC" w:rsidR="00874BFC">
                  <w:rPr>
                    <w:rFonts w:hint="cs"/>
                    <w:b/>
                    <w:bCs/>
                    <w:rtl/>
                  </w:rPr>
                  <w:t xml:space="preserve"> ת.ז. 059074336</w:t>
                </w:r>
              </w:sdtContent>
            </w:sdt>
          </w:p>
          <w:p w:rsidRPr="00874BFC" w:rsidR="00F74D2F" w:rsidRDefault="00576FF2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F74D2F" w:rsidP="00F74D2F" w:rsidRDefault="00576FF2">
      <w:pPr>
        <w:pStyle w:val="12"/>
        <w:rPr>
          <w:b w:val="0"/>
          <w:bCs w:val="0"/>
          <w:u w:val="none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74BFC" w:rsidP="004B33E1" w:rsidRDefault="00874BFC">
      <w:pPr>
        <w:spacing w:line="360" w:lineRule="auto"/>
        <w:jc w:val="both"/>
      </w:pPr>
      <w:r>
        <w:rPr>
          <w:rFonts w:hint="cs"/>
          <w:rtl/>
        </w:rPr>
        <w:t>הצדדים הסמיכו את בית המשפט לפסוק ביניהם על דרך הפשרה בהתאם לסעיף 79א(א) לחוק בתי המשפט [נוסח משולב], התשמ"ד – 1984.</w:t>
      </w:r>
    </w:p>
    <w:p w:rsidR="00874BFC" w:rsidP="004B33E1" w:rsidRDefault="00874BFC">
      <w:pPr>
        <w:jc w:val="both"/>
      </w:pPr>
    </w:p>
    <w:p w:rsidR="00874BFC" w:rsidP="00C33445" w:rsidRDefault="00874BFC">
      <w:pPr>
        <w:spacing w:line="360" w:lineRule="auto"/>
        <w:jc w:val="both"/>
      </w:pPr>
      <w:r>
        <w:rPr>
          <w:rFonts w:hint="cs"/>
          <w:rtl/>
        </w:rPr>
        <w:t xml:space="preserve">לאחר עיון, בחינה ושקילה של כל נסיבות העניין, הנני מקבלת את התביעה ומחייבת את הנתבע, לשלם לתובע סכום של </w:t>
      </w:r>
      <w:r w:rsidR="00C33445">
        <w:rPr>
          <w:rFonts w:hint="cs"/>
          <w:rtl/>
        </w:rPr>
        <w:t>20,000</w:t>
      </w:r>
      <w:r>
        <w:rPr>
          <w:rFonts w:hint="cs"/>
          <w:rtl/>
        </w:rPr>
        <w:t xml:space="preserve"> ₪. </w:t>
      </w:r>
      <w:r w:rsidR="00C33445">
        <w:rPr>
          <w:rFonts w:hint="cs"/>
          <w:rtl/>
        </w:rPr>
        <w:t xml:space="preserve">סכום זה כולל הוצאות ושכ"ט עו"ד. </w:t>
      </w:r>
      <w:r>
        <w:rPr>
          <w:rFonts w:hint="cs"/>
          <w:rtl/>
        </w:rPr>
        <w:t xml:space="preserve">הסכום </w:t>
      </w:r>
      <w:r w:rsidR="00C33445">
        <w:rPr>
          <w:rFonts w:hint="cs"/>
          <w:rtl/>
        </w:rPr>
        <w:t xml:space="preserve">הנ"ל </w:t>
      </w:r>
      <w:r>
        <w:rPr>
          <w:rFonts w:hint="cs"/>
          <w:rtl/>
        </w:rPr>
        <w:t>ישול</w:t>
      </w:r>
      <w:r w:rsidR="00C33445">
        <w:rPr>
          <w:rFonts w:hint="cs"/>
          <w:rtl/>
        </w:rPr>
        <w:t>ם</w:t>
      </w:r>
      <w:r>
        <w:rPr>
          <w:rFonts w:hint="cs"/>
          <w:rtl/>
        </w:rPr>
        <w:t xml:space="preserve"> תוך 30 יום מהיום אחרת יישא הפרשי הצמדה וריבית כחוק מאותו מועד ועד התשלום המלא בפועל.</w:t>
      </w:r>
    </w:p>
    <w:p w:rsidRPr="00C33445" w:rsidR="00874BFC" w:rsidP="004B33E1" w:rsidRDefault="00874BFC">
      <w:pPr>
        <w:jc w:val="both"/>
      </w:pPr>
    </w:p>
    <w:p w:rsidR="00874BFC" w:rsidP="004B33E1" w:rsidRDefault="00874BFC">
      <w:pPr>
        <w:spacing w:line="360" w:lineRule="auto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לאור הדרך הדיונית בה הסתיים התיק, ניתן פטור מתשלום יתרת האגרה.</w:t>
      </w:r>
    </w:p>
    <w:p w:rsidR="00874BFC" w:rsidP="004B33E1" w:rsidRDefault="00874BFC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C33445" w:rsidRDefault="00576FF2">
      <w:pPr>
        <w:spacing w:line="360" w:lineRule="auto"/>
        <w:ind w:left="576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6205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e7348e6d9ff43a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76FF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76FF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76FF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576FF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21315-12-15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דונר ואח' נ' גולדשלגר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3C6945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76FF2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74BFC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33445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6738AABF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Pr>
      <w:b/>
      <w:bCs/>
      <w:noProof w:val="0"/>
      <w:u w:val="single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0e7348e6d9ff43a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495C00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רגד זועבי</cp:lastModifiedBy>
  <cp:revision>39</cp:revision>
  <dcterms:created xsi:type="dcterms:W3CDTF">2012-08-05T21:29:00Z</dcterms:created>
  <dcterms:modified xsi:type="dcterms:W3CDTF">2018-04-12T07:32:00Z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