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אסתר טפטה–גרדי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A12408" w:rsidRDefault="00227BD9">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227BD9">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מוחמד חוסין</w:t>
                </w:r>
              </w:sdtContent>
            </w:sdt>
          </w:p>
          <w:p w:rsidR="0094424E" w:rsidP="00D44968" w:rsidRDefault="00227BD9">
            <w:pPr>
              <w:suppressLineNumbers/>
              <w:rPr>
                <w:b/>
                <w:bCs/>
                <w:noProof w:val="0"/>
                <w:sz w:val="26"/>
                <w:szCs w:val="26"/>
              </w:rPr>
            </w:pPr>
            <w:sdt>
              <w:sdtPr>
                <w:rPr>
                  <w:rtl/>
                </w:rPr>
                <w:alias w:val="1462"/>
                <w:tag w:val="1462"/>
                <w:id w:val="1295095707"/>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931264237"/>
                <w:text w:multiLine="1"/>
              </w:sdtPr>
              <w:sdtEndPr/>
              <w:sdtContent>
                <w:r w:rsidR="00CF6BB7">
                  <w:rPr>
                    <w:rFonts w:ascii="Arial" w:hAnsi="Arial"/>
                    <w:b/>
                    <w:bCs/>
                    <w:noProof w:val="0"/>
                    <w:sz w:val="26"/>
                    <w:szCs w:val="26"/>
                    <w:rtl/>
                  </w:rPr>
                  <w:t>טארק חוסין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227BD9">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227BD9">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A12408" w:rsidRDefault="00A12408">
            <w:pPr>
              <w:rPr>
                <w:rFonts w:ascii="David" w:hAnsi="David" w:eastAsia="David"/>
                <w:noProof w:val="0"/>
              </w:rPr>
            </w:pPr>
          </w:p>
        </w:tc>
        <w:tc>
          <w:tcPr>
            <w:tcW w:w="5571" w:type="dxa"/>
          </w:tcPr>
          <w:p w:rsidR="00A12408" w:rsidRDefault="00A12408">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A12408" w:rsidRDefault="00A12408">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DC47B0" w:rsidP="00DC47B0" w:rsidRDefault="00DC47B0">
      <w:pPr>
        <w:suppressLineNumbers/>
        <w:rPr>
          <w:noProof w:val="0"/>
        </w:rPr>
      </w:pPr>
      <w:bookmarkStart w:name="NGCSBookmark" w:id="0"/>
      <w:bookmarkEnd w:id="0"/>
    </w:p>
    <w:p w:rsidR="00DC47B0" w:rsidP="001147AB" w:rsidRDefault="00DC47B0">
      <w:pPr>
        <w:spacing w:line="360" w:lineRule="auto"/>
        <w:ind w:left="720" w:hanging="720"/>
        <w:jc w:val="both"/>
      </w:pPr>
      <w:r>
        <w:rPr>
          <w:rFonts w:hint="cs"/>
          <w:rtl/>
        </w:rPr>
        <w:t xml:space="preserve">בפני בקשה לביטול איסור מנהלי על שימוש ברכב, אשר הוגשה על פי </w:t>
      </w:r>
      <w:hyperlink w:history="1" r:id="rId9">
        <w:r>
          <w:rPr>
            <w:rStyle w:val="Hyperlink"/>
            <w:rFonts w:hint="cs"/>
            <w:rtl/>
          </w:rPr>
          <w:t>סעיף 57ב</w:t>
        </w:r>
      </w:hyperlink>
      <w:r>
        <w:rPr>
          <w:rFonts w:hint="cs"/>
          <w:rtl/>
        </w:rPr>
        <w:t xml:space="preserve"> ל</w:t>
      </w:r>
      <w:hyperlink w:history="1" r:id="rId10">
        <w:r>
          <w:rPr>
            <w:rStyle w:val="Hyperlink"/>
            <w:rFonts w:hint="cs"/>
            <w:rtl/>
          </w:rPr>
          <w:t>פקודת התעבורה</w:t>
        </w:r>
      </w:hyperlink>
      <w:r w:rsidR="001147AB">
        <w:rPr>
          <w:rFonts w:hint="cs"/>
          <w:rtl/>
        </w:rPr>
        <w:t>, התשכ"א- 1961.</w:t>
      </w:r>
    </w:p>
    <w:p w:rsidR="00DC47B0" w:rsidP="00DC47B0" w:rsidRDefault="00DC47B0">
      <w:pPr>
        <w:spacing w:line="360" w:lineRule="auto"/>
        <w:jc w:val="both"/>
        <w:rPr>
          <w:noProof w:val="0"/>
        </w:rPr>
      </w:pPr>
    </w:p>
    <w:p w:rsidR="00DC47B0" w:rsidP="001147AB" w:rsidRDefault="00DC47B0">
      <w:pPr>
        <w:spacing w:line="360" w:lineRule="auto"/>
        <w:jc w:val="both"/>
        <w:rPr>
          <w:rFonts w:hint="cs"/>
          <w:rtl/>
        </w:rPr>
      </w:pPr>
      <w:r>
        <w:rPr>
          <w:rFonts w:hint="cs"/>
          <w:rtl/>
        </w:rPr>
        <w:t>ביום 7.4.18, בעקבות שימוע בדבר איסור מנהלי על שימוש ברכב, החליט קצין המשטרה על השבתה מנהלית של הרכב מסוג סוזיקי,</w:t>
      </w:r>
      <w:r w:rsidR="001C733A">
        <w:rPr>
          <w:rFonts w:hint="cs"/>
          <w:rtl/>
        </w:rPr>
        <w:t xml:space="preserve"> מ"ר 92-376-28,</w:t>
      </w:r>
      <w:r>
        <w:rPr>
          <w:rFonts w:hint="cs"/>
          <w:rtl/>
        </w:rPr>
        <w:t xml:space="preserve"> למשך 30 יום. זאת מאחר שמר חוסין יאזן, נהג ברכב בהיותו נוהג חדש, נהג ללא מלווה בניגוד </w:t>
      </w:r>
      <w:r w:rsidR="001147AB">
        <w:rPr>
          <w:rFonts w:hint="cs"/>
          <w:rtl/>
        </w:rPr>
        <w:t>לסעיף 12א1(ד)(2) לפקודת התעבורה.</w:t>
      </w:r>
      <w:r>
        <w:rPr>
          <w:rFonts w:hint="cs"/>
          <w:rtl/>
        </w:rPr>
        <w:t xml:space="preserve"> </w:t>
      </w:r>
    </w:p>
    <w:p w:rsidR="00DC47B0" w:rsidP="00DC47B0" w:rsidRDefault="00DC47B0">
      <w:pPr>
        <w:spacing w:line="360" w:lineRule="auto"/>
        <w:jc w:val="both"/>
        <w:rPr>
          <w:rFonts w:hint="cs"/>
          <w:rtl/>
        </w:rPr>
      </w:pPr>
    </w:p>
    <w:p w:rsidR="00BC6090" w:rsidP="001C733A" w:rsidRDefault="00DC47B0">
      <w:pPr>
        <w:spacing w:line="360" w:lineRule="auto"/>
        <w:jc w:val="both"/>
        <w:rPr>
          <w:rtl/>
        </w:rPr>
      </w:pPr>
      <w:r>
        <w:rPr>
          <w:rFonts w:hint="cs"/>
          <w:rtl/>
        </w:rPr>
        <w:t>בדיון שהתקיים בפני</w:t>
      </w:r>
      <w:r w:rsidR="0074582D">
        <w:rPr>
          <w:rFonts w:hint="cs"/>
          <w:rtl/>
        </w:rPr>
        <w:t xml:space="preserve"> העיד</w:t>
      </w:r>
      <w:r>
        <w:rPr>
          <w:rFonts w:hint="cs"/>
          <w:rtl/>
        </w:rPr>
        <w:t xml:space="preserve"> מר מוחמד חוסין שהינו הבעלים של הרכב</w:t>
      </w:r>
      <w:r w:rsidR="00986C50">
        <w:rPr>
          <w:rFonts w:hint="cs"/>
          <w:rtl/>
        </w:rPr>
        <w:t>, ציין שהוא</w:t>
      </w:r>
      <w:r>
        <w:rPr>
          <w:rFonts w:hint="cs"/>
          <w:rtl/>
        </w:rPr>
        <w:t xml:space="preserve"> עוסק כקבלן ציוד מכני והנדסי ומעסיק מספר עובדים, ומעסיק את מר טארק חוסין</w:t>
      </w:r>
      <w:r w:rsidR="0074582D">
        <w:rPr>
          <w:rFonts w:hint="cs"/>
          <w:rtl/>
        </w:rPr>
        <w:t xml:space="preserve"> (המבקש 2). לטענתו, הרכב נמסר למבקש 2, לצורכי עבודה בלבד</w:t>
      </w:r>
      <w:r w:rsidR="00986C50">
        <w:rPr>
          <w:rFonts w:hint="cs"/>
          <w:rtl/>
        </w:rPr>
        <w:t xml:space="preserve">. </w:t>
      </w:r>
      <w:r w:rsidR="001C733A">
        <w:rPr>
          <w:rFonts w:hint="cs"/>
          <w:rtl/>
        </w:rPr>
        <w:t xml:space="preserve">לדבריו, </w:t>
      </w:r>
      <w:r w:rsidR="00BC6090">
        <w:rPr>
          <w:rFonts w:hint="cs"/>
          <w:rtl/>
        </w:rPr>
        <w:t xml:space="preserve">הרכב נילקח </w:t>
      </w:r>
      <w:r w:rsidR="001C733A">
        <w:rPr>
          <w:rFonts w:hint="cs"/>
          <w:rtl/>
          <w:lang w:eastAsia="he-IL"/>
        </w:rPr>
        <w:t xml:space="preserve">ללא ידיעתו וללא הסכמתו. </w:t>
      </w:r>
    </w:p>
    <w:p w:rsidR="00DC47B0" w:rsidP="00986C50" w:rsidRDefault="00986C50">
      <w:pPr>
        <w:spacing w:line="360" w:lineRule="auto"/>
        <w:jc w:val="both"/>
        <w:rPr>
          <w:rFonts w:hint="cs"/>
          <w:rtl/>
        </w:rPr>
      </w:pPr>
      <w:r>
        <w:rPr>
          <w:rFonts w:hint="cs"/>
          <w:rtl/>
        </w:rPr>
        <w:t>המבקש 2 העיד בפ</w:t>
      </w:r>
      <w:r w:rsidR="00685984">
        <w:rPr>
          <w:rFonts w:hint="cs"/>
          <w:rtl/>
        </w:rPr>
        <w:t xml:space="preserve">ני </w:t>
      </w:r>
      <w:r>
        <w:rPr>
          <w:rFonts w:hint="cs"/>
          <w:rtl/>
        </w:rPr>
        <w:t>כי הוא עובד אצל המבקש 1, והרכב משמש אותו לצור</w:t>
      </w:r>
      <w:r w:rsidR="001C733A">
        <w:rPr>
          <w:rFonts w:hint="cs"/>
          <w:rtl/>
        </w:rPr>
        <w:t xml:space="preserve">כי עבודה. </w:t>
      </w:r>
      <w:r>
        <w:rPr>
          <w:rFonts w:hint="cs"/>
          <w:rtl/>
        </w:rPr>
        <w:t>לטענתו, במועד האירוע היה מחוץ לכפ</w:t>
      </w:r>
      <w:r w:rsidR="001147AB">
        <w:rPr>
          <w:rFonts w:hint="cs"/>
          <w:rtl/>
        </w:rPr>
        <w:t xml:space="preserve">ר, </w:t>
      </w:r>
      <w:r>
        <w:rPr>
          <w:rFonts w:hint="cs"/>
          <w:rtl/>
        </w:rPr>
        <w:t>נהג הרכב</w:t>
      </w:r>
      <w:r w:rsidR="001147AB">
        <w:rPr>
          <w:rFonts w:hint="cs"/>
          <w:rtl/>
        </w:rPr>
        <w:t>- שהינו אחיו</w:t>
      </w:r>
      <w:r>
        <w:rPr>
          <w:rFonts w:hint="cs"/>
          <w:rtl/>
        </w:rPr>
        <w:t xml:space="preserve">, נטל את </w:t>
      </w:r>
      <w:r w:rsidR="00685984">
        <w:rPr>
          <w:rFonts w:hint="cs"/>
          <w:rtl/>
        </w:rPr>
        <w:t xml:space="preserve">המפתחות ללא רשותו וידיעתו. </w:t>
      </w:r>
    </w:p>
    <w:p w:rsidR="00DC47B0" w:rsidP="00DC47B0" w:rsidRDefault="00DC47B0">
      <w:pPr>
        <w:spacing w:line="360" w:lineRule="auto"/>
        <w:jc w:val="both"/>
        <w:rPr>
          <w:rFonts w:hint="cs"/>
          <w:rtl/>
        </w:rPr>
      </w:pPr>
    </w:p>
    <w:p w:rsidR="00DC47B0" w:rsidP="00685984" w:rsidRDefault="00685984">
      <w:pPr>
        <w:spacing w:line="360" w:lineRule="auto"/>
        <w:jc w:val="both"/>
        <w:rPr>
          <w:rtl/>
          <w:lang w:eastAsia="he-IL"/>
        </w:rPr>
      </w:pPr>
      <w:r>
        <w:rPr>
          <w:rFonts w:hint="cs"/>
          <w:rtl/>
          <w:lang w:eastAsia="he-IL"/>
        </w:rPr>
        <w:t xml:space="preserve">כן טען </w:t>
      </w:r>
      <w:r w:rsidR="00DC47B0">
        <w:rPr>
          <w:rFonts w:hint="cs"/>
          <w:rtl/>
          <w:lang w:eastAsia="he-IL"/>
        </w:rPr>
        <w:t>ב"כ המבקש</w:t>
      </w:r>
      <w:r>
        <w:rPr>
          <w:rFonts w:hint="cs"/>
          <w:rtl/>
          <w:lang w:eastAsia="he-IL"/>
        </w:rPr>
        <w:t xml:space="preserve">ים, כי </w:t>
      </w:r>
      <w:r w:rsidR="00DC47B0">
        <w:rPr>
          <w:rFonts w:hint="cs"/>
          <w:rtl/>
          <w:lang w:eastAsia="he-IL"/>
        </w:rPr>
        <w:t>נפל פגם בהחלטת הקצין בשימו</w:t>
      </w:r>
      <w:r>
        <w:rPr>
          <w:rFonts w:hint="cs"/>
          <w:rtl/>
          <w:lang w:eastAsia="he-IL"/>
        </w:rPr>
        <w:t xml:space="preserve">ע שערך, בכך שלא קיים שימוע לבעל הרכב. </w:t>
      </w:r>
    </w:p>
    <w:p w:rsidR="0009368D" w:rsidP="00685984" w:rsidRDefault="0009368D">
      <w:pPr>
        <w:spacing w:line="360" w:lineRule="auto"/>
        <w:jc w:val="both"/>
        <w:rPr>
          <w:rtl/>
          <w:lang w:eastAsia="he-IL"/>
        </w:rPr>
      </w:pPr>
    </w:p>
    <w:p w:rsidR="001E2686" w:rsidP="001E2686" w:rsidRDefault="0009368D">
      <w:pPr>
        <w:spacing w:line="360" w:lineRule="auto"/>
        <w:jc w:val="both"/>
        <w:rPr>
          <w:rtl/>
        </w:rPr>
      </w:pPr>
      <w:r>
        <w:rPr>
          <w:rFonts w:hint="cs"/>
          <w:rtl/>
        </w:rPr>
        <w:t xml:space="preserve">ב"כ המשיבה הביע התנגדות לבקשה וטען בצדק כי מדובר בעבירה חמורה ומסוכנת.  עוד טען כי המבקש 1, לא עשה כל הניתן על מנת למנוע את ביצוע העבירה </w:t>
      </w:r>
      <w:r w:rsidR="0005728B">
        <w:rPr>
          <w:rFonts w:hint="cs"/>
          <w:rtl/>
        </w:rPr>
        <w:t>והוא</w:t>
      </w:r>
      <w:r w:rsidR="001E2686">
        <w:rPr>
          <w:rFonts w:hint="cs"/>
          <w:rtl/>
        </w:rPr>
        <w:t xml:space="preserve"> אינו עומד בקרטריונים </w:t>
      </w:r>
      <w:r w:rsidR="0005728B">
        <w:rPr>
          <w:rFonts w:hint="cs"/>
          <w:rtl/>
        </w:rPr>
        <w:t xml:space="preserve"> </w:t>
      </w:r>
      <w:r w:rsidR="001E2686">
        <w:rPr>
          <w:rFonts w:hint="cs"/>
          <w:rtl/>
        </w:rPr>
        <w:t xml:space="preserve">הקבועים בחוק בסעיף 57 ב' לפקודת התעבורה. </w:t>
      </w:r>
    </w:p>
    <w:p w:rsidR="001E2686" w:rsidP="0005728B" w:rsidRDefault="001E2686">
      <w:pPr>
        <w:spacing w:line="360" w:lineRule="auto"/>
        <w:jc w:val="both"/>
        <w:rPr>
          <w:rtl/>
        </w:rPr>
      </w:pPr>
    </w:p>
    <w:p w:rsidR="001E2686" w:rsidP="001E2686" w:rsidRDefault="001E2686">
      <w:pPr>
        <w:rPr>
          <w:rFonts w:hint="cs"/>
          <w:rtl/>
        </w:rPr>
      </w:pPr>
      <w:r>
        <w:rPr>
          <w:rFonts w:hint="cs"/>
          <w:rtl/>
        </w:rPr>
        <w:t>סעיף 57ב לפקודת התעבורה קובעת כי בית משפט יבטל הודעת איסור שימוש ברכב אם נוכח כי התקיים אחד מאלה:</w:t>
      </w:r>
    </w:p>
    <w:p w:rsidR="001E2686" w:rsidP="001E2686" w:rsidRDefault="001E2686">
      <w:pPr>
        <w:pStyle w:val="P22"/>
        <w:spacing w:before="72" w:line="360" w:lineRule="auto"/>
        <w:ind w:left="1021" w:right="1134"/>
        <w:rPr>
          <w:rStyle w:val="default"/>
          <w:rFonts w:hint="cs" w:cs="David"/>
          <w:sz w:val="24"/>
          <w:szCs w:val="24"/>
          <w:rtl/>
        </w:rPr>
      </w:pPr>
      <w:r>
        <w:rPr>
          <w:rStyle w:val="default"/>
          <w:rFonts w:hint="cs" w:cs="David"/>
          <w:sz w:val="24"/>
          <w:szCs w:val="24"/>
          <w:rtl/>
        </w:rPr>
        <w:t xml:space="preserve"> (1)</w:t>
      </w:r>
      <w:r>
        <w:rPr>
          <w:rStyle w:val="default"/>
          <w:rFonts w:hint="cs" w:cs="David"/>
          <w:sz w:val="24"/>
          <w:szCs w:val="24"/>
          <w:rtl/>
        </w:rPr>
        <w:tab/>
        <w:t>הרכב נלקח מבעליו בלי ידיעתו ובלי הסכמתו;</w:t>
      </w:r>
    </w:p>
    <w:p w:rsidR="001E2686" w:rsidP="001E2686" w:rsidRDefault="001E2686">
      <w:pPr>
        <w:pStyle w:val="P22"/>
        <w:spacing w:before="72" w:line="360" w:lineRule="auto"/>
        <w:ind w:left="1021" w:right="1134"/>
        <w:rPr>
          <w:rStyle w:val="default"/>
          <w:rFonts w:hint="cs" w:cs="David"/>
          <w:sz w:val="24"/>
          <w:szCs w:val="24"/>
          <w:rtl/>
        </w:rPr>
      </w:pPr>
      <w:r>
        <w:rPr>
          <w:rStyle w:val="default"/>
          <w:rFonts w:hint="cs" w:cs="David"/>
          <w:sz w:val="24"/>
          <w:szCs w:val="24"/>
          <w:rtl/>
        </w:rPr>
        <w:t>(2)</w:t>
      </w:r>
      <w:r>
        <w:rPr>
          <w:rStyle w:val="default"/>
          <w:rFonts w:hint="cs" w:cs="David"/>
          <w:sz w:val="24"/>
          <w:szCs w:val="24"/>
          <w:rtl/>
        </w:rPr>
        <w:tab/>
        <w:t>מי שנהג ברכב פעל בניגוד להוראותיו של בעל הרכב, ובעל הרכב עשה כל שביכולתו כדי למנוע את העבירה כאמור בסעיף 57א(א).</w:t>
      </w:r>
    </w:p>
    <w:p w:rsidR="001E2686" w:rsidP="001E2686" w:rsidRDefault="001E2686">
      <w:pPr>
        <w:pStyle w:val="P22"/>
        <w:spacing w:before="72"/>
        <w:ind w:left="1021" w:right="1134"/>
        <w:rPr>
          <w:rStyle w:val="default"/>
          <w:rFonts w:hint="cs" w:cs="FrankRuehl"/>
          <w:rtl/>
        </w:rPr>
      </w:pPr>
    </w:p>
    <w:p w:rsidR="001E2686" w:rsidP="001E2686" w:rsidRDefault="001E2686">
      <w:pPr>
        <w:pStyle w:val="P22"/>
        <w:spacing w:before="72"/>
        <w:ind w:left="0" w:right="1134"/>
        <w:rPr>
          <w:rStyle w:val="default"/>
          <w:rFonts w:hint="cs" w:cs="David"/>
          <w:sz w:val="24"/>
          <w:szCs w:val="24"/>
          <w:rtl/>
        </w:rPr>
      </w:pPr>
      <w:r>
        <w:rPr>
          <w:rStyle w:val="default"/>
          <w:rFonts w:hint="cs" w:cs="David"/>
          <w:sz w:val="24"/>
          <w:szCs w:val="24"/>
          <w:rtl/>
        </w:rPr>
        <w:t xml:space="preserve">כמו כן, סעיף 57ב(ג) קבוע כי </w:t>
      </w:r>
    </w:p>
    <w:p w:rsidR="001E2686" w:rsidP="001E2686" w:rsidRDefault="001E2686">
      <w:pPr>
        <w:pStyle w:val="P22"/>
        <w:spacing w:before="72"/>
        <w:ind w:left="0" w:right="1134"/>
        <w:rPr>
          <w:rStyle w:val="default"/>
          <w:rFonts w:hint="cs" w:cs="David"/>
          <w:b/>
          <w:bCs/>
          <w:sz w:val="24"/>
          <w:szCs w:val="24"/>
          <w:rtl/>
        </w:rPr>
      </w:pPr>
    </w:p>
    <w:p w:rsidR="001E2686" w:rsidP="001E2686" w:rsidRDefault="001E2686">
      <w:pPr>
        <w:pStyle w:val="P22"/>
        <w:spacing w:before="72" w:line="360" w:lineRule="auto"/>
        <w:ind w:left="0" w:right="1134"/>
        <w:rPr>
          <w:rStyle w:val="default"/>
          <w:rFonts w:hint="cs" w:cs="David"/>
          <w:b/>
          <w:bCs/>
          <w:sz w:val="24"/>
          <w:szCs w:val="24"/>
          <w:rtl/>
        </w:rPr>
      </w:pPr>
      <w:r>
        <w:rPr>
          <w:rStyle w:val="default"/>
          <w:rFonts w:hint="cs" w:cs="David"/>
          <w:b/>
          <w:bCs/>
          <w:sz w:val="24"/>
          <w:szCs w:val="24"/>
          <w:rtl/>
        </w:rPr>
        <w:t>"בית המשפט רשאי לבטל את הודעת איסור השימוש, או לקבוע תקופה קצרה יותר לאיסור השימוש, בתנאים או ללא תנאים, אם התקיימו נסיבות אחרות מאלה האמורות בסעיף קטן (ב), המצדיקות זאת, ולענין זה רשאי בית המשפט להביא בחשבון, בין השאר, את הזיקה בין בעל הרכב לבין מי שנהג ברכב"</w:t>
      </w:r>
    </w:p>
    <w:p w:rsidR="00DC47B0" w:rsidP="00DC47B0" w:rsidRDefault="00DC47B0">
      <w:pPr>
        <w:spacing w:line="360" w:lineRule="auto"/>
        <w:jc w:val="both"/>
        <w:rPr>
          <w:rFonts w:hint="cs"/>
          <w:rtl/>
          <w:lang w:eastAsia="he-IL"/>
        </w:rPr>
      </w:pPr>
      <w:r>
        <w:rPr>
          <w:rFonts w:hint="cs"/>
          <w:rtl/>
          <w:lang w:eastAsia="he-IL"/>
        </w:rPr>
        <w:tab/>
      </w:r>
      <w:r>
        <w:rPr>
          <w:rFonts w:hint="cs"/>
          <w:rtl/>
          <w:lang w:eastAsia="he-IL"/>
        </w:rPr>
        <w:tab/>
        <w:t xml:space="preserve"> </w:t>
      </w:r>
    </w:p>
    <w:p w:rsidR="00DC47B0" w:rsidP="00DC47B0" w:rsidRDefault="001E2686">
      <w:pPr>
        <w:spacing w:line="360" w:lineRule="auto"/>
        <w:jc w:val="both"/>
        <w:rPr>
          <w:rtl/>
          <w:lang w:eastAsia="he-IL"/>
        </w:rPr>
      </w:pPr>
      <w:r>
        <w:rPr>
          <w:rFonts w:hint="cs"/>
          <w:rtl/>
          <w:lang w:eastAsia="he-IL"/>
        </w:rPr>
        <w:t xml:space="preserve">באשר לטענה כי לא </w:t>
      </w:r>
      <w:r w:rsidR="001147AB">
        <w:rPr>
          <w:rFonts w:hint="cs"/>
          <w:rtl/>
          <w:lang w:eastAsia="he-IL"/>
        </w:rPr>
        <w:t>נערך שימוע</w:t>
      </w:r>
      <w:r>
        <w:rPr>
          <w:rFonts w:hint="cs"/>
          <w:rtl/>
          <w:lang w:eastAsia="he-IL"/>
        </w:rPr>
        <w:t xml:space="preserve"> לבעל הרכב, בעניין זה </w:t>
      </w:r>
      <w:r w:rsidR="00DC47B0">
        <w:rPr>
          <w:rFonts w:hint="cs"/>
          <w:rtl/>
          <w:lang w:eastAsia="he-IL"/>
        </w:rPr>
        <w:t>אציין כי אין חובה בחוק לקיים שימוע בנוכחות בעל הרכב ואין אף חובה כי זה יוזמן לשימוע.  החובה היא לערוך שימוע לנהג, ולא לבעל הרכב. קיימת חובה להודיע לבעל הרכב את דבר ההחלטה בדבר איסור השימוש והשבתת הרכב. הודעה כזו יכול ותשלח לבעל הרכב גם בפקס, ויכול שתימסר לנהג הנוכח בשימוע תוך התחייבות של הנהג ליידע את הבעלים (ראה</w:t>
      </w:r>
      <w:r w:rsidR="00DC47B0">
        <w:rPr>
          <w:rFonts w:hint="cs"/>
          <w:b/>
          <w:bCs/>
          <w:rtl/>
        </w:rPr>
        <w:t xml:space="preserve"> ע"ח 36523-06-13 </w:t>
      </w:r>
      <w:r w:rsidR="00DC47B0">
        <w:rPr>
          <w:rFonts w:hint="cs"/>
          <w:b/>
          <w:bCs/>
          <w:u w:val="single"/>
          <w:rtl/>
        </w:rPr>
        <w:t>משה מייזל נ' מדינת ישראל).</w:t>
      </w:r>
    </w:p>
    <w:p w:rsidR="0009368D" w:rsidP="0009368D" w:rsidRDefault="0009368D">
      <w:pPr>
        <w:rPr>
          <w:rFonts w:hint="cs" w:asciiTheme="minorHAnsi" w:hAnsiTheme="minorHAnsi" w:cstheme="minorBidi"/>
          <w:sz w:val="22"/>
          <w:szCs w:val="22"/>
          <w:rtl/>
        </w:rPr>
      </w:pPr>
    </w:p>
    <w:p w:rsidR="001E2686" w:rsidP="002B4D1B" w:rsidRDefault="0009368D">
      <w:pPr>
        <w:spacing w:line="360" w:lineRule="auto"/>
        <w:jc w:val="both"/>
        <w:rPr>
          <w:rtl/>
        </w:rPr>
      </w:pPr>
      <w:r>
        <w:rPr>
          <w:rFonts w:hint="cs"/>
          <w:rtl/>
        </w:rPr>
        <w:t xml:space="preserve">לאחר ששקלתי את כל טענות הצדדים, הגעתי למסקנה כי בנסיבות המקרה יש לבטל הודעת איסור השימוש ברכב, וזאת לנוכח העבודה </w:t>
      </w:r>
      <w:r w:rsidR="001E2686">
        <w:rPr>
          <w:rFonts w:hint="cs"/>
          <w:rtl/>
        </w:rPr>
        <w:t>ש</w:t>
      </w:r>
      <w:r w:rsidR="001147AB">
        <w:rPr>
          <w:rFonts w:hint="cs"/>
          <w:rtl/>
        </w:rPr>
        <w:t>הנהג</w:t>
      </w:r>
      <w:r w:rsidR="001E2686">
        <w:rPr>
          <w:rFonts w:hint="cs"/>
          <w:rtl/>
        </w:rPr>
        <w:t xml:space="preserve"> נמצא בפסילה</w:t>
      </w:r>
      <w:r>
        <w:rPr>
          <w:rFonts w:hint="cs"/>
          <w:rtl/>
        </w:rPr>
        <w:t xml:space="preserve"> </w:t>
      </w:r>
      <w:r w:rsidR="001E2686">
        <w:rPr>
          <w:rFonts w:hint="cs"/>
          <w:rtl/>
        </w:rPr>
        <w:t>ו</w:t>
      </w:r>
      <w:r w:rsidR="002B4D1B">
        <w:rPr>
          <w:rFonts w:hint="cs"/>
          <w:rtl/>
        </w:rPr>
        <w:t xml:space="preserve">מאחר שהתרשמתי כי הרכב נילקח ללא ידיעתו וללא הסכמתו של בעל הרכב. </w:t>
      </w:r>
    </w:p>
    <w:p w:rsidR="0009368D" w:rsidP="001E2686" w:rsidRDefault="0009368D">
      <w:pPr>
        <w:spacing w:line="360" w:lineRule="auto"/>
        <w:jc w:val="both"/>
        <w:rPr>
          <w:rtl/>
        </w:rPr>
      </w:pPr>
      <w:r>
        <w:rPr>
          <w:rFonts w:hint="cs"/>
          <w:rtl/>
        </w:rPr>
        <w:t xml:space="preserve">כמו כן, לאחר שסברתי כי ניתן להסתפק בתקופת איסור השימוש שחלפה עד כה. </w:t>
      </w:r>
    </w:p>
    <w:p w:rsidR="001147AB" w:rsidP="001E2686" w:rsidRDefault="001147AB">
      <w:pPr>
        <w:spacing w:line="360" w:lineRule="auto"/>
        <w:jc w:val="both"/>
        <w:rPr>
          <w:rtl/>
        </w:rPr>
      </w:pPr>
    </w:p>
    <w:p w:rsidR="001147AB" w:rsidP="001147AB" w:rsidRDefault="001147AB">
      <w:pPr>
        <w:spacing w:line="360" w:lineRule="auto"/>
        <w:jc w:val="both"/>
        <w:rPr>
          <w:rtl/>
        </w:rPr>
      </w:pPr>
      <w:r>
        <w:rPr>
          <w:rFonts w:hint="cs"/>
          <w:rtl/>
        </w:rPr>
        <w:t xml:space="preserve">המזכירות תשלח העתק ההחלטה לצדדים. </w:t>
      </w:r>
    </w:p>
    <w:p w:rsidR="001147AB" w:rsidP="001E2686" w:rsidRDefault="001147AB">
      <w:pPr>
        <w:spacing w:line="360" w:lineRule="auto"/>
        <w:jc w:val="both"/>
        <w:rPr>
          <w:rtl/>
        </w:rPr>
      </w:pPr>
      <w:r>
        <w:rPr>
          <w:rFonts w:hint="cs"/>
          <w:rtl/>
        </w:rPr>
        <w:t xml:space="preserve">המזכירות תסרוק את פרוטוקול הדיון למערכת נט המשפט. </w:t>
      </w: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27BD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90675"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c9f2008e4fc4efc" cstate="print">
                            <a:extLst>
                              <a:ext uri="{28A0092B-C50C-407E-A947-70E740481C1C}"/>
                            </a:extLst>
                          </a:blip>
                          <a:stretch>
                            <a:fillRect/>
                          </a:stretch>
                        </pic:blipFill>
                        <pic:spPr>
                          <a:xfrm>
                            <a:off x="0" y="0"/>
                            <a:ext cx="1590675" cy="1609725"/>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7B0" w:rsidRDefault="00DC47B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27BD9">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27BD9">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7B0" w:rsidRDefault="00DC4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7B0" w:rsidRDefault="00DC47B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C47B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27BD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בא"ש</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1744-04-18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חוסין ואח' נ' מדינת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13210503622</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7B0" w:rsidRDefault="00DC47B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5728B"/>
    <w:rsid w:val="00064FBD"/>
    <w:rsid w:val="00082AB2"/>
    <w:rsid w:val="000906FE"/>
    <w:rsid w:val="0009368D"/>
    <w:rsid w:val="00096AF7"/>
    <w:rsid w:val="000B344B"/>
    <w:rsid w:val="000C3B0F"/>
    <w:rsid w:val="000C3B60"/>
    <w:rsid w:val="000E0DD2"/>
    <w:rsid w:val="000E3AF1"/>
    <w:rsid w:val="000F0BC8"/>
    <w:rsid w:val="000F0DD6"/>
    <w:rsid w:val="00107E6D"/>
    <w:rsid w:val="0011194C"/>
    <w:rsid w:val="0011424C"/>
    <w:rsid w:val="001147AB"/>
    <w:rsid w:val="001173C6"/>
    <w:rsid w:val="001367BC"/>
    <w:rsid w:val="00144D2A"/>
    <w:rsid w:val="0014653E"/>
    <w:rsid w:val="00180519"/>
    <w:rsid w:val="00191C82"/>
    <w:rsid w:val="001C4003"/>
    <w:rsid w:val="001C733A"/>
    <w:rsid w:val="001D4DBF"/>
    <w:rsid w:val="001E2686"/>
    <w:rsid w:val="001E75CA"/>
    <w:rsid w:val="002265FF"/>
    <w:rsid w:val="00227BD9"/>
    <w:rsid w:val="00271B56"/>
    <w:rsid w:val="002B4D1B"/>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B741C"/>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5984"/>
    <w:rsid w:val="00686C21"/>
    <w:rsid w:val="006931C1"/>
    <w:rsid w:val="00694556"/>
    <w:rsid w:val="006C30C5"/>
    <w:rsid w:val="006D3B31"/>
    <w:rsid w:val="006E0D96"/>
    <w:rsid w:val="006E1A53"/>
    <w:rsid w:val="006F56E6"/>
    <w:rsid w:val="00704EDA"/>
    <w:rsid w:val="00721122"/>
    <w:rsid w:val="0074582D"/>
    <w:rsid w:val="00753019"/>
    <w:rsid w:val="00754801"/>
    <w:rsid w:val="00761441"/>
    <w:rsid w:val="00795365"/>
    <w:rsid w:val="007A0B11"/>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86C50"/>
    <w:rsid w:val="00994341"/>
    <w:rsid w:val="009D1A48"/>
    <w:rsid w:val="009E1CE7"/>
    <w:rsid w:val="009E4EA5"/>
    <w:rsid w:val="009F164B"/>
    <w:rsid w:val="009F323C"/>
    <w:rsid w:val="00A12408"/>
    <w:rsid w:val="00A13AE4"/>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243E"/>
    <w:rsid w:val="00B964D9"/>
    <w:rsid w:val="00BA0A7C"/>
    <w:rsid w:val="00BA517C"/>
    <w:rsid w:val="00BB3D05"/>
    <w:rsid w:val="00BB73BE"/>
    <w:rsid w:val="00BC2D89"/>
    <w:rsid w:val="00BC6090"/>
    <w:rsid w:val="00BD6531"/>
    <w:rsid w:val="00BE05B2"/>
    <w:rsid w:val="00BE2D1F"/>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2927"/>
    <w:rsid w:val="00DC1259"/>
    <w:rsid w:val="00DC1BD2"/>
    <w:rsid w:val="00DC2571"/>
    <w:rsid w:val="00DC47B0"/>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399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14D5D5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unhideWhenUsed/>
    <w:rsid w:val="00DC47B0"/>
    <w:rPr>
      <w:color w:val="0000FF"/>
      <w:u w:val="single"/>
    </w:rPr>
  </w:style>
  <w:style w:type="paragraph" w:customStyle="1" w:styleId="P22">
    <w:name w:val="P22"/>
    <w:basedOn w:val="a"/>
    <w:rsid w:val="0009368D"/>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cs="Times New Roman"/>
      <w:sz w:val="20"/>
      <w:szCs w:val="26"/>
      <w:lang w:eastAsia="he-IL"/>
    </w:rPr>
  </w:style>
  <w:style w:type="paragraph" w:customStyle="1" w:styleId="ad">
    <w:name w:val="החלטה"/>
    <w:basedOn w:val="a"/>
    <w:rsid w:val="0009368D"/>
    <w:pPr>
      <w:suppressLineNumbers/>
      <w:snapToGrid w:val="0"/>
    </w:pPr>
    <w:rPr>
      <w:bCs/>
      <w:noProof w:val="0"/>
      <w:sz w:val="20"/>
      <w:lang w:eastAsia="he-IL"/>
    </w:rPr>
  </w:style>
  <w:style w:type="character" w:customStyle="1" w:styleId="default">
    <w:name w:val="default"/>
    <w:basedOn w:val="a0"/>
    <w:rsid w:val="0009368D"/>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8528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0650353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hyperlink" Target="http://www.nevo.co.il/law/5227" TargetMode="Externa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hyperlink" Target="http://www.nevo.co.il/law/5227/57b" TargetMode="External" Id="rId9" /><Relationship Type="http://schemas.openxmlformats.org/officeDocument/2006/relationships/footer" Target="footer2.xml" Id="rId14" /><Relationship Type="http://schemas.openxmlformats.org/officeDocument/2006/relationships/image" Target="/media/image2.jpg" Id="R7c9f2008e4fc4ef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B6762" w:rsidP="00CB6762">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CB6762"/>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676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B676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450</Words>
  <Characters>2254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טפטה–גרדי</cp:lastModifiedBy>
  <cp:revision>134</cp:revision>
  <cp:lastPrinted>2018-04-12T12:46:00Z</cp:lastPrinted>
  <dcterms:created xsi:type="dcterms:W3CDTF">2012-08-06T05:16:00Z</dcterms:created>
  <dcterms:modified xsi:type="dcterms:W3CDTF">2018-04-12T12:53:00Z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