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84006" w:rsidR="00694556" w:rsidRDefault="00005C8B">
            <w:pPr>
              <w:jc w:val="both"/>
              <w:rPr>
                <w:rFonts w:ascii="Arial" w:hAnsi="Arial"/>
                <w:b/>
                <w:bCs/>
                <w:noProof w:val="0"/>
                <w:sz w:val="26"/>
                <w:szCs w:val="26"/>
              </w:rPr>
            </w:pPr>
            <w:r w:rsidRPr="00684006">
              <w:rPr>
                <w:rFonts w:hint="cs" w:ascii="Arial" w:hAnsi="Arial"/>
                <w:b/>
                <w:bCs/>
                <w:noProof w:val="0"/>
                <w:sz w:val="26"/>
                <w:szCs w:val="26"/>
                <w:rtl/>
              </w:rPr>
              <w:t>ב</w:t>
            </w:r>
            <w:r w:rsidRPr="00684006">
              <w:rPr>
                <w:rFonts w:ascii="Arial" w:hAnsi="Arial"/>
                <w:b/>
                <w:bCs/>
                <w:noProof w:val="0"/>
                <w:sz w:val="26"/>
                <w:szCs w:val="26"/>
                <w:rtl/>
              </w:rPr>
              <w:t xml:space="preserve">פני </w:t>
            </w:r>
          </w:p>
        </w:tc>
        <w:tc>
          <w:tcPr>
            <w:tcW w:w="8077" w:type="dxa"/>
            <w:gridSpan w:val="2"/>
          </w:tcPr>
          <w:p w:rsidRPr="00684006" w:rsidR="00694556" w:rsidRDefault="00684006">
            <w:pPr>
              <w:rPr>
                <w:rFonts w:ascii="Arial" w:hAnsi="Arial"/>
                <w:b/>
                <w:bCs/>
                <w:noProof w:val="0"/>
                <w:sz w:val="26"/>
                <w:szCs w:val="26"/>
                <w:rtl/>
              </w:rPr>
            </w:pPr>
            <w:r w:rsidRPr="00684006">
              <w:rPr>
                <w:rFonts w:hint="cs" w:ascii="Arial" w:hAnsi="Arial"/>
                <w:b/>
                <w:bCs/>
                <w:noProof w:val="0"/>
                <w:sz w:val="26"/>
                <w:szCs w:val="26"/>
                <w:rtl/>
              </w:rPr>
              <w:t>כב' סגן הנשיאה, השופט אלון אופיר</w:t>
            </w:r>
          </w:p>
          <w:p w:rsidRPr="00684006" w:rsidR="00684006" w:rsidRDefault="00684006">
            <w:pPr>
              <w:rPr>
                <w:rFonts w:ascii="Arial" w:hAnsi="Arial"/>
                <w:b/>
                <w:bCs/>
                <w:noProof w:val="0"/>
                <w:sz w:val="26"/>
                <w:szCs w:val="26"/>
              </w:rPr>
            </w:pP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637458750"/>
              <w:text w:multiLine="1"/>
            </w:sdtPr>
            <w:sdtEndPr/>
            <w:sdtContent>
              <w:p w:rsidR="001632BD" w:rsidRDefault="00F619C7">
                <w:pPr>
                  <w:bidi w:val="0"/>
                  <w:jc w:val="right"/>
                  <w:rPr>
                    <w:rFonts w:ascii="Arial" w:hAnsi="Arial"/>
                    <w:b/>
                    <w:bCs/>
                    <w:noProof w:val="0"/>
                    <w:sz w:val="26"/>
                    <w:szCs w:val="26"/>
                    <w:rtl/>
                  </w:rPr>
                </w:pPr>
                <w:r>
                  <w:rPr>
                    <w:rFonts w:ascii="Arial" w:hAnsi="Arial"/>
                    <w:b/>
                    <w:bCs/>
                    <w:noProof w:val="0"/>
                    <w:sz w:val="26"/>
                    <w:szCs w:val="26"/>
                    <w:rtl/>
                  </w:rPr>
                  <w:t>מבקשים</w:t>
                </w:r>
              </w:p>
            </w:sdtContent>
          </w:sdt>
        </w:tc>
        <w:tc>
          <w:tcPr>
            <w:tcW w:w="5571" w:type="dxa"/>
          </w:tcPr>
          <w:p w:rsidR="00694556" w:rsidRDefault="00694556">
            <w:pPr>
              <w:rPr>
                <w:rFonts w:ascii="Arial" w:hAnsi="Arial"/>
                <w:b/>
                <w:bCs/>
                <w:noProof w:val="0"/>
                <w:sz w:val="26"/>
                <w:szCs w:val="26"/>
                <w:rtl/>
              </w:rPr>
            </w:pPr>
          </w:p>
          <w:p w:rsidR="00694556" w:rsidRDefault="00F619C7">
            <w:pPr>
              <w:rPr>
                <w:b/>
                <w:bCs/>
                <w:noProof w:val="0"/>
                <w:sz w:val="26"/>
                <w:szCs w:val="26"/>
              </w:rPr>
            </w:pPr>
            <w:sdt>
              <w:sdtPr>
                <w:rPr>
                  <w:rtl/>
                </w:rPr>
                <w:alias w:val="1478"/>
                <w:tag w:val="1478"/>
                <w:id w:val="-2076122985"/>
                <w:text w:multiLine="1"/>
              </w:sdtPr>
              <w:sdtEndPr/>
              <w:sdtContent>
                <w:r w:rsidR="00684006">
                  <w:rPr>
                    <w:rFonts w:ascii="Arial" w:hAnsi="Arial"/>
                    <w:b/>
                    <w:bCs/>
                    <w:noProof w:val="0"/>
                    <w:sz w:val="26"/>
                    <w:szCs w:val="26"/>
                    <w:rtl/>
                  </w:rPr>
                  <w:t>אביב נחום</w:t>
                </w:r>
                <w:r w:rsidR="00FD23FC">
                  <w:rPr>
                    <w:rtl/>
                  </w:rPr>
                  <w:br/>
                </w:r>
                <w:r w:rsidR="00FD23FC">
                  <w:rPr>
                    <w:rFonts w:hint="cs"/>
                    <w:rtl/>
                  </w:rPr>
                  <w:t>ע"י ב"כ עו"ד אוהד תמם</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F619C7">
            <w:pPr>
              <w:rPr>
                <w:rFonts w:ascii="Arial" w:hAnsi="Arial"/>
                <w:b/>
                <w:bCs/>
                <w:noProof w:val="0"/>
                <w:sz w:val="26"/>
                <w:szCs w:val="26"/>
              </w:rPr>
            </w:pPr>
            <w:sdt>
              <w:sdtPr>
                <w:rPr>
                  <w:rtl/>
                </w:rPr>
                <w:alias w:val="1184"/>
                <w:tag w:val="1184"/>
                <w:id w:val="-340621022"/>
                <w:text w:multiLine="1"/>
              </w:sdtPr>
              <w:sdtEndPr/>
              <w:sdtContent>
                <w:r w:rsidR="00684006">
                  <w:rPr>
                    <w:rFonts w:ascii="Arial" w:hAnsi="Arial"/>
                    <w:b/>
                    <w:bCs/>
                    <w:noProof w:val="0"/>
                    <w:sz w:val="26"/>
                    <w:szCs w:val="26"/>
                    <w:rtl/>
                  </w:rPr>
                  <w:t>משיבים</w:t>
                </w:r>
              </w:sdtContent>
            </w:sdt>
          </w:p>
        </w:tc>
        <w:tc>
          <w:tcPr>
            <w:tcW w:w="5571" w:type="dxa"/>
          </w:tcPr>
          <w:p w:rsidR="00694556" w:rsidRDefault="00694556">
            <w:pPr>
              <w:rPr>
                <w:rFonts w:ascii="Arial" w:hAnsi="Arial"/>
                <w:b/>
                <w:bCs/>
                <w:noProof w:val="0"/>
                <w:sz w:val="26"/>
                <w:szCs w:val="26"/>
                <w:rtl/>
              </w:rPr>
            </w:pPr>
          </w:p>
          <w:p w:rsidR="00694556" w:rsidRDefault="00F619C7">
            <w:pPr>
              <w:rPr>
                <w:b/>
                <w:bCs/>
                <w:noProof w:val="0"/>
                <w:sz w:val="26"/>
                <w:szCs w:val="26"/>
                <w:rtl/>
              </w:rPr>
            </w:pPr>
            <w:sdt>
              <w:sdtPr>
                <w:rPr>
                  <w:rtl/>
                </w:rPr>
                <w:alias w:val="1486"/>
                <w:tag w:val="1486"/>
                <w:id w:val="-309872140"/>
                <w:text w:multiLine="1"/>
              </w:sdtPr>
              <w:sdtEndPr/>
              <w:sdtContent>
                <w:r w:rsidR="00684006">
                  <w:rPr>
                    <w:rFonts w:ascii="Arial" w:hAnsi="Arial"/>
                    <w:b/>
                    <w:bCs/>
                    <w:noProof w:val="0"/>
                    <w:sz w:val="26"/>
                    <w:szCs w:val="26"/>
                    <w:rtl/>
                  </w:rPr>
                  <w:t>מדינת ישראל</w:t>
                </w:r>
                <w:r w:rsidR="00FD23FC">
                  <w:rPr>
                    <w:rFonts w:ascii="Arial" w:hAnsi="Arial"/>
                    <w:b/>
                    <w:bCs/>
                    <w:noProof w:val="0"/>
                    <w:sz w:val="26"/>
                    <w:szCs w:val="26"/>
                    <w:rtl/>
                  </w:rPr>
                  <w:br/>
                </w:r>
                <w:r w:rsidR="00FD23FC">
                  <w:rPr>
                    <w:rFonts w:hint="cs"/>
                    <w:rtl/>
                  </w:rPr>
                  <w:t>ע"י ב"כ עו"ד שי נצר</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FD23FC">
      <w:pPr>
        <w:spacing w:line="360" w:lineRule="auto"/>
        <w:jc w:val="both"/>
        <w:rPr>
          <w:rFonts w:hint="cs" w:ascii="Arial" w:hAnsi="Arial"/>
          <w:noProof w:val="0"/>
          <w:rtl/>
        </w:rPr>
      </w:pPr>
      <w:r>
        <w:rPr>
          <w:rFonts w:hint="cs" w:ascii="Arial" w:hAnsi="Arial"/>
          <w:noProof w:val="0"/>
          <w:rtl/>
        </w:rPr>
        <w:t>בפני בקשה לביטול פסילה מנהלית אשר הוטלה על המבקש לאחר שקצין משטרה סבר כי יש יסוד להניח כי יוגש כנגד המבקש כתב אישום המייחס לו עבירה של נהיגת רכב במצב של שכרות.</w:t>
      </w:r>
    </w:p>
    <w:p w:rsidR="00FD23FC" w:rsidRDefault="00FD23FC">
      <w:pPr>
        <w:spacing w:line="360" w:lineRule="auto"/>
        <w:jc w:val="both"/>
        <w:rPr>
          <w:rFonts w:ascii="Arial" w:hAnsi="Arial"/>
          <w:noProof w:val="0"/>
          <w:rtl/>
        </w:rPr>
      </w:pPr>
    </w:p>
    <w:p w:rsidR="00FD23FC" w:rsidP="00B459E1" w:rsidRDefault="00FD23FC">
      <w:pPr>
        <w:spacing w:line="360" w:lineRule="auto"/>
        <w:jc w:val="both"/>
        <w:rPr>
          <w:rFonts w:hint="cs" w:ascii="Arial" w:hAnsi="Arial"/>
          <w:noProof w:val="0"/>
          <w:rtl/>
        </w:rPr>
      </w:pPr>
      <w:r>
        <w:rPr>
          <w:rFonts w:hint="cs" w:ascii="Arial" w:hAnsi="Arial"/>
          <w:noProof w:val="0"/>
          <w:rtl/>
        </w:rPr>
        <w:t xml:space="preserve">ב"כ המבקש לא טען כנגד הראיות וביקש כי הפסילה המנהלית תבוטל או תקוצר נוכח העובדה כי רף האלכוהול אינו חריג (119 מיקרוגרם אלכוהול בליטר אויר נשוף) , דוח המאפיינים תקין, אין לחובת המבקש כל עבר תעבורתי ומבחינת גילו, מצוי המבקש חודשים ספורים לפני גיל 24, אשר </w:t>
      </w:r>
      <w:r w:rsidR="00B459E1">
        <w:rPr>
          <w:rFonts w:hint="cs" w:ascii="Arial" w:hAnsi="Arial"/>
          <w:noProof w:val="0"/>
          <w:rtl/>
        </w:rPr>
        <w:t xml:space="preserve">לו </w:t>
      </w:r>
      <w:r>
        <w:rPr>
          <w:rFonts w:hint="cs" w:ascii="Arial" w:hAnsi="Arial"/>
          <w:noProof w:val="0"/>
          <w:rtl/>
        </w:rPr>
        <w:t xml:space="preserve">היה </w:t>
      </w:r>
      <w:r w:rsidR="00B459E1">
        <w:rPr>
          <w:rFonts w:hint="cs" w:ascii="Arial" w:hAnsi="Arial"/>
          <w:noProof w:val="0"/>
          <w:rtl/>
        </w:rPr>
        <w:t>חוצה אותו, היה הופך</w:t>
      </w:r>
      <w:r>
        <w:rPr>
          <w:rFonts w:hint="cs" w:ascii="Arial" w:hAnsi="Arial"/>
          <w:noProof w:val="0"/>
          <w:rtl/>
        </w:rPr>
        <w:t xml:space="preserve"> רף האלכוהול המותר ל- 240 </w:t>
      </w:r>
      <w:r w:rsidR="00BF21A8">
        <w:rPr>
          <w:rFonts w:hint="cs" w:ascii="Arial" w:hAnsi="Arial"/>
          <w:noProof w:val="0"/>
          <w:rtl/>
        </w:rPr>
        <w:t>מיקרוגרם.</w:t>
      </w:r>
    </w:p>
    <w:p w:rsidR="00BF21A8" w:rsidP="00BF21A8" w:rsidRDefault="00BF21A8">
      <w:pPr>
        <w:spacing w:line="360" w:lineRule="auto"/>
        <w:jc w:val="both"/>
        <w:rPr>
          <w:rFonts w:ascii="Arial" w:hAnsi="Arial"/>
          <w:noProof w:val="0"/>
          <w:rtl/>
        </w:rPr>
      </w:pPr>
    </w:p>
    <w:p w:rsidR="00BF21A8" w:rsidP="00BF21A8" w:rsidRDefault="00BF21A8">
      <w:pPr>
        <w:spacing w:line="360" w:lineRule="auto"/>
        <w:jc w:val="both"/>
        <w:rPr>
          <w:rFonts w:hint="cs" w:ascii="Arial" w:hAnsi="Arial"/>
          <w:noProof w:val="0"/>
          <w:rtl/>
        </w:rPr>
      </w:pPr>
      <w:r>
        <w:rPr>
          <w:rFonts w:hint="cs" w:ascii="Arial" w:hAnsi="Arial"/>
          <w:noProof w:val="0"/>
          <w:rtl/>
        </w:rPr>
        <w:t>ב"כ המדינה התנגד לבקשה וטען כי רף האלכוהול אשר נמדד הינו כפול מזה שהותר למבקש בחוק שכן המדובר בנהג שלא מלאו לו 24 שנים</w:t>
      </w:r>
      <w:r w:rsidR="00B459E1">
        <w:rPr>
          <w:rFonts w:hint="cs" w:ascii="Arial" w:hAnsi="Arial"/>
          <w:noProof w:val="0"/>
          <w:rtl/>
        </w:rPr>
        <w:t xml:space="preserve"> ולכן רף האלכוהול המכסימאלי המותר הוא 50 מ"ג.</w:t>
      </w:r>
      <w:r>
        <w:rPr>
          <w:rFonts w:hint="cs" w:ascii="Arial" w:hAnsi="Arial"/>
          <w:noProof w:val="0"/>
          <w:rtl/>
        </w:rPr>
        <w:t>.</w:t>
      </w:r>
    </w:p>
    <w:p w:rsidR="00BF21A8" w:rsidP="00BF21A8" w:rsidRDefault="00BF21A8">
      <w:pPr>
        <w:spacing w:line="360" w:lineRule="auto"/>
        <w:jc w:val="both"/>
        <w:rPr>
          <w:rFonts w:hint="cs" w:ascii="Arial" w:hAnsi="Arial"/>
          <w:noProof w:val="0"/>
          <w:rtl/>
        </w:rPr>
      </w:pPr>
      <w:r>
        <w:rPr>
          <w:rFonts w:hint="cs" w:ascii="Arial" w:hAnsi="Arial"/>
          <w:noProof w:val="0"/>
          <w:rtl/>
        </w:rPr>
        <w:t>לשיטת המדינה הכנסת הגדירה בחוק את משך הפסילה ואין כל הצדקה להתערבות בהחלטת הקצין הפוסל.</w:t>
      </w:r>
    </w:p>
    <w:p w:rsidR="00BF21A8" w:rsidP="00BF21A8" w:rsidRDefault="00BF21A8">
      <w:pPr>
        <w:spacing w:line="360" w:lineRule="auto"/>
        <w:jc w:val="both"/>
        <w:rPr>
          <w:rFonts w:ascii="Arial" w:hAnsi="Arial"/>
          <w:noProof w:val="0"/>
          <w:rtl/>
        </w:rPr>
      </w:pPr>
    </w:p>
    <w:p w:rsidRPr="00BF21A8" w:rsidR="00BF21A8" w:rsidP="00BF21A8" w:rsidRDefault="00BF21A8">
      <w:pPr>
        <w:spacing w:line="360" w:lineRule="auto"/>
        <w:jc w:val="both"/>
        <w:rPr>
          <w:rFonts w:ascii="Arial" w:hAnsi="Arial"/>
          <w:b/>
          <w:bCs/>
          <w:noProof w:val="0"/>
          <w:u w:val="single"/>
          <w:rtl/>
        </w:rPr>
      </w:pPr>
      <w:r w:rsidRPr="00BF21A8">
        <w:rPr>
          <w:rFonts w:hint="cs" w:ascii="Arial" w:hAnsi="Arial"/>
          <w:b/>
          <w:bCs/>
          <w:noProof w:val="0"/>
          <w:u w:val="single"/>
          <w:rtl/>
        </w:rPr>
        <w:t xml:space="preserve">דיון והכרעה - </w:t>
      </w:r>
    </w:p>
    <w:p w:rsidR="00BF21A8" w:rsidRDefault="00BF21A8">
      <w:pPr>
        <w:spacing w:line="360" w:lineRule="auto"/>
        <w:jc w:val="both"/>
        <w:rPr>
          <w:rFonts w:ascii="Arial" w:hAnsi="Arial"/>
          <w:noProof w:val="0"/>
          <w:rtl/>
        </w:rPr>
      </w:pPr>
      <w:r>
        <w:rPr>
          <w:rFonts w:hint="cs" w:ascii="Arial" w:hAnsi="Arial"/>
          <w:noProof w:val="0"/>
          <w:rtl/>
        </w:rPr>
        <w:t>תפקידו של בית המשפט בהליכים מסוג זה הוא תפקיד רגולטורי.</w:t>
      </w:r>
    </w:p>
    <w:p w:rsidR="00BF21A8" w:rsidRDefault="00BF21A8">
      <w:pPr>
        <w:spacing w:line="360" w:lineRule="auto"/>
        <w:jc w:val="both"/>
        <w:rPr>
          <w:rFonts w:ascii="Arial" w:hAnsi="Arial"/>
          <w:noProof w:val="0"/>
          <w:rtl/>
        </w:rPr>
      </w:pPr>
      <w:r>
        <w:rPr>
          <w:rFonts w:hint="cs" w:ascii="Arial" w:hAnsi="Arial"/>
          <w:noProof w:val="0"/>
          <w:rtl/>
        </w:rPr>
        <w:t>על בית המשפט לפקח ולוודא כי הרשות המבצעת מפעילה סמכויותיה המנהליות בהתאם לקבוע בחוק, באופן מידתי, שקול ובדרך שעולה בקנה אחד עם כוונת המחוקק.</w:t>
      </w:r>
    </w:p>
    <w:p w:rsidR="006277DF" w:rsidP="006277DF" w:rsidRDefault="00BF21A8">
      <w:pPr>
        <w:spacing w:line="360" w:lineRule="auto"/>
        <w:jc w:val="both"/>
        <w:rPr>
          <w:rFonts w:ascii="Arial" w:hAnsi="Arial"/>
          <w:noProof w:val="0"/>
          <w:rtl/>
        </w:rPr>
      </w:pPr>
      <w:r>
        <w:rPr>
          <w:rFonts w:hint="cs" w:ascii="Arial" w:hAnsi="Arial"/>
          <w:noProof w:val="0"/>
          <w:rtl/>
        </w:rPr>
        <w:t>שאלת מסוכנו</w:t>
      </w:r>
      <w:r w:rsidR="006277DF">
        <w:rPr>
          <w:rFonts w:hint="cs" w:ascii="Arial" w:hAnsi="Arial"/>
          <w:noProof w:val="0"/>
          <w:rtl/>
        </w:rPr>
        <w:t>תו של המבקש היא הניצבת במרכז</w:t>
      </w:r>
      <w:r>
        <w:rPr>
          <w:rFonts w:hint="cs" w:ascii="Arial" w:hAnsi="Arial"/>
          <w:noProof w:val="0"/>
          <w:rtl/>
        </w:rPr>
        <w:t xml:space="preserve"> </w:t>
      </w:r>
      <w:r w:rsidR="006277DF">
        <w:rPr>
          <w:rFonts w:hint="cs" w:ascii="Arial" w:hAnsi="Arial"/>
          <w:noProof w:val="0"/>
          <w:rtl/>
        </w:rPr>
        <w:t>עת בוחן בית המשפט את פעולות הרשות המבצעת.</w:t>
      </w:r>
    </w:p>
    <w:p w:rsidR="006277DF" w:rsidP="006277DF" w:rsidRDefault="006277DF">
      <w:pPr>
        <w:spacing w:line="360" w:lineRule="auto"/>
        <w:jc w:val="both"/>
        <w:rPr>
          <w:rFonts w:ascii="Arial" w:hAnsi="Arial"/>
          <w:noProof w:val="0"/>
          <w:rtl/>
        </w:rPr>
      </w:pPr>
    </w:p>
    <w:p w:rsidR="006277DF" w:rsidP="006277DF" w:rsidRDefault="006277DF">
      <w:pPr>
        <w:spacing w:line="360" w:lineRule="auto"/>
        <w:jc w:val="both"/>
        <w:rPr>
          <w:rFonts w:ascii="Arial" w:hAnsi="Arial"/>
          <w:noProof w:val="0"/>
          <w:rtl/>
        </w:rPr>
      </w:pPr>
      <w:r>
        <w:rPr>
          <w:rFonts w:hint="cs" w:ascii="Arial" w:hAnsi="Arial"/>
          <w:noProof w:val="0"/>
          <w:rtl/>
        </w:rPr>
        <w:t>ככל שפעלה משטרת ישראל על פי חוק, וככל שהפעלת הסמכות המנהלית הופעלה כלפי מי שיצר סיכון לסביבתו או שניתן ללמוד מהתנהגותו או עברו כי המדובר בנהג מסוכן, כך ייטה בית המשפט לאשר את ההליך המנהלי ללא כל התערבות.</w:t>
      </w:r>
    </w:p>
    <w:p w:rsidR="006277DF" w:rsidP="006277DF" w:rsidRDefault="006277DF">
      <w:pPr>
        <w:spacing w:line="360" w:lineRule="auto"/>
        <w:jc w:val="both"/>
        <w:rPr>
          <w:rFonts w:ascii="Arial" w:hAnsi="Arial"/>
          <w:noProof w:val="0"/>
          <w:rtl/>
        </w:rPr>
      </w:pPr>
      <w:r>
        <w:rPr>
          <w:rFonts w:hint="cs" w:ascii="Arial" w:hAnsi="Arial"/>
          <w:noProof w:val="0"/>
          <w:rtl/>
        </w:rPr>
        <w:t>ככל שלא פעלה משטרת ישראל בהתאם להוראות החוק או שניתן ללמוד כי לא נשקפת כל מסוכנות מהמבקש, כך יורה בית המשפט על ביטול או קיצור ההליך המנהלי.</w:t>
      </w:r>
    </w:p>
    <w:p w:rsidR="006277DF" w:rsidP="006277DF" w:rsidRDefault="006277DF">
      <w:pPr>
        <w:spacing w:line="360" w:lineRule="auto"/>
        <w:jc w:val="both"/>
        <w:rPr>
          <w:rFonts w:ascii="Arial" w:hAnsi="Arial"/>
          <w:noProof w:val="0"/>
          <w:rtl/>
        </w:rPr>
      </w:pPr>
    </w:p>
    <w:p w:rsidR="006277DF" w:rsidP="006277DF" w:rsidRDefault="006277DF">
      <w:pPr>
        <w:spacing w:line="360" w:lineRule="auto"/>
        <w:jc w:val="both"/>
        <w:rPr>
          <w:rFonts w:ascii="Arial" w:hAnsi="Arial"/>
          <w:noProof w:val="0"/>
          <w:rtl/>
        </w:rPr>
      </w:pPr>
      <w:r>
        <w:rPr>
          <w:rFonts w:hint="cs" w:ascii="Arial" w:hAnsi="Arial"/>
          <w:noProof w:val="0"/>
          <w:rtl/>
        </w:rPr>
        <w:t>בפרשה שבפני, לא חולק ב"כ המבקש על קיומן של ראיות לכאורה כנגד המבקש.</w:t>
      </w:r>
    </w:p>
    <w:p w:rsidR="006277DF" w:rsidP="006277DF" w:rsidRDefault="006277DF">
      <w:pPr>
        <w:spacing w:line="360" w:lineRule="auto"/>
        <w:jc w:val="both"/>
        <w:rPr>
          <w:rFonts w:ascii="Arial" w:hAnsi="Arial"/>
          <w:noProof w:val="0"/>
          <w:rtl/>
        </w:rPr>
      </w:pPr>
      <w:r>
        <w:rPr>
          <w:rFonts w:hint="cs" w:ascii="Arial" w:hAnsi="Arial"/>
          <w:noProof w:val="0"/>
          <w:rtl/>
        </w:rPr>
        <w:t>בהתאם לראיות שהציגה המדינה, נהג המבקש (שהוא אדם צעיר מתחת לגיל 24) ברכב כאשר בדגימת אויר שנלקחה ממנו נמצאה רמת אלכוהול של 119 מ"ג אלכוהול בליטר אויר נשוף.</w:t>
      </w:r>
    </w:p>
    <w:p w:rsidR="006277DF" w:rsidP="006277DF" w:rsidRDefault="006277DF">
      <w:pPr>
        <w:spacing w:line="360" w:lineRule="auto"/>
        <w:jc w:val="both"/>
        <w:rPr>
          <w:rFonts w:hint="cs" w:ascii="Arial" w:hAnsi="Arial"/>
          <w:noProof w:val="0"/>
          <w:rtl/>
        </w:rPr>
      </w:pPr>
      <w:r>
        <w:rPr>
          <w:rFonts w:hint="cs" w:ascii="Arial" w:hAnsi="Arial"/>
          <w:noProof w:val="0"/>
          <w:rtl/>
        </w:rPr>
        <w:t xml:space="preserve">בהשוואה לבגיר מעל גיל 24, אין המדובר ברף אלכוהול המהווה מצב של שכרות. </w:t>
      </w:r>
    </w:p>
    <w:p w:rsidR="009100FE" w:rsidP="006277DF" w:rsidRDefault="006277DF">
      <w:pPr>
        <w:spacing w:line="360" w:lineRule="auto"/>
        <w:jc w:val="both"/>
        <w:rPr>
          <w:rFonts w:ascii="Arial" w:hAnsi="Arial"/>
          <w:noProof w:val="0"/>
          <w:rtl/>
        </w:rPr>
      </w:pPr>
      <w:r>
        <w:rPr>
          <w:rFonts w:hint="cs" w:ascii="Arial" w:hAnsi="Arial"/>
          <w:noProof w:val="0"/>
          <w:rtl/>
        </w:rPr>
        <w:t xml:space="preserve">יחד עם זאת, כנסת ישראל החליטה בחקיקה כי כאשר באוכלוסיית נהגים צעירה עסקינן, </w:t>
      </w:r>
      <w:r w:rsidR="009100FE">
        <w:rPr>
          <w:rFonts w:hint="cs" w:ascii="Arial" w:hAnsi="Arial"/>
          <w:noProof w:val="0"/>
          <w:rtl/>
        </w:rPr>
        <w:t>תינקט מדיניות של "0 סובלנות" ביחס לנהיגה תחת השפעת אלכוהול ולו כזו העולה על 50 מ"ג בליטר אויר נשוף.</w:t>
      </w:r>
    </w:p>
    <w:p w:rsidR="009100FE" w:rsidP="006277DF" w:rsidRDefault="009100FE">
      <w:pPr>
        <w:spacing w:line="360" w:lineRule="auto"/>
        <w:jc w:val="both"/>
        <w:rPr>
          <w:rFonts w:ascii="Arial" w:hAnsi="Arial"/>
          <w:noProof w:val="0"/>
          <w:rtl/>
        </w:rPr>
      </w:pPr>
      <w:r>
        <w:rPr>
          <w:rFonts w:hint="cs" w:ascii="Arial" w:hAnsi="Arial"/>
          <w:noProof w:val="0"/>
          <w:rtl/>
        </w:rPr>
        <w:t>במצב הדברים הקיים, ובהתאם לחוק, אין זה נכון ואין זה עולה בקנה אחד עם כוונת המחוקק להשוות את מצבו של המבקש (גם אם בקרוב יימלאו לו 24 שנים) למצבו של מי שכבר חצה רף גיל זה.</w:t>
      </w:r>
    </w:p>
    <w:p w:rsidR="009100FE" w:rsidP="00B459E1" w:rsidRDefault="009100FE">
      <w:pPr>
        <w:spacing w:line="360" w:lineRule="auto"/>
        <w:jc w:val="both"/>
        <w:rPr>
          <w:rFonts w:ascii="Arial" w:hAnsi="Arial"/>
          <w:noProof w:val="0"/>
          <w:rtl/>
        </w:rPr>
      </w:pPr>
      <w:r>
        <w:rPr>
          <w:rFonts w:hint="cs" w:ascii="Arial" w:hAnsi="Arial"/>
          <w:noProof w:val="0"/>
          <w:rtl/>
        </w:rPr>
        <w:t xml:space="preserve">יש לבחון את מצבו של המבקש בהתאם להוראות החוק המגבילות את רף האלכוהול המותר ל-50 </w:t>
      </w:r>
      <w:r w:rsidR="00B459E1">
        <w:rPr>
          <w:rFonts w:hint="cs" w:ascii="Arial" w:hAnsi="Arial"/>
          <w:noProof w:val="0"/>
          <w:rtl/>
        </w:rPr>
        <w:t>מ</w:t>
      </w:r>
      <w:r>
        <w:rPr>
          <w:rFonts w:hint="cs" w:ascii="Arial" w:hAnsi="Arial"/>
          <w:noProof w:val="0"/>
          <w:rtl/>
        </w:rPr>
        <w:t>"ג בלבד!</w:t>
      </w:r>
    </w:p>
    <w:p w:rsidR="009100FE" w:rsidP="006277DF" w:rsidRDefault="009100FE">
      <w:pPr>
        <w:spacing w:line="360" w:lineRule="auto"/>
        <w:jc w:val="both"/>
        <w:rPr>
          <w:rFonts w:ascii="Arial" w:hAnsi="Arial"/>
          <w:noProof w:val="0"/>
          <w:rtl/>
        </w:rPr>
      </w:pPr>
      <w:r>
        <w:rPr>
          <w:rFonts w:hint="cs" w:ascii="Arial" w:hAnsi="Arial"/>
          <w:noProof w:val="0"/>
          <w:rtl/>
        </w:rPr>
        <w:t xml:space="preserve">המבקש במקרה זה שתה אלכוהול לפני נהיגתו, וגם אם לא שתה כמות גדולה של אלכוהול, וגם אם דוח המאפיינים שלו היה תקין, וגם אם נעדר הוא כל עבר תעבורתי, </w:t>
      </w:r>
      <w:r w:rsidRPr="00B459E1">
        <w:rPr>
          <w:rFonts w:hint="cs" w:ascii="Arial" w:hAnsi="Arial"/>
          <w:b/>
          <w:bCs/>
          <w:noProof w:val="0"/>
          <w:rtl/>
        </w:rPr>
        <w:t>עדיין בגופו נמצאה רמת אלכוהול שהיא יותר מכפל הרמה המכסימאלית המותרת לגילו בהתאם לחוק</w:t>
      </w:r>
      <w:r>
        <w:rPr>
          <w:rFonts w:hint="cs" w:ascii="Arial" w:hAnsi="Arial"/>
          <w:noProof w:val="0"/>
          <w:rtl/>
        </w:rPr>
        <w:t>.</w:t>
      </w:r>
    </w:p>
    <w:p w:rsidR="009100FE" w:rsidP="00B459E1" w:rsidRDefault="009100FE">
      <w:pPr>
        <w:spacing w:line="360" w:lineRule="auto"/>
        <w:jc w:val="both"/>
        <w:rPr>
          <w:rFonts w:ascii="Arial" w:hAnsi="Arial"/>
          <w:noProof w:val="0"/>
          <w:rtl/>
        </w:rPr>
      </w:pPr>
      <w:r>
        <w:rPr>
          <w:rFonts w:hint="cs" w:ascii="Arial" w:hAnsi="Arial"/>
          <w:noProof w:val="0"/>
          <w:rtl/>
        </w:rPr>
        <w:t>המחוקק היה מודע ל"השלכות הרוחב" של התיקון אותו ביצע בחוק והבין היטב כי הפיכת רף אלכוהול נמוך זה למצב של "שכרות" יאפשר במקביל את הפעלת כל הסמכויות המנהליות כלפי ציבור נוהגים זה.</w:t>
      </w:r>
    </w:p>
    <w:p w:rsidR="00A650CA" w:rsidP="006277DF" w:rsidRDefault="009100FE">
      <w:pPr>
        <w:spacing w:line="360" w:lineRule="auto"/>
        <w:jc w:val="both"/>
        <w:rPr>
          <w:rFonts w:ascii="Arial" w:hAnsi="Arial"/>
          <w:noProof w:val="0"/>
          <w:rtl/>
        </w:rPr>
      </w:pPr>
      <w:r>
        <w:rPr>
          <w:rFonts w:hint="cs" w:ascii="Arial" w:hAnsi="Arial"/>
          <w:noProof w:val="0"/>
          <w:rtl/>
        </w:rPr>
        <w:t>המחוקק לא שינה ולא ביטל את הסמכות המנהלית לפסילת רישיון הנהיגה למשך 30 יום במצב של שכרות כל</w:t>
      </w:r>
      <w:r w:rsidR="00A650CA">
        <w:rPr>
          <w:rFonts w:hint="cs" w:ascii="Arial" w:hAnsi="Arial"/>
          <w:noProof w:val="0"/>
          <w:rtl/>
        </w:rPr>
        <w:t>פי נהגים צעירים מגיל 24 שנים.</w:t>
      </w:r>
    </w:p>
    <w:p w:rsidR="00A650CA" w:rsidP="006277DF" w:rsidRDefault="00A650CA">
      <w:pPr>
        <w:spacing w:line="360" w:lineRule="auto"/>
        <w:jc w:val="both"/>
        <w:rPr>
          <w:rFonts w:ascii="Arial" w:hAnsi="Arial"/>
          <w:noProof w:val="0"/>
          <w:rtl/>
        </w:rPr>
      </w:pPr>
      <w:r>
        <w:rPr>
          <w:rFonts w:hint="cs" w:ascii="Arial" w:hAnsi="Arial"/>
          <w:noProof w:val="0"/>
          <w:rtl/>
        </w:rPr>
        <w:t>קצין המשטרה אשר קיים שימוע למבקש פעל בהתאם להוראות החוק.</w:t>
      </w:r>
    </w:p>
    <w:p w:rsidR="00A650CA" w:rsidP="00D242F0" w:rsidRDefault="00A650CA">
      <w:pPr>
        <w:spacing w:line="360" w:lineRule="auto"/>
        <w:jc w:val="both"/>
        <w:rPr>
          <w:rFonts w:ascii="Arial" w:hAnsi="Arial"/>
          <w:noProof w:val="0"/>
          <w:rtl/>
        </w:rPr>
      </w:pPr>
      <w:r>
        <w:rPr>
          <w:rFonts w:hint="cs" w:ascii="Arial" w:hAnsi="Arial"/>
          <w:noProof w:val="0"/>
          <w:rtl/>
        </w:rPr>
        <w:t xml:space="preserve">שיקול דעתו של קצין המשטרה עת פסל המבקש למשך 30 יום בהליך מנהלי כתוצאה מרף האלכוהול הכפול מהמותר בגופו, פעל </w:t>
      </w:r>
      <w:r w:rsidR="00D242F0">
        <w:rPr>
          <w:rFonts w:hint="cs" w:ascii="Arial" w:hAnsi="Arial"/>
          <w:noProof w:val="0"/>
          <w:rtl/>
        </w:rPr>
        <w:t>כ</w:t>
      </w:r>
      <w:r>
        <w:rPr>
          <w:rFonts w:hint="cs" w:ascii="Arial" w:hAnsi="Arial"/>
          <w:noProof w:val="0"/>
          <w:rtl/>
        </w:rPr>
        <w:t>שיקול דעת סביר.</w:t>
      </w:r>
    </w:p>
    <w:p w:rsidR="00A650CA" w:rsidP="006277DF" w:rsidRDefault="00A650CA">
      <w:pPr>
        <w:spacing w:line="360" w:lineRule="auto"/>
        <w:jc w:val="both"/>
        <w:rPr>
          <w:rFonts w:ascii="Arial" w:hAnsi="Arial"/>
          <w:noProof w:val="0"/>
          <w:rtl/>
        </w:rPr>
      </w:pPr>
      <w:r>
        <w:rPr>
          <w:rFonts w:hint="cs" w:ascii="Arial" w:hAnsi="Arial"/>
          <w:noProof w:val="0"/>
          <w:rtl/>
        </w:rPr>
        <w:lastRenderedPageBreak/>
        <w:t xml:space="preserve">נהג צעיר, בעל ותק נהיגה קצר של שנים ספורות, האוחז בהגה כאשר בגופו רמת אלכוהול כפולה מזו המותרת בחוק, מייצר בהכרח סיכון לעצמו ולסביבתו גם אם בעוד מספר חודשים ייצא </w:t>
      </w:r>
      <w:r w:rsidR="00D242F0">
        <w:rPr>
          <w:rFonts w:hint="cs" w:ascii="Arial" w:hAnsi="Arial"/>
          <w:noProof w:val="0"/>
          <w:rtl/>
        </w:rPr>
        <w:t xml:space="preserve">הוא </w:t>
      </w:r>
      <w:r>
        <w:rPr>
          <w:rFonts w:hint="cs" w:ascii="Arial" w:hAnsi="Arial"/>
          <w:noProof w:val="0"/>
          <w:rtl/>
        </w:rPr>
        <w:t>מקבוצת הגיל לגביה התנהגותו מהווה עבירה.</w:t>
      </w:r>
    </w:p>
    <w:p w:rsidR="00A650CA" w:rsidP="006277DF" w:rsidRDefault="00A650CA">
      <w:pPr>
        <w:spacing w:line="360" w:lineRule="auto"/>
        <w:jc w:val="both"/>
        <w:rPr>
          <w:rFonts w:ascii="Arial" w:hAnsi="Arial"/>
          <w:noProof w:val="0"/>
          <w:rtl/>
        </w:rPr>
      </w:pPr>
    </w:p>
    <w:p w:rsidR="00A650CA" w:rsidP="006277DF" w:rsidRDefault="00A650CA">
      <w:pPr>
        <w:spacing w:line="360" w:lineRule="auto"/>
        <w:jc w:val="both"/>
        <w:rPr>
          <w:rFonts w:ascii="Arial" w:hAnsi="Arial"/>
          <w:noProof w:val="0"/>
          <w:rtl/>
        </w:rPr>
      </w:pPr>
      <w:r>
        <w:rPr>
          <w:rFonts w:hint="cs" w:ascii="Arial" w:hAnsi="Arial"/>
          <w:noProof w:val="0"/>
          <w:rtl/>
        </w:rPr>
        <w:t>מתן קיצור או ביטול של ההליך המנהלי כלפי המבקש עלולה לייצר "מדרון חלקלק" ביחס לנהגים צעירים אשר יחרגו "רק במעט" מרף האלכוהול המותר ודוחות המאפיינים שלהם יהיו תקינים.</w:t>
      </w:r>
    </w:p>
    <w:p w:rsidR="00A650CA" w:rsidP="006277DF" w:rsidRDefault="00A650CA">
      <w:pPr>
        <w:spacing w:line="360" w:lineRule="auto"/>
        <w:jc w:val="both"/>
        <w:rPr>
          <w:rFonts w:ascii="Arial" w:hAnsi="Arial"/>
          <w:noProof w:val="0"/>
          <w:rtl/>
        </w:rPr>
      </w:pPr>
      <w:r>
        <w:rPr>
          <w:rFonts w:hint="cs" w:ascii="Arial" w:hAnsi="Arial"/>
          <w:noProof w:val="0"/>
          <w:rtl/>
        </w:rPr>
        <w:t>מתן יד למצב זה בהחלטה שיפוטית מהווה בעיני חריגה בוטה מכוונת המחוקק, ואין אני מוצא כל הצדקה לכך בנסיבות.</w:t>
      </w:r>
    </w:p>
    <w:p w:rsidR="00D242F0" w:rsidP="006277DF" w:rsidRDefault="00D242F0">
      <w:pPr>
        <w:spacing w:line="360" w:lineRule="auto"/>
        <w:jc w:val="both"/>
        <w:rPr>
          <w:rFonts w:hint="cs" w:ascii="Arial" w:hAnsi="Arial"/>
          <w:noProof w:val="0"/>
          <w:rtl/>
        </w:rPr>
      </w:pPr>
      <w:r>
        <w:rPr>
          <w:rFonts w:hint="cs" w:ascii="Arial" w:hAnsi="Arial"/>
          <w:noProof w:val="0"/>
          <w:rtl/>
        </w:rPr>
        <w:t>רמה כפולה של אלכוהול בגופו של נהג מזו הקבועה בחוק ביחס לגילו, מבססת מצב עובדתי המייצר סכנה לציבור הנוהגים ברכב.</w:t>
      </w:r>
    </w:p>
    <w:p w:rsidR="00D242F0" w:rsidP="006277DF" w:rsidRDefault="00D242F0">
      <w:pPr>
        <w:spacing w:line="360" w:lineRule="auto"/>
        <w:jc w:val="both"/>
        <w:rPr>
          <w:rFonts w:ascii="Arial" w:hAnsi="Arial"/>
          <w:noProof w:val="0"/>
          <w:rtl/>
        </w:rPr>
      </w:pPr>
      <w:r>
        <w:rPr>
          <w:rFonts w:hint="cs" w:ascii="Arial" w:hAnsi="Arial"/>
          <w:noProof w:val="0"/>
          <w:rtl/>
        </w:rPr>
        <w:t>סכנה זו אותה יצר המבקש מצדיקה באופן מלא את ההליך המנהלי כלפיו ללא קיצורו וללא ביטולו.</w:t>
      </w:r>
    </w:p>
    <w:p w:rsidR="00A650CA" w:rsidP="006277DF" w:rsidRDefault="00A650CA">
      <w:pPr>
        <w:spacing w:line="360" w:lineRule="auto"/>
        <w:jc w:val="both"/>
        <w:rPr>
          <w:rFonts w:ascii="Arial" w:hAnsi="Arial"/>
          <w:noProof w:val="0"/>
          <w:rtl/>
        </w:rPr>
      </w:pPr>
    </w:p>
    <w:p w:rsidR="00694556" w:rsidP="00A650CA" w:rsidRDefault="00A650CA">
      <w:pPr>
        <w:spacing w:line="360" w:lineRule="auto"/>
        <w:jc w:val="both"/>
        <w:rPr>
          <w:rFonts w:ascii="Arial" w:hAnsi="Arial"/>
          <w:noProof w:val="0"/>
          <w:rtl/>
        </w:rPr>
      </w:pPr>
      <w:r>
        <w:rPr>
          <w:rFonts w:hint="cs" w:ascii="Arial" w:hAnsi="Arial"/>
          <w:noProof w:val="0"/>
          <w:rtl/>
        </w:rPr>
        <w:t>אני מוצא את החלטת קצין המשטרה סבירה, תואמת את הוראות החוק, ואני מחליט לדחות את בקשת המבקש.</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F619C7">
      <w:pPr>
        <w:spacing w:line="360" w:lineRule="auto"/>
        <w:ind w:left="3600" w:firstLine="720"/>
        <w:jc w:val="center"/>
        <w:rPr>
          <w:rFonts w:ascii="Arial" w:hAnsi="Arial"/>
          <w:noProof w:val="0"/>
          <w:rtl/>
        </w:rPr>
      </w:pPr>
      <w:bookmarkStart w:name="_GoBack" w:id="0"/>
      <w:bookmarkEnd w:id="0"/>
      <w:sdt>
        <w:sdtPr>
          <w:alias w:val="MergeField"/>
          <w:tag w:val="1237"/>
        </w:sdtPr>
        <w:sdtContent>
          <w:p>
            <w:r>
              <w:drawing>
                <wp:inline distT="0" distB="0" distL="0" distR="0" wp14:editId="50D07946">
                  <wp:extent cx="134302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d2d31a662dd444d" cstate="print">
                            <a:extLst>
                              <a:ext uri="{28A0092B-C50C-407E-A947-70E740481C1C}"/>
                            </a:extLst>
                          </a:blip>
                          <a:stretch>
                            <a:fillRect/>
                          </a:stretch>
                        </pic:blipFill>
                        <pic:spPr>
                          <a:xfrm>
                            <a:off x="0" y="0"/>
                            <a:ext cx="1343025" cy="790575"/>
                          </a:xfrm>
                          <a:prstGeom prst="rect">
                            <a:avLst/>
                          </a:prstGeom>
                        </pic:spPr>
                      </pic:pic>
                    </a:graphicData>
                  </a:graphic>
                </wp:inline>
              </w:drawing>
            </w:r>
          </w:p>
        </w:sdtContent>
      </w:sdt>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619C7">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619C7">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D23FC">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73CACA71" wp14:editId="45C549AF">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656422513"/>
          <w:text w:multiLine="1"/>
        </w:sdtPr>
        <w:sdtEndPr/>
        <w:sdtContent>
          <w:tc>
            <w:tcPr>
              <w:tcW w:w="8721" w:type="dxa"/>
              <w:gridSpan w:val="2"/>
            </w:tcPr>
            <w:p w:rsidR="00694556" w:rsidP="00BE05B2"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לתעבורה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F619C7">
          <w:pPr>
            <w:rPr>
              <w:b/>
              <w:bCs/>
              <w:noProof w:val="0"/>
              <w:sz w:val="26"/>
              <w:szCs w:val="26"/>
              <w:rtl/>
            </w:rPr>
          </w:pPr>
          <w:sdt>
            <w:sdtPr>
              <w:rPr>
                <w:rtl/>
              </w:rPr>
              <w:alias w:val="1170"/>
              <w:tag w:val="1170"/>
              <w:id w:val="1066377040"/>
              <w:text w:multiLine="1"/>
            </w:sdtPr>
            <w:sdtEndPr/>
            <w:sdtContent>
              <w:r w:rsidR="00684006">
                <w:rPr>
                  <w:b/>
                  <w:bCs/>
                  <w:noProof w:val="0"/>
                  <w:sz w:val="26"/>
                  <w:szCs w:val="26"/>
                  <w:rtl/>
                </w:rPr>
                <w:t>בפ"מ</w:t>
              </w:r>
            </w:sdtContent>
          </w:sdt>
          <w:r w:rsidR="00005C8B">
            <w:rPr>
              <w:b/>
              <w:bCs/>
              <w:noProof w:val="0"/>
              <w:sz w:val="26"/>
              <w:szCs w:val="26"/>
              <w:rtl/>
            </w:rPr>
            <w:t xml:space="preserve"> </w:t>
          </w:r>
          <w:sdt>
            <w:sdtPr>
              <w:rPr>
                <w:rtl/>
              </w:rPr>
              <w:alias w:val="1171"/>
              <w:tag w:val="1171"/>
              <w:id w:val="257034231"/>
              <w:text w:multiLine="1"/>
            </w:sdtPr>
            <w:sdtEndPr/>
            <w:sdtContent>
              <w:r w:rsidR="00684006">
                <w:rPr>
                  <w:b/>
                  <w:bCs/>
                  <w:noProof w:val="0"/>
                  <w:sz w:val="26"/>
                  <w:szCs w:val="26"/>
                  <w:rtl/>
                </w:rPr>
                <w:t>1559-04-18</w:t>
              </w:r>
            </w:sdtContent>
          </w:sdt>
          <w:r w:rsidR="00005C8B">
            <w:rPr>
              <w:b/>
              <w:bCs/>
              <w:noProof w:val="0"/>
              <w:sz w:val="26"/>
              <w:szCs w:val="26"/>
              <w:rtl/>
            </w:rPr>
            <w:t xml:space="preserve"> </w:t>
          </w:r>
          <w:sdt>
            <w:sdtPr>
              <w:rPr>
                <w:rtl/>
              </w:rPr>
              <w:alias w:val="1172"/>
              <w:tag w:val="1172"/>
              <w:id w:val="-595170033"/>
              <w:text w:multiLine="1"/>
            </w:sdtPr>
            <w:sdtEndPr/>
            <w:sdtContent>
              <w:r w:rsidR="00684006">
                <w:rPr>
                  <w:b/>
                  <w:bCs/>
                  <w:noProof w:val="0"/>
                  <w:sz w:val="26"/>
                  <w:szCs w:val="26"/>
                  <w:rtl/>
                </w:rPr>
                <w:t>נחום נ' מדינת ישראל</w:t>
              </w:r>
            </w:sdtContent>
          </w:sdt>
        </w:p>
        <w:p w:rsidR="00694556" w:rsidRDefault="00694556">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1619777"/>
              <w:text w:multiLine="1"/>
            </w:sdtPr>
            <w:sdtEndPr/>
            <w:sdtContent>
              <w:r>
                <w:rPr>
                  <w:sz w:val="20"/>
                  <w:szCs w:val="20"/>
                  <w:rtl/>
                </w:rPr>
                <w:t>90211002333</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32098"/>
    <o:shapelayout v:ext="edit">
      <o:idmap v:ext="edit" data="12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6AF7"/>
    <w:rsid w:val="000A0BF1"/>
    <w:rsid w:val="000B344B"/>
    <w:rsid w:val="000C3B0F"/>
    <w:rsid w:val="000C3B60"/>
    <w:rsid w:val="000E3AF1"/>
    <w:rsid w:val="000F0BC8"/>
    <w:rsid w:val="000F0DD6"/>
    <w:rsid w:val="00107E6D"/>
    <w:rsid w:val="0011194C"/>
    <w:rsid w:val="0011424C"/>
    <w:rsid w:val="001367BC"/>
    <w:rsid w:val="00144D2A"/>
    <w:rsid w:val="0014653E"/>
    <w:rsid w:val="001632BD"/>
    <w:rsid w:val="00180519"/>
    <w:rsid w:val="00191C82"/>
    <w:rsid w:val="001C4003"/>
    <w:rsid w:val="001D4DBF"/>
    <w:rsid w:val="002265FF"/>
    <w:rsid w:val="002C344E"/>
    <w:rsid w:val="00307A6A"/>
    <w:rsid w:val="00307C40"/>
    <w:rsid w:val="00320433"/>
    <w:rsid w:val="00327E50"/>
    <w:rsid w:val="0033597A"/>
    <w:rsid w:val="00362612"/>
    <w:rsid w:val="0036743F"/>
    <w:rsid w:val="003715DD"/>
    <w:rsid w:val="003823E0"/>
    <w:rsid w:val="003831DE"/>
    <w:rsid w:val="003A4521"/>
    <w:rsid w:val="0040096C"/>
    <w:rsid w:val="00414F1F"/>
    <w:rsid w:val="0043125D"/>
    <w:rsid w:val="0043502B"/>
    <w:rsid w:val="004C4BDF"/>
    <w:rsid w:val="004D1187"/>
    <w:rsid w:val="004E1987"/>
    <w:rsid w:val="004E6E3C"/>
    <w:rsid w:val="00520898"/>
    <w:rsid w:val="00524986"/>
    <w:rsid w:val="005268F6"/>
    <w:rsid w:val="00547DB7"/>
    <w:rsid w:val="005F4F09"/>
    <w:rsid w:val="0061431B"/>
    <w:rsid w:val="00622BAA"/>
    <w:rsid w:val="006277DF"/>
    <w:rsid w:val="006306CF"/>
    <w:rsid w:val="00671BD5"/>
    <w:rsid w:val="006805C1"/>
    <w:rsid w:val="00684006"/>
    <w:rsid w:val="00686C21"/>
    <w:rsid w:val="006931C1"/>
    <w:rsid w:val="00694556"/>
    <w:rsid w:val="006D3B31"/>
    <w:rsid w:val="006E1A53"/>
    <w:rsid w:val="00704EDA"/>
    <w:rsid w:val="00721122"/>
    <w:rsid w:val="00753019"/>
    <w:rsid w:val="00795365"/>
    <w:rsid w:val="007E6115"/>
    <w:rsid w:val="007F4609"/>
    <w:rsid w:val="008176A1"/>
    <w:rsid w:val="00820005"/>
    <w:rsid w:val="00844318"/>
    <w:rsid w:val="00873602"/>
    <w:rsid w:val="00875D12"/>
    <w:rsid w:val="00896889"/>
    <w:rsid w:val="008C5714"/>
    <w:rsid w:val="008D10B2"/>
    <w:rsid w:val="00903896"/>
    <w:rsid w:val="00906F3D"/>
    <w:rsid w:val="009100FE"/>
    <w:rsid w:val="00967DFF"/>
    <w:rsid w:val="00994341"/>
    <w:rsid w:val="009F323C"/>
    <w:rsid w:val="00A3392B"/>
    <w:rsid w:val="00A650CA"/>
    <w:rsid w:val="00A94B64"/>
    <w:rsid w:val="00AA3229"/>
    <w:rsid w:val="00AA7596"/>
    <w:rsid w:val="00AB5E52"/>
    <w:rsid w:val="00AC3B7B"/>
    <w:rsid w:val="00AC5209"/>
    <w:rsid w:val="00AE7752"/>
    <w:rsid w:val="00AF7FDA"/>
    <w:rsid w:val="00B459E1"/>
    <w:rsid w:val="00B80CBD"/>
    <w:rsid w:val="00B86096"/>
    <w:rsid w:val="00BA517C"/>
    <w:rsid w:val="00BB3D05"/>
    <w:rsid w:val="00BB73BE"/>
    <w:rsid w:val="00BE05B2"/>
    <w:rsid w:val="00BF1908"/>
    <w:rsid w:val="00BF21A8"/>
    <w:rsid w:val="00C22D93"/>
    <w:rsid w:val="00C31120"/>
    <w:rsid w:val="00C34482"/>
    <w:rsid w:val="00C50A9F"/>
    <w:rsid w:val="00C642FA"/>
    <w:rsid w:val="00CC7622"/>
    <w:rsid w:val="00D242F0"/>
    <w:rsid w:val="00D27982"/>
    <w:rsid w:val="00D33B86"/>
    <w:rsid w:val="00D53924"/>
    <w:rsid w:val="00D55D0C"/>
    <w:rsid w:val="00D96D8C"/>
    <w:rsid w:val="00DA6649"/>
    <w:rsid w:val="00DC1259"/>
    <w:rsid w:val="00DC2571"/>
    <w:rsid w:val="00DC487C"/>
    <w:rsid w:val="00E25884"/>
    <w:rsid w:val="00E5426A"/>
    <w:rsid w:val="00E54642"/>
    <w:rsid w:val="00E63028"/>
    <w:rsid w:val="00EC37E9"/>
    <w:rsid w:val="00F13623"/>
    <w:rsid w:val="00F619C7"/>
    <w:rsid w:val="00F84B6D"/>
    <w:rsid w:val="00FA5FDA"/>
    <w:rsid w:val="00FD1419"/>
    <w:rsid w:val="00FD23FC"/>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14:docId w14:val="1D165208"/>
  <w15:docId w15:val="{E3B9DCF6-8AFA-4F43-BD05-9E45724C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ad2d31a662dd444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633</Words>
  <Characters>3165</Characters>
  <Application>Microsoft Office Word</Application>
  <DocSecurity>0</DocSecurity>
  <Lines>26</Lines>
  <Paragraphs>7</Paragraphs>
  <ScaleCrop>false</ScaleCrop>
  <Company>Microsoft Corporation</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אלון אופיר</cp:lastModifiedBy>
  <cp:revision>18</cp:revision>
  <dcterms:created xsi:type="dcterms:W3CDTF">2012-08-06T05:16:00Z</dcterms:created>
  <dcterms:modified xsi:type="dcterms:W3CDTF">2018-04-12T15:02:00Z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