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F647CD" w:rsidR="004C0FB0" w:rsidTr="001F7E6C">
        <w:trPr>
          <w:jc w:val="center"/>
        </w:trPr>
        <w:tc>
          <w:tcPr>
            <w:tcW w:w="8820" w:type="dxa"/>
            <w:gridSpan w:val="2"/>
            <w:hideMark/>
          </w:tcPr>
          <w:p w:rsidRPr="00F647CD" w:rsidR="004C0FB0" w:rsidP="00F647CD" w:rsidRDefault="004C0FB0">
            <w:pPr>
              <w:jc w:val="both"/>
              <w:rPr>
                <w:b/>
                <w:bCs/>
                <w:sz w:val="26"/>
                <w:szCs w:val="26"/>
                <w:rtl/>
              </w:rPr>
            </w:pPr>
            <w:r w:rsidRPr="00F647CD">
              <w:rPr>
                <w:rFonts w:hint="cs"/>
                <w:b/>
                <w:bCs/>
                <w:sz w:val="26"/>
                <w:szCs w:val="26"/>
                <w:rtl/>
              </w:rPr>
              <w:t xml:space="preserve">לפני </w:t>
            </w:r>
            <w:r w:rsidRPr="00F647CD">
              <w:rPr>
                <w:rFonts w:hint="cs" w:ascii="Arial" w:hAnsi="Arial"/>
                <w:b/>
                <w:bCs/>
                <w:sz w:val="26"/>
                <w:szCs w:val="26"/>
                <w:rtl/>
              </w:rPr>
              <w:t>כבוד ה</w:t>
            </w:r>
            <w:sdt>
              <w:sdtPr>
                <w:rPr>
                  <w:b/>
                  <w:bCs/>
                  <w:sz w:val="26"/>
                  <w:szCs w:val="26"/>
                  <w:rtl/>
                </w:rPr>
                <w:alias w:val="1574"/>
                <w:tag w:val="1574"/>
                <w:id w:val="-868990752"/>
                <w:text w:multiLine="1"/>
              </w:sdtPr>
              <w:sdtContent>
                <w:r w:rsidRPr="00F647CD" w:rsidR="00F647CD">
                  <w:rPr>
                    <w:b/>
                    <w:bCs/>
                    <w:sz w:val="26"/>
                    <w:szCs w:val="26"/>
                    <w:rtl/>
                  </w:rPr>
                  <w:t>שופט ירון בשן, סגן נשיא</w:t>
                </w:r>
              </w:sdtContent>
            </w:sdt>
            <w:r w:rsidRPr="00F647CD">
              <w:rPr>
                <w:rFonts w:hint="cs" w:ascii="Arial" w:hAnsi="Arial"/>
                <w:b/>
                <w:bCs/>
                <w:sz w:val="26"/>
                <w:szCs w:val="26"/>
                <w:rtl/>
              </w:rPr>
              <w:t xml:space="preserve"> </w:t>
            </w:r>
          </w:p>
          <w:p w:rsidRPr="00F647CD" w:rsidR="00F647CD" w:rsidP="00F647CD" w:rsidRDefault="00F647CD">
            <w:pPr>
              <w:jc w:val="both"/>
              <w:rPr>
                <w:b/>
                <w:bCs/>
                <w:sz w:val="26"/>
                <w:szCs w:val="26"/>
              </w:rPr>
            </w:pPr>
          </w:p>
        </w:tc>
      </w:tr>
      <w:tr w:rsidRPr="00AD71A0" w:rsidR="006816EC" w:rsidTr="006816EC">
        <w:trPr>
          <w:jc w:val="center"/>
        </w:trPr>
        <w:tc>
          <w:tcPr>
            <w:tcW w:w="3249" w:type="dxa"/>
          </w:tcPr>
          <w:p w:rsidRPr="00AD71A0" w:rsidR="006816EC" w:rsidP="00F647CD" w:rsidRDefault="002E25AC">
            <w:pPr>
              <w:rPr>
                <w:rFonts w:ascii="Arial (W1)" w:hAnsi="Arial (W1)"/>
                <w:b/>
                <w:bCs/>
                <w:noProof w:val="0"/>
                <w:sz w:val="26"/>
                <w:szCs w:val="26"/>
              </w:rPr>
            </w:pPr>
            <w:r w:rsidRPr="002E25AC">
              <w:rPr>
                <w:rFonts w:hint="cs"/>
                <w:b/>
                <w:bCs/>
                <w:sz w:val="26"/>
                <w:szCs w:val="26"/>
                <w:rtl/>
              </w:rPr>
              <w:t>ה</w:t>
            </w:r>
            <w:sdt>
              <w:sdtPr>
                <w:rPr>
                  <w:rFonts w:hint="cs"/>
                  <w:b/>
                  <w:bCs/>
                  <w:sz w:val="26"/>
                  <w:szCs w:val="26"/>
                  <w:rtl/>
                </w:rPr>
                <w:alias w:val="1180"/>
                <w:tag w:val="1180"/>
                <w:id w:val="-803768281"/>
                <w:text w:multiLine="1"/>
              </w:sdtPr>
              <w:sdtEndPr>
                <w:rPr>
                  <w:b w:val="0"/>
                  <w:bCs w:val="0"/>
                </w:rPr>
              </w:sdtEndPr>
              <w:sdtContent>
                <w:r>
                  <w:rPr>
                    <w:rFonts w:hint="cs"/>
                    <w:b/>
                    <w:bCs/>
                    <w:sz w:val="26"/>
                    <w:szCs w:val="26"/>
                    <w:rtl/>
                  </w:rPr>
                  <w:t>תובע</w:t>
                </w:r>
              </w:sdtContent>
            </w:sdt>
          </w:p>
        </w:tc>
        <w:tc>
          <w:tcPr>
            <w:tcW w:w="5571" w:type="dxa"/>
          </w:tcPr>
          <w:p w:rsidRPr="00DD7D73" w:rsidR="006816EC" w:rsidP="00DD7D73" w:rsidRDefault="00A71F7E">
            <w:pPr>
              <w:rPr>
                <w:rFonts w:ascii="Arial" w:hAnsi="Arial"/>
                <w:b/>
                <w:bCs/>
                <w:noProof w:val="0"/>
                <w:sz w:val="26"/>
                <w:szCs w:val="26"/>
              </w:rPr>
            </w:pPr>
            <w:r w:rsidRPr="00AD71A0">
              <w:rPr>
                <w:rFonts w:hint="cs" w:ascii="Arial" w:hAnsi="Arial"/>
                <w:b/>
                <w:bCs/>
                <w:noProof w:val="0"/>
                <w:sz w:val="26"/>
                <w:szCs w:val="26"/>
                <w:rtl/>
              </w:rPr>
              <w:t>פלוני</w:t>
            </w:r>
          </w:p>
        </w:tc>
      </w:tr>
      <w:tr w:rsidRPr="00AD71A0" w:rsidR="006816EC" w:rsidTr="006816EC">
        <w:trPr>
          <w:jc w:val="center"/>
        </w:trPr>
        <w:tc>
          <w:tcPr>
            <w:tcW w:w="8820" w:type="dxa"/>
            <w:gridSpan w:val="2"/>
          </w:tcPr>
          <w:p w:rsidRPr="00F61B83" w:rsidR="006816EC" w:rsidRDefault="006816EC">
            <w:pPr>
              <w:rPr>
                <w:rFonts w:ascii="Arial (W1)" w:hAnsi="Arial (W1)"/>
                <w:b/>
                <w:bCs/>
                <w:noProof w:val="0"/>
                <w:rtl/>
              </w:rPr>
            </w:pPr>
          </w:p>
          <w:p w:rsidRPr="00AD71A0" w:rsidR="006816EC" w:rsidRDefault="006816EC">
            <w:pPr>
              <w:jc w:val="center"/>
              <w:rPr>
                <w:b/>
                <w:bCs/>
                <w:noProof w:val="0"/>
                <w:sz w:val="26"/>
                <w:szCs w:val="26"/>
                <w:rtl/>
              </w:rPr>
            </w:pPr>
            <w:r w:rsidRPr="00AD71A0">
              <w:rPr>
                <w:rFonts w:hint="cs"/>
                <w:b/>
                <w:bCs/>
                <w:noProof w:val="0"/>
                <w:sz w:val="26"/>
                <w:szCs w:val="26"/>
                <w:rtl/>
              </w:rPr>
              <w:t>נגד</w:t>
            </w:r>
          </w:p>
          <w:p w:rsidRPr="00F61B83" w:rsidR="006816EC" w:rsidRDefault="006816EC">
            <w:pPr>
              <w:rPr>
                <w:rFonts w:ascii="Arial (W1)" w:hAnsi="Arial (W1)"/>
                <w:b/>
                <w:bCs/>
                <w:noProof w:val="0"/>
                <w:sz w:val="16"/>
                <w:szCs w:val="16"/>
              </w:rPr>
            </w:pPr>
          </w:p>
        </w:tc>
      </w:tr>
      <w:tr w:rsidRPr="00AD71A0" w:rsidR="006816EC" w:rsidTr="006816EC">
        <w:trPr>
          <w:jc w:val="center"/>
        </w:trPr>
        <w:tc>
          <w:tcPr>
            <w:tcW w:w="3249" w:type="dxa"/>
          </w:tcPr>
          <w:p w:rsidRPr="00AD71A0" w:rsidR="006816EC" w:rsidP="00F647CD" w:rsidRDefault="002E25AC">
            <w:pPr>
              <w:rPr>
                <w:rFonts w:ascii="Arial (W1)" w:hAnsi="Arial (W1)"/>
                <w:b/>
                <w:bCs/>
                <w:noProof w:val="0"/>
                <w:sz w:val="26"/>
                <w:szCs w:val="26"/>
              </w:rPr>
            </w:pPr>
            <w:r w:rsidRPr="002E25AC">
              <w:rPr>
                <w:rFonts w:hint="cs"/>
                <w:b/>
                <w:bCs/>
                <w:sz w:val="26"/>
                <w:szCs w:val="26"/>
                <w:rtl/>
              </w:rPr>
              <w:t>ה</w:t>
            </w:r>
            <w:sdt>
              <w:sdtPr>
                <w:rPr>
                  <w:rFonts w:hint="cs"/>
                  <w:b/>
                  <w:bCs/>
                  <w:sz w:val="26"/>
                  <w:szCs w:val="26"/>
                  <w:rtl/>
                </w:rPr>
                <w:alias w:val="1184"/>
                <w:tag w:val="1184"/>
                <w:id w:val="-910234160"/>
                <w:text w:multiLine="1"/>
              </w:sdtPr>
              <w:sdtEndPr>
                <w:rPr>
                  <w:b w:val="0"/>
                  <w:bCs w:val="0"/>
                </w:rPr>
              </w:sdtEndPr>
              <w:sdtContent>
                <w:r>
                  <w:rPr>
                    <w:rFonts w:hint="cs"/>
                    <w:b/>
                    <w:bCs/>
                    <w:sz w:val="26"/>
                    <w:szCs w:val="26"/>
                    <w:rtl/>
                  </w:rPr>
                  <w:t>נתבע</w:t>
                </w:r>
                <w:r w:rsidR="00F647CD">
                  <w:rPr>
                    <w:rFonts w:hint="cs"/>
                    <w:sz w:val="26"/>
                    <w:szCs w:val="26"/>
                    <w:rtl/>
                  </w:rPr>
                  <w:t>ת</w:t>
                </w:r>
              </w:sdtContent>
            </w:sdt>
          </w:p>
        </w:tc>
        <w:tc>
          <w:tcPr>
            <w:tcW w:w="5571" w:type="dxa"/>
          </w:tcPr>
          <w:p w:rsidRPr="00AD71A0" w:rsidR="006816EC" w:rsidP="00985C6A" w:rsidRDefault="0024285D">
            <w:pPr>
              <w:rPr>
                <w:sz w:val="26"/>
                <w:szCs w:val="26"/>
                <w:rtl/>
              </w:rPr>
            </w:pPr>
            <w:sdt>
              <w:sdtPr>
                <w:rPr>
                  <w:rFonts w:hint="cs"/>
                  <w:sz w:val="26"/>
                  <w:szCs w:val="26"/>
                  <w:rtl/>
                </w:rPr>
                <w:alias w:val="1486"/>
                <w:tag w:val="1486"/>
                <w:id w:val="1487590763"/>
                <w:text w:multiLine="1"/>
              </w:sdtPr>
              <w:sdtEndPr/>
              <w:sdtContent>
                <w:r w:rsidR="007D61FF">
                  <w:rPr>
                    <w:rFonts w:hint="cs"/>
                    <w:b/>
                    <w:bCs/>
                    <w:noProof w:val="0"/>
                    <w:sz w:val="26"/>
                    <w:szCs w:val="26"/>
                    <w:rtl/>
                  </w:rPr>
                  <w:t>שירותי בריאות כללית</w:t>
                </w:r>
              </w:sdtContent>
            </w:sdt>
          </w:p>
          <w:p w:rsidRPr="00AD71A0" w:rsidR="00CC0836" w:rsidP="00985C6A" w:rsidRDefault="00CC0836">
            <w:pPr>
              <w:rPr>
                <w:sz w:val="26"/>
                <w:szCs w:val="26"/>
              </w:rPr>
            </w:pPr>
          </w:p>
        </w:tc>
      </w:tr>
      <w:tr w:rsidR="00F647CD" w:rsidTr="00F647CD">
        <w:trPr>
          <w:jc w:val="center"/>
        </w:trPr>
        <w:tc>
          <w:tcPr>
            <w:tcW w:w="8820" w:type="dxa"/>
            <w:gridSpan w:val="2"/>
            <w:hideMark/>
          </w:tcPr>
          <w:p w:rsidR="00F647CD" w:rsidRDefault="00F647CD">
            <w:pPr>
              <w:bidi w:val="0"/>
              <w:jc w:val="center"/>
              <w:rPr>
                <w:rFonts w:ascii="Arial" w:hAnsi="Arial"/>
                <w:b/>
                <w:bCs/>
                <w:noProof w:val="0"/>
                <w:sz w:val="28"/>
                <w:szCs w:val="28"/>
                <w:u w:val="single"/>
              </w:rPr>
            </w:pPr>
            <w:r>
              <w:rPr>
                <w:rFonts w:hint="cs" w:ascii="Arial" w:hAnsi="Arial"/>
                <w:b/>
                <w:bCs/>
                <w:noProof w:val="0"/>
                <w:sz w:val="28"/>
                <w:szCs w:val="28"/>
                <w:u w:val="single"/>
                <w:rtl/>
              </w:rPr>
              <w:t>פסק דין</w:t>
            </w:r>
          </w:p>
        </w:tc>
      </w:tr>
    </w:tbl>
    <w:p w:rsidR="00F647CD" w:rsidP="00F647CD" w:rsidRDefault="00F647CD">
      <w:pPr>
        <w:spacing w:line="360" w:lineRule="auto"/>
        <w:jc w:val="both"/>
        <w:rPr>
          <w:rFonts w:ascii="Arial" w:hAnsi="Arial"/>
          <w:noProof w:val="0"/>
        </w:rPr>
      </w:pPr>
    </w:p>
    <w:p w:rsidR="00F647CD" w:rsidP="00F647CD" w:rsidRDefault="00F647CD">
      <w:pPr>
        <w:spacing w:line="360" w:lineRule="auto"/>
        <w:jc w:val="both"/>
        <w:rPr>
          <w:rFonts w:hint="cs" w:ascii="Arial" w:hAnsi="Arial"/>
          <w:noProof w:val="0"/>
          <w:rtl/>
        </w:rPr>
      </w:pPr>
      <w:r>
        <w:rPr>
          <w:rFonts w:hint="cs" w:ascii="Arial" w:hAnsi="Arial"/>
          <w:noProof w:val="0"/>
          <w:rtl/>
        </w:rPr>
        <w:t>1. ביום 4.4.17 הוגשה התביעה.  נטען בה לרשלנות רפואית של הנתבעת כלפי התובע. ביום 13.7.17 ביקשה הנתבעת לדחות את התביעה וציינה כי כעת גילתה לראשונה שהתובע הלך לעולמו ביום 18.11.16. עובדה זו אושרה בתגובת "התובע" מיום  1.8.17, בה הוא התנגד לבקשה ועמד על זכויותיו וזכויות עזבונו לגישה לערכאות ולבירור התביעה וביקש לשם כך לתקן את כתב התביעה. לא מצאתי בתגובה אפילו ניסיון להסביר כיצד הוגשה התביעה "בשמו" של מת, תוך הסתרת עובדה "פעוטה" זו. גם לא מצאתי שם ניסיון להסביר מכח מה מתיימרים עוה"ד שחתמו על כתב התביעה ועל תגובה לדבר  בשמו של המת. אותה תגובה טענה לזכויותיו של "העזבון" – אף  שכתב התביעה כלל אינו טוען לזכויות העזבון (וליתר דיוק, זכויות היורשים והתלויים במנוח. "עזבון" אינו אישיות משפטית היכולה לתבוע ולהתבע, אלא רק מסת הנכסים של המנוח).</w:t>
      </w:r>
    </w:p>
    <w:p w:rsidR="00F647CD" w:rsidP="00F647CD" w:rsidRDefault="00F647CD">
      <w:pPr>
        <w:spacing w:line="360" w:lineRule="auto"/>
        <w:jc w:val="both"/>
        <w:rPr>
          <w:rFonts w:hint="cs" w:ascii="Arial" w:hAnsi="Arial"/>
          <w:noProof w:val="0"/>
          <w:rtl/>
        </w:rPr>
      </w:pPr>
    </w:p>
    <w:p w:rsidR="00F647CD" w:rsidP="00F647CD" w:rsidRDefault="00F647CD">
      <w:pPr>
        <w:spacing w:line="360" w:lineRule="auto"/>
        <w:jc w:val="both"/>
        <w:rPr>
          <w:rFonts w:hint="cs" w:ascii="Arial" w:hAnsi="Arial"/>
          <w:b/>
          <w:bCs/>
          <w:noProof w:val="0"/>
          <w:rtl/>
        </w:rPr>
      </w:pPr>
      <w:r>
        <w:rPr>
          <w:rFonts w:hint="cs" w:ascii="Arial" w:hAnsi="Arial"/>
          <w:noProof w:val="0"/>
          <w:rtl/>
        </w:rPr>
        <w:t xml:space="preserve">2. ביום 27.8.17 נקבע: </w:t>
      </w:r>
      <w:r>
        <w:rPr>
          <w:rFonts w:hint="cs" w:ascii="Arial" w:hAnsi="Arial"/>
          <w:b/>
          <w:bCs/>
          <w:noProof w:val="0"/>
          <w:rtl/>
        </w:rPr>
        <w:t>"על מנת שניתן יהיה לקיים משפט שיש לו משמעות כלשהי, עליו להתנהל בין בעלי-דין. במצב הנוכחי אין איש נושא באחריות לפעולות שנעשות בשם ה"תובע" וגם אין איש היכול להנות מפירות ההליך.</w:t>
      </w:r>
    </w:p>
    <w:p w:rsidR="00F647CD" w:rsidP="00F647CD" w:rsidRDefault="00F647CD">
      <w:pPr>
        <w:spacing w:line="360" w:lineRule="auto"/>
        <w:jc w:val="both"/>
        <w:rPr>
          <w:rFonts w:hint="cs" w:ascii="Arial" w:hAnsi="Arial"/>
          <w:b/>
          <w:bCs/>
          <w:noProof w:val="0"/>
          <w:rtl/>
        </w:rPr>
      </w:pPr>
      <w:r>
        <w:rPr>
          <w:rFonts w:hint="cs" w:ascii="Arial" w:hAnsi="Arial"/>
          <w:b/>
          <w:bCs/>
          <w:noProof w:val="0"/>
          <w:rtl/>
        </w:rPr>
        <w:t>לא ניתן יהיה להתקדם בטיפול בתביעה כל עוד לא ברור בשם מי היא מתנהלת. כתב תביעה מתוקן שבו יחליפו היורשים את המנוח כתובעים יוגש תוך 90 יום."</w:t>
      </w:r>
    </w:p>
    <w:p w:rsidR="00F647CD" w:rsidP="00F647CD" w:rsidRDefault="00F647CD">
      <w:pPr>
        <w:spacing w:line="360" w:lineRule="auto"/>
        <w:jc w:val="both"/>
        <w:rPr>
          <w:rFonts w:hint="cs" w:ascii="Arial" w:hAnsi="Arial"/>
          <w:noProof w:val="0"/>
          <w:rtl/>
        </w:rPr>
      </w:pPr>
      <w:r>
        <w:rPr>
          <w:rFonts w:hint="cs" w:ascii="Arial" w:hAnsi="Arial"/>
          <w:noProof w:val="0"/>
          <w:rtl/>
        </w:rPr>
        <w:t>הזמן חלף ולמרות שבקשה להארכת מועד הוגשה והתקבלה לא הוגש כתב תביעה מתוקן.</w:t>
      </w:r>
    </w:p>
    <w:p w:rsidR="00F647CD" w:rsidP="00F647CD" w:rsidRDefault="00F647CD">
      <w:pPr>
        <w:spacing w:line="360" w:lineRule="auto"/>
        <w:jc w:val="both"/>
        <w:rPr>
          <w:rFonts w:hint="cs" w:ascii="Arial" w:hAnsi="Arial"/>
          <w:noProof w:val="0"/>
          <w:rtl/>
        </w:rPr>
      </w:pPr>
      <w:r>
        <w:rPr>
          <w:rFonts w:hint="cs" w:ascii="Arial" w:hAnsi="Arial"/>
          <w:noProof w:val="0"/>
          <w:rtl/>
        </w:rPr>
        <w:t xml:space="preserve"> </w:t>
      </w:r>
    </w:p>
    <w:p w:rsidR="00F647CD" w:rsidP="00DD7D73" w:rsidRDefault="00F647CD">
      <w:pPr>
        <w:spacing w:line="360" w:lineRule="auto"/>
        <w:jc w:val="both"/>
        <w:rPr>
          <w:rFonts w:hint="cs" w:ascii="Arial" w:hAnsi="Arial"/>
          <w:noProof w:val="0"/>
          <w:rtl/>
        </w:rPr>
      </w:pPr>
      <w:r>
        <w:rPr>
          <w:rFonts w:hint="cs" w:ascii="Arial" w:hAnsi="Arial"/>
          <w:noProof w:val="0"/>
          <w:rtl/>
        </w:rPr>
        <w:t>3. בכתב התביעה לא נזכרה עובדת מותו של התובע ולא נזכרו "עזבונו", התלויים בו  או יורשיו. הוא נחתם ע"י שני עורכי-דין ולא צורף אליו יפוי כח כלשהו. אף אם היה בידי עורכי-הדין יפוי כח של המנוח לא היה בו כדי להקנות להם זכות כלשהי להגיש את התביעה אחרי מותו "בשמו" -  לפי סעיף 14(א) לחוק השליחות  עם מותו של השולח מסתיימת השליחות.</w:t>
      </w:r>
      <w:r w:rsidR="00DD7D73">
        <w:rPr>
          <w:rFonts w:hint="cs" w:ascii="Arial" w:hAnsi="Arial"/>
          <w:noProof w:val="0"/>
          <w:rtl/>
        </w:rPr>
        <w:t xml:space="preserve"> </w:t>
      </w:r>
      <w:bookmarkStart w:name="_GoBack" w:id="0"/>
      <w:bookmarkEnd w:id="0"/>
      <w:r>
        <w:rPr>
          <w:rFonts w:hint="cs" w:ascii="Arial" w:hAnsi="Arial"/>
          <w:noProof w:val="0"/>
          <w:rtl/>
        </w:rPr>
        <w:t xml:space="preserve">יתירה מזו, ככל שעמדה לתובע ברגע מותו עילת תביעה, היא הוקנתה עם מותו ליורשיו ולתלויים בו. </w:t>
      </w:r>
      <w:r>
        <w:rPr>
          <w:rFonts w:hint="cs" w:ascii="Arial" w:hAnsi="Arial"/>
          <w:b/>
          <w:bCs/>
          <w:noProof w:val="0"/>
          <w:rtl/>
        </w:rPr>
        <w:t>רק</w:t>
      </w:r>
      <w:r>
        <w:rPr>
          <w:rFonts w:hint="cs" w:ascii="Arial" w:hAnsi="Arial"/>
          <w:noProof w:val="0"/>
          <w:rtl/>
        </w:rPr>
        <w:t xml:space="preserve"> הם זכאים (ותוך זיהוי עצמם כראוי) לתבוע בנעליו של המנוח. אנשים אלה לא נוטלים חלק בהליך וזהותם אינה ידועה.  </w:t>
      </w:r>
    </w:p>
    <w:p w:rsidR="00F647CD" w:rsidP="00F647CD" w:rsidRDefault="00F647CD">
      <w:pPr>
        <w:spacing w:line="360" w:lineRule="auto"/>
        <w:jc w:val="both"/>
        <w:rPr>
          <w:rFonts w:hint="cs" w:ascii="Arial" w:hAnsi="Arial"/>
          <w:noProof w:val="0"/>
          <w:rtl/>
        </w:rPr>
      </w:pPr>
    </w:p>
    <w:p w:rsidR="00F647CD" w:rsidP="00F647CD" w:rsidRDefault="00F647CD">
      <w:pPr>
        <w:spacing w:line="360" w:lineRule="auto"/>
        <w:jc w:val="both"/>
        <w:rPr>
          <w:rFonts w:hint="cs" w:ascii="Arial" w:hAnsi="Arial"/>
          <w:noProof w:val="0"/>
          <w:rtl/>
        </w:rPr>
      </w:pPr>
      <w:r>
        <w:rPr>
          <w:rFonts w:hint="cs" w:ascii="Arial" w:hAnsi="Arial"/>
          <w:noProof w:val="0"/>
          <w:rtl/>
        </w:rPr>
        <w:t xml:space="preserve">4. מישהו הציג עצמו כאדם שכבר מת, טען לזכויותיו כאילו הוא עדיין חי וניסה לקבל במקומו פיצוי כספי אשר (אם בכלל) שייך ליורשיו ולתלויים בו שזהותם לא נחשפה והם לא נוטלים חלק בהליך.  אמנע מלעסוק במשמעות שיש למעשים כאלה מחוץ לתחום המשפט האזרחי – אך כאן הם גרמו להליך </w:t>
      </w:r>
      <w:r>
        <w:rPr>
          <w:rFonts w:hint="cs" w:ascii="Arial" w:hAnsi="Arial"/>
          <w:noProof w:val="0"/>
          <w:rtl/>
        </w:rPr>
        <w:lastRenderedPageBreak/>
        <w:t xml:space="preserve">סרק. התביעה כפי שהוגשה  אינה יכולה להניב תוצאה חיובית של פסיקת פיצוי ל"תובע" שאינו קיים. היא גם לא יכולה להניב  תוצאה על דרך השלילה: אי אפשר לייחס את כל שנעשה במשפט למנוח עצמו. </w:t>
      </w:r>
      <w:r>
        <w:rPr>
          <w:rFonts w:hint="cs" w:ascii="Arial" w:hAnsi="Arial"/>
          <w:b/>
          <w:bCs/>
          <w:noProof w:val="0"/>
          <w:rtl/>
        </w:rPr>
        <w:t>הוא</w:t>
      </w:r>
      <w:r>
        <w:rPr>
          <w:rFonts w:hint="cs" w:ascii="Arial" w:hAnsi="Arial"/>
          <w:noProof w:val="0"/>
          <w:rtl/>
        </w:rPr>
        <w:t xml:space="preserve"> לא תבע דבר, לא טען דבר ולאחר מותו לא היה בכוחו (או בכוחם של עוה"ד המתיימרים לפעול בשמו) לחייב ב"מעשיו" את יורשיו. משמע, הליך נפל זה אינו יכול להביא להשתק פלוגתא, השתק  עילה או מעשה בית דין ביחסי היורשים והנתבעת. </w:t>
      </w:r>
    </w:p>
    <w:p w:rsidR="00F647CD" w:rsidP="00F647CD" w:rsidRDefault="00F647CD">
      <w:pPr>
        <w:spacing w:line="360" w:lineRule="auto"/>
        <w:jc w:val="both"/>
        <w:rPr>
          <w:rFonts w:hint="cs" w:ascii="Arial" w:hAnsi="Arial"/>
          <w:noProof w:val="0"/>
          <w:rtl/>
        </w:rPr>
      </w:pPr>
    </w:p>
    <w:p w:rsidR="00F647CD" w:rsidP="00F647CD" w:rsidRDefault="00F647CD">
      <w:pPr>
        <w:spacing w:line="360" w:lineRule="auto"/>
        <w:jc w:val="both"/>
        <w:rPr>
          <w:rFonts w:hint="cs" w:ascii="Arial" w:hAnsi="Arial"/>
          <w:noProof w:val="0"/>
          <w:rtl/>
        </w:rPr>
      </w:pPr>
      <w:r>
        <w:rPr>
          <w:rFonts w:hint="cs" w:ascii="Arial" w:hAnsi="Arial"/>
          <w:noProof w:val="0"/>
          <w:rtl/>
        </w:rPr>
        <w:t xml:space="preserve"> 5. לתביעה שבפני אין ולא יכול להיות קיום. התביעה נדחית.</w:t>
      </w:r>
    </w:p>
    <w:p w:rsidR="00F647CD" w:rsidP="00F647CD" w:rsidRDefault="00F647CD">
      <w:pPr>
        <w:spacing w:line="360" w:lineRule="auto"/>
        <w:jc w:val="both"/>
        <w:rPr>
          <w:rFonts w:hint="cs" w:ascii="Arial" w:hAnsi="Arial"/>
          <w:noProof w:val="0"/>
          <w:rtl/>
        </w:rPr>
      </w:pPr>
    </w:p>
    <w:p w:rsidR="00F647CD" w:rsidP="00DD7D73" w:rsidRDefault="00F647CD">
      <w:pPr>
        <w:spacing w:line="360" w:lineRule="auto"/>
        <w:jc w:val="both"/>
        <w:rPr>
          <w:rFonts w:hint="cs" w:ascii="Arial" w:hAnsi="Arial"/>
          <w:noProof w:val="0"/>
          <w:rtl/>
        </w:rPr>
      </w:pPr>
      <w:r>
        <w:rPr>
          <w:rFonts w:hint="cs" w:ascii="Arial" w:hAnsi="Arial"/>
          <w:noProof w:val="0"/>
          <w:rtl/>
        </w:rPr>
        <w:t xml:space="preserve">6.  דחייתה של תביעה מצדיקה בדרך כלל את חיוב התובע בהוצאות משפט. בהליך זה הדבר אינו אפשרי – האיש ששמו מתנוסס בכותרת לכתב התביעה כ"תובע" לא יזם את ההליך ולא אחראי למחדלים בניהולו ובית-המשפט אינו יכול להטיל עליו חיובים כלשהם. לפנינו לכאורה מקרה שבו נעשו פעולות משפטיות מכוחה של שליחות נחזית – אף שלא היתה שליחות כלל. על אירועים שכאלה חל סעיף 6 </w:t>
      </w:r>
      <w:r>
        <w:rPr>
          <w:rFonts w:hint="cs"/>
          <w:noProof w:val="0"/>
          <w:rtl/>
          <w:lang w:eastAsia="he-IL"/>
        </w:rPr>
        <w:t>(ב) לחוק השליחות, תשכ"ה – 1965: "</w:t>
      </w:r>
      <w:r>
        <w:rPr>
          <w:rFonts w:hint="cs"/>
          <w:b/>
          <w:bCs/>
          <w:noProof w:val="0"/>
          <w:rtl/>
          <w:lang w:eastAsia="he-IL"/>
        </w:rPr>
        <w:t>לא ידע הצד השלישי בשעת הפעולה שהשלוח פועל ללא הרשאה או בחריגה מהרשאתו, הברירה בידו, כל עוד לא נודע לו על אישור הפעולה, לראות את השלוח כבעל דברו או לחזור בו מן הפעולה ולתבוע מן השלוח את נזקו</w:t>
      </w:r>
      <w:r>
        <w:rPr>
          <w:rFonts w:hint="cs"/>
          <w:noProof w:val="0"/>
          <w:rtl/>
          <w:lang w:eastAsia="he-IL"/>
        </w:rPr>
        <w:t>.</w:t>
      </w:r>
      <w:r>
        <w:rPr>
          <w:rFonts w:hint="cs" w:ascii="Arial" w:hAnsi="Arial"/>
          <w:noProof w:val="0"/>
          <w:rtl/>
        </w:rPr>
        <w:t xml:space="preserve">" התוצאה היא  שעורכי הדין שהתיימרו לפעול מכוחה של שליחות בעת שלא היו שלוחים, אמורים לשאת אישית בעלויות שגרם ההליך שניהלו. מכיוון שעד כה לא נתנו הסבר ממשי למעשיהם ניתנת להם הזדמנות נוספת לעשות כן בתוך 14 יום. אחר-כך תנתן החלטה משלימה לענין הוצאות המשפט. ת"פ </w:t>
      </w:r>
      <w:r w:rsidR="00DD7D73">
        <w:rPr>
          <w:rFonts w:hint="cs" w:ascii="Arial" w:hAnsi="Arial"/>
          <w:noProof w:val="0"/>
          <w:rtl/>
        </w:rPr>
        <w:t>30</w:t>
      </w:r>
      <w:r>
        <w:rPr>
          <w:rFonts w:hint="cs" w:ascii="Arial" w:hAnsi="Arial"/>
          <w:noProof w:val="0"/>
          <w:rtl/>
        </w:rPr>
        <w:t>.</w:t>
      </w:r>
      <w:r w:rsidR="00DD7D73">
        <w:rPr>
          <w:rFonts w:hint="cs" w:ascii="Arial" w:hAnsi="Arial"/>
          <w:noProof w:val="0"/>
          <w:rtl/>
        </w:rPr>
        <w:t>4</w:t>
      </w:r>
      <w:r>
        <w:rPr>
          <w:rFonts w:hint="cs" w:ascii="Arial" w:hAnsi="Arial"/>
          <w:noProof w:val="0"/>
          <w:rtl/>
        </w:rPr>
        <w:t xml:space="preserve">.18.  </w:t>
      </w:r>
    </w:p>
    <w:p w:rsidR="00F647CD" w:rsidP="00F647CD" w:rsidRDefault="00F647CD">
      <w:pPr>
        <w:spacing w:line="360" w:lineRule="auto"/>
        <w:jc w:val="both"/>
        <w:rPr>
          <w:rFonts w:hint="c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24285D">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481328"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02ac9587b6e4bf7" cstate="print">
                            <a:extLst>
                              <a:ext uri="{28A0092B-C50C-407E-A947-70E740481C1C}"/>
                            </a:extLst>
                          </a:blip>
                          <a:stretch>
                            <a:fillRect/>
                          </a:stretch>
                        </pic:blipFill>
                        <pic:spPr>
                          <a:xfrm>
                            <a:off x="0" y="0"/>
                            <a:ext cx="1481328" cy="57607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2E25AC">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3" w:rsidRDefault="00F61B8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2E25AC" w:rsidR="00694556" w:rsidRDefault="002352F7">
    <w:pPr>
      <w:pStyle w:val="a4"/>
      <w:jc w:val="center"/>
      <w:rPr>
        <w:rStyle w:val="ab"/>
      </w:rPr>
    </w:pPr>
    <w:r w:rsidRPr="002E25AC">
      <w:rPr>
        <w:rStyle w:val="ab"/>
      </w:rPr>
      <w:fldChar w:fldCharType="begin"/>
    </w:r>
    <w:r w:rsidRPr="002E25AC" w:rsidR="00005C8B">
      <w:rPr>
        <w:rStyle w:val="ab"/>
      </w:rPr>
      <w:instrText xml:space="preserve"> PAGE </w:instrText>
    </w:r>
    <w:r w:rsidRPr="002E25AC">
      <w:rPr>
        <w:rStyle w:val="ab"/>
      </w:rPr>
      <w:fldChar w:fldCharType="separate"/>
    </w:r>
    <w:r w:rsidR="0024285D">
      <w:rPr>
        <w:rStyle w:val="ab"/>
        <w:rtl/>
      </w:rPr>
      <w:t>1</w:t>
    </w:r>
    <w:r w:rsidRPr="002E25AC">
      <w:rPr>
        <w:rStyle w:val="ab"/>
      </w:rPr>
      <w:fldChar w:fldCharType="end"/>
    </w:r>
    <w:r w:rsidRPr="002E25AC" w:rsidR="00005C8B">
      <w:rPr>
        <w:rStyle w:val="ab"/>
        <w:rFonts w:hint="cs"/>
        <w:rtl/>
      </w:rPr>
      <w:t xml:space="preserve"> מתוך </w:t>
    </w:r>
    <w:r w:rsidRPr="002E25AC">
      <w:rPr>
        <w:rStyle w:val="ab"/>
      </w:rPr>
      <w:fldChar w:fldCharType="begin"/>
    </w:r>
    <w:r w:rsidRPr="002E25AC" w:rsidR="00005C8B">
      <w:rPr>
        <w:rStyle w:val="ab"/>
      </w:rPr>
      <w:instrText xml:space="preserve"> NUMPAGES </w:instrText>
    </w:r>
    <w:r w:rsidRPr="002E25AC">
      <w:rPr>
        <w:rStyle w:val="ab"/>
      </w:rPr>
      <w:fldChar w:fldCharType="separate"/>
    </w:r>
    <w:r w:rsidR="0024285D">
      <w:rPr>
        <w:rStyle w:val="ab"/>
        <w:rtl/>
      </w:rPr>
      <w:t>2</w:t>
    </w:r>
    <w:r w:rsidRPr="002E25A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3" w:rsidRDefault="00F61B8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3" w:rsidRDefault="00F61B8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647CD">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88939CD" wp14:editId="037B3662">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F61B83">
      <w:trPr>
        <w:trHeight w:val="670" w:hRule="exact"/>
        <w:jc w:val="center"/>
      </w:trPr>
      <w:sdt>
        <w:sdtPr>
          <w:rPr>
            <w:sz w:val="32"/>
            <w:szCs w:val="32"/>
            <w:rtl/>
          </w:rPr>
          <w:alias w:val="1174"/>
          <w:tag w:val="1174"/>
          <w:id w:val="-1775709220"/>
          <w:text/>
        </w:sdtPr>
        <w:sdtEndPr/>
        <w:sdtContent>
          <w:tc>
            <w:tcPr>
              <w:tcW w:w="8505" w:type="dxa"/>
            </w:tcPr>
            <w:p w:rsidRPr="00AD71A0" w:rsidR="00694556" w:rsidRDefault="00005C8B">
              <w:pPr>
                <w:pStyle w:val="a3"/>
                <w:jc w:val="center"/>
                <w:rPr>
                  <w:rFonts w:ascii="Tahoma" w:hAnsi="Tahoma"/>
                  <w:noProof w:val="0"/>
                  <w:color w:val="000080"/>
                  <w:sz w:val="32"/>
                  <w:szCs w:val="32"/>
                  <w:rtl/>
                </w:rPr>
              </w:pPr>
              <w:r w:rsidRPr="00AD71A0">
                <w:rPr>
                  <w:rFonts w:ascii="Tahoma" w:hAnsi="Tahoma"/>
                  <w:b/>
                  <w:bCs/>
                  <w:noProof w:val="0"/>
                  <w:color w:val="000080"/>
                  <w:sz w:val="32"/>
                  <w:szCs w:val="32"/>
                  <w:rtl/>
                </w:rPr>
                <w:t>בית משפט השלום בתל אביב - יפו</w:t>
              </w:r>
            </w:p>
          </w:tc>
        </w:sdtContent>
      </w:sdt>
    </w:tr>
    <w:tr w:rsidRPr="00AD71A0" w:rsidR="00694556" w:rsidTr="00F61B83">
      <w:trPr>
        <w:trHeight w:val="337"/>
        <w:jc w:val="center"/>
      </w:trPr>
      <w:tc>
        <w:tcPr>
          <w:tcW w:w="8505" w:type="dxa"/>
        </w:tcPr>
        <w:p w:rsidRPr="00AD71A0" w:rsidR="00694556" w:rsidP="004C0FB0" w:rsidRDefault="0024285D">
          <w:pPr>
            <w:rPr>
              <w:b/>
              <w:bCs/>
              <w:noProof w:val="0"/>
              <w:sz w:val="26"/>
              <w:szCs w:val="26"/>
              <w:rtl/>
            </w:rPr>
          </w:pPr>
          <w:sdt>
            <w:sdtPr>
              <w:rPr>
                <w:b/>
                <w:bCs/>
                <w:noProof w:val="0"/>
                <w:sz w:val="26"/>
                <w:szCs w:val="26"/>
                <w:rtl/>
              </w:rPr>
              <w:alias w:val="1170"/>
              <w:tag w:val="1170"/>
              <w:id w:val="299038016"/>
              <w:text w:multiLine="1"/>
            </w:sdtPr>
            <w:sdtEndPr/>
            <w:sdtContent>
              <w:r w:rsidR="007D61FF">
                <w:rPr>
                  <w:b/>
                  <w:bCs/>
                  <w:noProof w:val="0"/>
                  <w:sz w:val="26"/>
                  <w:szCs w:val="26"/>
                  <w:rtl/>
                </w:rPr>
                <w:t>ת"א</w:t>
              </w:r>
            </w:sdtContent>
          </w:sdt>
          <w:r w:rsidRPr="00AD71A0"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7D61FF">
                <w:rPr>
                  <w:b/>
                  <w:bCs/>
                  <w:noProof w:val="0"/>
                  <w:sz w:val="26"/>
                  <w:szCs w:val="26"/>
                  <w:rtl/>
                </w:rPr>
                <w:t>8235-04-17</w:t>
              </w:r>
            </w:sdtContent>
          </w:sdt>
        </w:p>
        <w:p w:rsidRPr="00AD71A0" w:rsidR="00957C90" w:rsidP="003852C5" w:rsidRDefault="00957C90">
          <w:pPr>
            <w:rPr>
              <w:b/>
              <w:bCs/>
              <w:noProof w:val="0"/>
              <w:sz w:val="26"/>
              <w:szCs w:val="26"/>
              <w:rtl/>
            </w:rPr>
          </w:pPr>
          <w:r w:rsidRPr="00AD71A0">
            <w:rPr>
              <w:rFonts w:hint="cs"/>
              <w:b/>
              <w:bCs/>
              <w:noProof w:val="0"/>
              <w:sz w:val="26"/>
              <w:szCs w:val="26"/>
              <w:rtl/>
            </w:rPr>
            <w:t xml:space="preserve"> </w:t>
          </w:r>
        </w:p>
      </w:tc>
    </w:tr>
  </w:tbl>
  <w:p w:rsidRPr="002E25AC" w:rsidR="00694556" w:rsidRDefault="00005C8B">
    <w:pPr>
      <w:pStyle w:val="a3"/>
      <w:rPr>
        <w:noProof w:val="0"/>
        <w:sz w:val="26"/>
        <w:szCs w:val="26"/>
        <w:rtl/>
      </w:rPr>
    </w:pPr>
    <w:r w:rsidRPr="002E25AC">
      <w:rPr>
        <w:noProof w:val="0"/>
        <w:sz w:val="26"/>
        <w:szCs w:val="26"/>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B83" w:rsidRDefault="00F61B8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1314"/>
    <o:shapelayout v:ext="edit">
      <o:idmap v:ext="edit" data="13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564AB"/>
    <w:rsid w:val="00062DCB"/>
    <w:rsid w:val="000D4A02"/>
    <w:rsid w:val="001072A9"/>
    <w:rsid w:val="00121F97"/>
    <w:rsid w:val="001277D7"/>
    <w:rsid w:val="00132017"/>
    <w:rsid w:val="0014234E"/>
    <w:rsid w:val="00145A87"/>
    <w:rsid w:val="00154FEB"/>
    <w:rsid w:val="001725E8"/>
    <w:rsid w:val="001C4003"/>
    <w:rsid w:val="001F5474"/>
    <w:rsid w:val="002352F7"/>
    <w:rsid w:val="0024285D"/>
    <w:rsid w:val="00253923"/>
    <w:rsid w:val="002E25AC"/>
    <w:rsid w:val="00381D3A"/>
    <w:rsid w:val="003823DA"/>
    <w:rsid w:val="003852C5"/>
    <w:rsid w:val="003F4C36"/>
    <w:rsid w:val="00406597"/>
    <w:rsid w:val="0043595F"/>
    <w:rsid w:val="0047645A"/>
    <w:rsid w:val="004C0FB0"/>
    <w:rsid w:val="004D49A3"/>
    <w:rsid w:val="004E6E3C"/>
    <w:rsid w:val="005124F1"/>
    <w:rsid w:val="00530BAD"/>
    <w:rsid w:val="00541598"/>
    <w:rsid w:val="00547DB7"/>
    <w:rsid w:val="00567324"/>
    <w:rsid w:val="00570AEA"/>
    <w:rsid w:val="005B0F49"/>
    <w:rsid w:val="005C7EC6"/>
    <w:rsid w:val="005D2B6A"/>
    <w:rsid w:val="005D4BDB"/>
    <w:rsid w:val="00622BAA"/>
    <w:rsid w:val="00625C89"/>
    <w:rsid w:val="00671BD5"/>
    <w:rsid w:val="006805C1"/>
    <w:rsid w:val="006816EC"/>
    <w:rsid w:val="00694556"/>
    <w:rsid w:val="006A1213"/>
    <w:rsid w:val="006B072C"/>
    <w:rsid w:val="006E1A53"/>
    <w:rsid w:val="007056AA"/>
    <w:rsid w:val="00744F41"/>
    <w:rsid w:val="007A24FE"/>
    <w:rsid w:val="007A35AA"/>
    <w:rsid w:val="007D61FF"/>
    <w:rsid w:val="007F1048"/>
    <w:rsid w:val="00811FB0"/>
    <w:rsid w:val="00820005"/>
    <w:rsid w:val="00834FFD"/>
    <w:rsid w:val="00846D27"/>
    <w:rsid w:val="008610A7"/>
    <w:rsid w:val="008D6550"/>
    <w:rsid w:val="008E1332"/>
    <w:rsid w:val="00903896"/>
    <w:rsid w:val="00922771"/>
    <w:rsid w:val="00927813"/>
    <w:rsid w:val="00944D13"/>
    <w:rsid w:val="00957C90"/>
    <w:rsid w:val="00985C6A"/>
    <w:rsid w:val="009E0263"/>
    <w:rsid w:val="00A267CF"/>
    <w:rsid w:val="00A43458"/>
    <w:rsid w:val="00A71F7E"/>
    <w:rsid w:val="00AC4E19"/>
    <w:rsid w:val="00AD71A0"/>
    <w:rsid w:val="00AF1ED6"/>
    <w:rsid w:val="00B32C61"/>
    <w:rsid w:val="00B368FE"/>
    <w:rsid w:val="00B80CBD"/>
    <w:rsid w:val="00BC3369"/>
    <w:rsid w:val="00BD0E73"/>
    <w:rsid w:val="00BF77EE"/>
    <w:rsid w:val="00C32E0F"/>
    <w:rsid w:val="00C42BF9"/>
    <w:rsid w:val="00C5082D"/>
    <w:rsid w:val="00C83E56"/>
    <w:rsid w:val="00CC0836"/>
    <w:rsid w:val="00D319B3"/>
    <w:rsid w:val="00D53924"/>
    <w:rsid w:val="00D60849"/>
    <w:rsid w:val="00D96D8C"/>
    <w:rsid w:val="00DD337E"/>
    <w:rsid w:val="00DD7D73"/>
    <w:rsid w:val="00E00B6F"/>
    <w:rsid w:val="00E54642"/>
    <w:rsid w:val="00E57E13"/>
    <w:rsid w:val="00E97908"/>
    <w:rsid w:val="00EF3ED0"/>
    <w:rsid w:val="00F17E56"/>
    <w:rsid w:val="00F61B83"/>
    <w:rsid w:val="00F647CD"/>
    <w:rsid w:val="00F87A10"/>
    <w:rsid w:val="00FC243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14:docId w14:val="53C912E4"/>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625476">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68034451">
      <w:bodyDiv w:val="1"/>
      <w:marLeft w:val="0"/>
      <w:marRight w:val="0"/>
      <w:marTop w:val="0"/>
      <w:marBottom w:val="0"/>
      <w:divBdr>
        <w:top w:val="none" w:sz="0" w:space="0" w:color="auto"/>
        <w:left w:val="none" w:sz="0" w:space="0" w:color="auto"/>
        <w:bottom w:val="none" w:sz="0" w:space="0" w:color="auto"/>
        <w:right w:val="none" w:sz="0" w:space="0" w:color="auto"/>
      </w:divBdr>
    </w:div>
    <w:div w:id="18373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b02ac9587b6e4bf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566</Words>
  <Characters>2832</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ירון בשן</cp:lastModifiedBy>
  <cp:revision>63</cp:revision>
  <dcterms:created xsi:type="dcterms:W3CDTF">2012-08-05T21:29:00Z</dcterms:created>
  <dcterms:modified xsi:type="dcterms:W3CDTF">2018-04-11T14:06:00Z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