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2547"/>
        <w:tag w:val="2547"/>
        <w:id w:val="64311126"/>
        <w:lock w:val="contentLocked"/>
        <w:group/>
      </w:sdtPr>
      <w:sdtEndPr/>
      <w:sdtContent>
        <w:p w:rsidR="00694556" w:rsidP="006D3B31" w:rsidRDefault="00694556">
          <w:pPr>
            <w:suppressLineNumbers/>
            <w:rPr>
              <w:rtl/>
            </w:rPr>
          </w:pPr>
        </w:p>
        <w:tbl>
          <w:tblPr>
            <w:tblStyle w:val="aa"/>
            <w:bidiVisual/>
            <w:tblW w:w="8820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1E0" w:firstRow="1" w:lastRow="1" w:firstColumn="1" w:lastColumn="1" w:noHBand="0" w:noVBand="0"/>
          </w:tblPr>
          <w:tblGrid>
            <w:gridCol w:w="743"/>
            <w:gridCol w:w="2506"/>
            <w:gridCol w:w="5571"/>
          </w:tblGrid>
          <w:tr w:rsidR="00694556">
            <w:trPr>
              <w:jc w:val="center"/>
            </w:trPr>
            <w:tc>
              <w:tcPr>
                <w:tcW w:w="743" w:type="dxa"/>
              </w:tcPr>
              <w:p w:rsidR="00694556" w:rsidRDefault="00005C8B">
                <w:pPr>
                  <w:jc w:val="both"/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ב</w:t>
                </w:r>
                <w:r>
                  <w:rPr>
                    <w:rFonts w:ascii="Arial" w:hAnsi="Arial"/>
                    <w:b/>
                    <w:bCs/>
                    <w:rtl/>
                  </w:rPr>
                  <w:t xml:space="preserve">פני </w:t>
                </w:r>
              </w:p>
            </w:tc>
            <w:tc>
              <w:tcPr>
                <w:tcW w:w="8077" w:type="dxa"/>
                <w:gridSpan w:val="2"/>
              </w:tcPr>
              <w:p w:rsidR="00694556" w:rsidRDefault="00005C8B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כב' ה</w:t>
                </w:r>
                <w:sdt>
                  <w:sdtPr>
                    <w:rPr>
                      <w:rtl/>
                    </w:rPr>
                    <w:alias w:val="1574"/>
                    <w:tag w:val="1574"/>
                    <w:id w:val="1381135220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שופט</w:t>
                    </w:r>
                  </w:sdtContent>
                </w:sdt>
                <w:r>
                  <w:rPr>
                    <w:rFonts w:hint="cs" w:ascii="Arial" w:hAnsi="Arial"/>
                    <w:b/>
                    <w:bCs/>
                    <w:rtl/>
                  </w:rPr>
                  <w:t xml:space="preserve">  </w:t>
                </w:r>
                <w:sdt>
                  <w:sdtPr>
                    <w:rPr>
                      <w:rtl/>
                    </w:rPr>
                    <w:alias w:val="1573"/>
                    <w:tag w:val="1573"/>
                    <w:id w:val="-2102251137"/>
                    <w:text w:multiLine="1"/>
                  </w:sdtPr>
                  <w:sdtEndPr/>
                  <w:sdtContent>
                    <w:r>
                      <w:rPr>
                        <w:rFonts w:ascii="Arial" w:hAnsi="Arial"/>
                        <w:b/>
                        <w:bCs/>
                        <w:rtl/>
                      </w:rPr>
                      <w:t>אבישי זבולון</w:t>
                    </w:r>
                  </w:sdtContent>
                </w:sdt>
              </w:p>
              <w:p w:rsidR="00694556" w:rsidRDefault="00694556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  <w:sdt>
                <w:sdtPr>
                  <w:alias w:val="1180"/>
                  <w:tag w:val="1180"/>
                  <w:id w:val="1608932696"/>
                  <w:text w:multiLine="1"/>
                </w:sdtPr>
                <w:sdtEndPr/>
                <w:sdtContent>
                  <w:p w:rsidR="007B617E" w:rsidRDefault="00893062">
                    <w:pPr>
                      <w:bidi w:val="0"/>
                      <w:jc w:val="right"/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</w:pPr>
                    <w:r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תובעים</w:t>
                    </w:r>
                  </w:p>
                </w:sdtContent>
              </w:sdt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D7517B">
                <w:pPr>
                  <w:rPr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</w:t>
                </w:r>
              </w:p>
            </w:tc>
          </w:tr>
          <w:tr w:rsidR="00694556">
            <w:trPr>
              <w:jc w:val="center"/>
            </w:trPr>
            <w:tc>
              <w:tcPr>
                <w:tcW w:w="8820" w:type="dxa"/>
                <w:gridSpan w:val="3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005C8B">
                <w:pPr>
                  <w:jc w:val="center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נגד</w:t>
                </w:r>
              </w:p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</w:p>
            </w:tc>
          </w:tr>
          <w:tr w:rsidR="00694556">
            <w:trPr>
              <w:jc w:val="center"/>
            </w:trPr>
            <w:tc>
              <w:tcPr>
                <w:tcW w:w="3249" w:type="dxa"/>
                <w:gridSpan w:val="2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F221D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sdt>
                  <w:sdtPr>
                    <w:rPr>
                      <w:rtl/>
                    </w:rPr>
                    <w:alias w:val="1184"/>
                    <w:tag w:val="1184"/>
                    <w:id w:val="-907613391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נתבעים</w:t>
                    </w:r>
                  </w:sdtContent>
                </w:sdt>
              </w:p>
            </w:tc>
            <w:tc>
              <w:tcPr>
                <w:tcW w:w="5571" w:type="dxa"/>
              </w:tcPr>
              <w:p w:rsidR="00694556" w:rsidRDefault="006945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</w:p>
              <w:p w:rsidR="00694556" w:rsidRDefault="00F221DA">
                <w:pPr>
                  <w:rPr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sdt>
                  <w:sdtPr>
                    <w:rPr>
                      <w:rtl/>
                    </w:rPr>
                    <w:alias w:val="1486"/>
                    <w:tag w:val="1486"/>
                    <w:id w:val="-663555465"/>
                    <w:text w:multiLine="1"/>
                  </w:sdtPr>
                  <w:sdtEndPr/>
                  <w:sdtContent>
                    <w:r w:rsidR="00D17DF2">
                      <w:rPr>
                        <w:rFonts w:ascii="Arial" w:hAnsi="Arial"/>
                        <w:b/>
                        <w:bCs/>
                        <w:noProof w:val="0"/>
                        <w:sz w:val="26"/>
                        <w:szCs w:val="26"/>
                        <w:rtl/>
                      </w:rPr>
                      <w:t>יעקב פחימה</w:t>
                    </w:r>
                  </w:sdtContent>
                </w:sdt>
              </w:p>
            </w:tc>
          </w:tr>
        </w:tbl>
      </w:sdtContent>
    </w:sdt>
    <w:p w:rsidR="00694556" w:rsidP="006D3B31" w:rsidRDefault="00694556">
      <w:pPr>
        <w:suppressLineNumbers/>
        <w:rPr>
          <w:rtl/>
        </w:rPr>
      </w:pPr>
    </w:p>
    <w:p w:rsidRPr="007C2A34" w:rsidR="007C2A34" w:rsidP="006D3B31" w:rsidRDefault="007C2A34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numPr>
          <w:ilvl w:val="0"/>
          <w:numId w:val="1"/>
        </w:numPr>
        <w:spacing w:before="15" w:after="15"/>
        <w:ind w:right="15"/>
        <w:rPr>
          <w:rFonts w:ascii="Arial" w:hAnsi="Arial" w:eastAsia="Arial Unicode MS"/>
          <w:noProof w:val="0"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בהסכמת בעלי הדין ולנוכח הפערים בין חוות הדעת מטעם הצדדים, אני מורה על מינויו של </w:t>
      </w:r>
      <w:r>
        <w:rPr>
          <w:rFonts w:hint="cs" w:ascii="Arial" w:hAnsi="Arial" w:eastAsia="Arial Unicode MS"/>
          <w:noProof w:val="0"/>
          <w:rtl/>
          <w:lang w:eastAsia="he-IL"/>
        </w:rPr>
        <w:t xml:space="preserve">ד"ר לאון קפלן מבית החולים הדסה הר הצופים ירושלים, טל': 02-6777893 </w:t>
      </w:r>
      <w:r w:rsidRPr="00705458">
        <w:rPr>
          <w:rFonts w:ascii="Arial" w:hAnsi="Arial" w:eastAsia="Arial Unicode MS"/>
          <w:noProof w:val="0"/>
          <w:rtl/>
          <w:lang w:eastAsia="he-IL"/>
        </w:rPr>
        <w:t>, כמומחה רפואי</w:t>
      </w:r>
      <w:r>
        <w:rPr>
          <w:rFonts w:ascii="Arial" w:hAnsi="Arial" w:eastAsia="Arial Unicode MS"/>
          <w:noProof w:val="0"/>
          <w:rtl/>
          <w:lang w:eastAsia="he-IL"/>
        </w:rPr>
        <w:t xml:space="preserve"> מטעם בית המשפט</w:t>
      </w:r>
      <w:r>
        <w:rPr>
          <w:rFonts w:hint="cs" w:ascii="Arial" w:hAnsi="Arial" w:eastAsia="Arial Unicode MS"/>
          <w:noProof w:val="0"/>
          <w:rtl/>
          <w:lang w:eastAsia="he-IL"/>
        </w:rPr>
        <w:t>.</w:t>
      </w: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numPr>
          <w:ilvl w:val="0"/>
          <w:numId w:val="1"/>
        </w:numPr>
        <w:tabs>
          <w:tab w:val="left" w:pos="720"/>
        </w:tabs>
        <w:autoSpaceDE w:val="0"/>
        <w:autoSpaceDN w:val="0"/>
        <w:spacing w:before="240" w:line="360" w:lineRule="auto"/>
        <w:jc w:val="both"/>
        <w:rPr>
          <w:rFonts w:cs="Times New Roman"/>
          <w:noProof w:val="0"/>
          <w:sz w:val="20"/>
          <w:szCs w:val="20"/>
          <w:lang w:eastAsia="he-IL"/>
        </w:rPr>
      </w:pPr>
      <w:r w:rsidRPr="00705458">
        <w:rPr>
          <w:noProof w:val="0"/>
          <w:rtl/>
          <w:lang w:eastAsia="he-IL"/>
        </w:rPr>
        <w:t>המזכירות תעביר למומחה החלטתי זו, והוא מתבקש להודיע לבית המשפט תוך 7 ימים דבר הסכמתו לשמש כמומחה בתיק זה והאם קיימת מניעה מצדו לנוכח זהותם של הצדדים או מסיבה אחרת. תוך 7 ימים יודיעו הצדדים אם יש להם התנגדות למינוי המומחה בשל קשריו עם אחד הצדדים. בהעדר הודעה יובן כי לא קיימת מניעה כלשהי מצד הצדדים או המומחה.</w:t>
      </w:r>
    </w:p>
    <w:p w:rsidRPr="00705458" w:rsidR="00705458" w:rsidP="00705458" w:rsidRDefault="00705458">
      <w:pPr>
        <w:ind w:left="720"/>
        <w:rPr>
          <w:noProof w:val="0"/>
        </w:rPr>
      </w:pP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              המומחה יקבע ממצאים לגבי מצבו הרפואי של התובע בעקבות האירוע מיום 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              </w:t>
      </w:r>
      <w:r>
        <w:rPr>
          <w:rFonts w:hint="cs" w:ascii="Arial" w:hAnsi="Arial" w:eastAsia="Arial Unicode MS"/>
          <w:noProof w:val="0"/>
          <w:rtl/>
          <w:lang w:eastAsia="he-IL"/>
        </w:rPr>
        <w:t>29/1/11</w:t>
      </w:r>
      <w:r w:rsidR="00893062">
        <w:rPr>
          <w:rFonts w:hint="cs" w:ascii="Arial" w:hAnsi="Arial" w:eastAsia="Arial Unicode MS"/>
          <w:noProof w:val="0"/>
          <w:rtl/>
          <w:lang w:eastAsia="he-IL"/>
        </w:rPr>
        <w:t xml:space="preserve">, </w:t>
      </w:r>
      <w:r w:rsidRPr="00893062" w:rsidR="00893062">
        <w:rPr>
          <w:rFonts w:hint="cs" w:ascii="Arial" w:hAnsi="Arial" w:eastAsia="Arial Unicode MS"/>
          <w:b/>
          <w:bCs/>
          <w:noProof w:val="0"/>
          <w:u w:val="single"/>
          <w:rtl/>
          <w:lang w:eastAsia="he-IL"/>
        </w:rPr>
        <w:t>ביחס לפגיעה הנוירולוגית</w:t>
      </w:r>
      <w:r w:rsidR="00893062">
        <w:rPr>
          <w:rFonts w:hint="cs" w:ascii="Arial" w:hAnsi="Arial" w:eastAsia="Arial Unicode MS"/>
          <w:noProof w:val="0"/>
          <w:rtl/>
          <w:lang w:eastAsia="he-IL"/>
        </w:rPr>
        <w:t xml:space="preserve"> </w:t>
      </w:r>
      <w:r w:rsidRPr="00705458">
        <w:rPr>
          <w:rFonts w:ascii="Arial" w:hAnsi="Arial" w:eastAsia="Arial Unicode MS"/>
          <w:noProof w:val="0"/>
          <w:rtl/>
          <w:lang w:eastAsia="he-IL"/>
        </w:rPr>
        <w:t>ובמיוחד יתייחס ל: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            א. האם לוקה התובע כיום בנכות, ואם כן, לאיזה תקופה ומה שיעור הנכות.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            ב. קשר שבין התאונה לבין מצב התובע נכון להיום.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              ג.  האם יהיה התובע זקוק לטיפולים רפואיים בעתיד, ואם כן-מהם סוגי 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                  הטיפולים ומהי העלות המשוערת של טיפולים אלה לפי המחירים הנכונים 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                להיום.</w:t>
      </w:r>
    </w:p>
    <w:p w:rsidRPr="00705458" w:rsidR="00705458" w:rsidP="00705458" w:rsidRDefault="00705458">
      <w:pPr>
        <w:spacing w:before="15" w:after="15"/>
        <w:ind w:left="746" w:right="15" w:hanging="731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            ד. האם יש לצפות לשיפור או להחמרה במצבו בעתיד.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   </w:t>
      </w:r>
    </w:p>
    <w:p w:rsidRPr="00705458" w:rsidR="00705458" w:rsidP="00705458" w:rsidRDefault="00705458">
      <w:pPr>
        <w:numPr>
          <w:ilvl w:val="0"/>
          <w:numId w:val="1"/>
        </w:numPr>
        <w:spacing w:before="15" w:after="15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 בעלי הדין רשאים להעביר למומחה כל מסמך רפואי שבידיהם לרבות חוות דעת </w:t>
      </w:r>
    </w:p>
    <w:p w:rsidRPr="00705458" w:rsidR="00705458" w:rsidP="00705458" w:rsidRDefault="00705458">
      <w:pPr>
        <w:spacing w:before="15" w:after="15"/>
        <w:ind w:left="360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        מומחים.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            המומחה  יציין בחוות דעתו אלו מסמכים היו בפניו לצורך מתן חוות הדעת.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893062" w:rsidRDefault="00705458">
      <w:pPr>
        <w:numPr>
          <w:ilvl w:val="0"/>
          <w:numId w:val="1"/>
        </w:numPr>
        <w:spacing w:line="360" w:lineRule="auto"/>
        <w:rPr>
          <w:noProof w:val="0"/>
        </w:rPr>
      </w:pPr>
      <w:r w:rsidRPr="00705458">
        <w:rPr>
          <w:rFonts w:ascii="Arial" w:hAnsi="Arial"/>
          <w:noProof w:val="0"/>
          <w:rtl/>
        </w:rPr>
        <w:t xml:space="preserve">בשלב זה </w:t>
      </w:r>
      <w:r w:rsidR="00893062">
        <w:rPr>
          <w:rFonts w:hint="cs" w:ascii="Arial" w:hAnsi="Arial"/>
          <w:noProof w:val="0"/>
          <w:rtl/>
        </w:rPr>
        <w:t>ישאו הצדדים</w:t>
      </w:r>
      <w:r w:rsidRPr="00705458">
        <w:rPr>
          <w:rFonts w:ascii="Arial" w:hAnsi="Arial"/>
          <w:noProof w:val="0"/>
          <w:rtl/>
        </w:rPr>
        <w:t xml:space="preserve"> בשכרו של המומחה בחלקים שווים וזה י</w:t>
      </w:r>
      <w:r w:rsidR="00893062">
        <w:rPr>
          <w:rFonts w:hint="cs" w:ascii="Arial" w:hAnsi="Arial"/>
          <w:noProof w:val="0"/>
          <w:rtl/>
        </w:rPr>
        <w:t>י</w:t>
      </w:r>
      <w:r w:rsidRPr="00705458">
        <w:rPr>
          <w:rFonts w:ascii="Arial" w:hAnsi="Arial"/>
          <w:noProof w:val="0"/>
          <w:rtl/>
        </w:rPr>
        <w:t>לקח בחשבון   הסכומים שיפסקו.</w:t>
      </w:r>
      <w:r w:rsidRPr="00705458">
        <w:rPr>
          <w:noProof w:val="0"/>
          <w:rtl/>
        </w:rPr>
        <w:t xml:space="preserve"> </w:t>
      </w:r>
    </w:p>
    <w:p w:rsidRPr="00705458" w:rsidR="00705458" w:rsidP="00893062" w:rsidRDefault="00705458">
      <w:pPr>
        <w:numPr>
          <w:ilvl w:val="0"/>
          <w:numId w:val="1"/>
        </w:numPr>
        <w:spacing w:line="360" w:lineRule="auto"/>
        <w:rPr>
          <w:noProof w:val="0"/>
        </w:rPr>
      </w:pPr>
      <w:r w:rsidRPr="00705458">
        <w:rPr>
          <w:noProof w:val="0"/>
          <w:rtl/>
        </w:rPr>
        <w:t xml:space="preserve">שכרו של  המומחה לא יעלה על </w:t>
      </w:r>
      <w:r w:rsidR="00893062">
        <w:rPr>
          <w:rFonts w:hint="cs"/>
          <w:noProof w:val="0"/>
          <w:rtl/>
        </w:rPr>
        <w:t>4,500</w:t>
      </w:r>
      <w:r w:rsidRPr="00705458">
        <w:rPr>
          <w:noProof w:val="0"/>
          <w:rtl/>
        </w:rPr>
        <w:t xml:space="preserve"> ₪ בתוספת מע"מ, </w:t>
      </w:r>
      <w:r w:rsidR="00893062">
        <w:rPr>
          <w:rFonts w:hint="cs"/>
          <w:noProof w:val="0"/>
          <w:rtl/>
        </w:rPr>
        <w:t>הצדדים</w:t>
      </w:r>
      <w:r w:rsidRPr="00705458">
        <w:rPr>
          <w:noProof w:val="0"/>
          <w:rtl/>
        </w:rPr>
        <w:t xml:space="preserve"> יפקידו את שכר המומחה במזכירות בית המשפט בתוך 15 ימים, אשר לא תוציא כתב מינוי בטרם הופקדו הכספים. </w:t>
      </w:r>
    </w:p>
    <w:p w:rsidRPr="00705458" w:rsidR="00705458" w:rsidP="00705458" w:rsidRDefault="00705458">
      <w:pPr>
        <w:spacing w:before="15" w:after="15"/>
        <w:ind w:right="15"/>
        <w:rPr>
          <w:rFonts w:ascii="Arial" w:hAnsi="Arial" w:eastAsia="Arial Unicode MS"/>
          <w:noProof w:val="0"/>
          <w:rtl/>
          <w:lang w:eastAsia="he-IL"/>
        </w:rPr>
      </w:pPr>
    </w:p>
    <w:p w:rsidRPr="00705458" w:rsidR="00705458" w:rsidP="00705458" w:rsidRDefault="00705458">
      <w:pPr>
        <w:numPr>
          <w:ilvl w:val="0"/>
          <w:numId w:val="1"/>
        </w:numPr>
        <w:spacing w:before="15" w:after="15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חוות הדעת תימסר לבית המשפט ולבעלי הדין ככל האפשר תוך 60 יום מהיום. 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  </w:t>
      </w:r>
    </w:p>
    <w:p w:rsidRPr="00705458" w:rsidR="00705458" w:rsidP="00705458" w:rsidRDefault="00705458">
      <w:pPr>
        <w:numPr>
          <w:ilvl w:val="0"/>
          <w:numId w:val="1"/>
        </w:numPr>
        <w:spacing w:before="15" w:after="15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 xml:space="preserve">בעלי הדין רשאים להפנות למומחה שאלות הבהרה תוך 15 יום ממועד קבלת 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            חוות הדעת והמומחה מתבקש להשיב תוך 15 יום נוספים.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</w:p>
    <w:p w:rsidR="00893062" w:rsidP="00705458" w:rsidRDefault="00705458">
      <w:pPr>
        <w:spacing w:line="360" w:lineRule="auto"/>
        <w:ind w:left="720"/>
        <w:rPr>
          <w:noProof w:val="0"/>
          <w:rtl/>
        </w:rPr>
      </w:pPr>
      <w:r w:rsidRPr="00705458">
        <w:rPr>
          <w:noProof w:val="0"/>
          <w:rtl/>
        </w:rPr>
        <w:t xml:space="preserve">תחשיב נזק מטעם התובעת יוגש עד 30 יום מקבלת חוות הדעת.                                             </w:t>
      </w:r>
    </w:p>
    <w:p w:rsidRPr="00705458" w:rsidR="00705458" w:rsidP="00705458" w:rsidRDefault="00705458">
      <w:pPr>
        <w:spacing w:line="360" w:lineRule="auto"/>
        <w:ind w:left="720"/>
        <w:rPr>
          <w:noProof w:val="0"/>
        </w:rPr>
      </w:pPr>
      <w:r w:rsidRPr="00705458">
        <w:rPr>
          <w:noProof w:val="0"/>
          <w:rtl/>
        </w:rPr>
        <w:t>תחשיב נזק מטעם הנתבעת יוגש בחלוף 30 יום נוספים.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 </w:t>
      </w:r>
    </w:p>
    <w:p w:rsidRPr="00705458" w:rsidR="00705458" w:rsidP="00705458" w:rsidRDefault="00705458">
      <w:pPr>
        <w:numPr>
          <w:ilvl w:val="0"/>
          <w:numId w:val="1"/>
        </w:numPr>
        <w:spacing w:before="15" w:after="15"/>
        <w:ind w:right="15"/>
        <w:rPr>
          <w:rFonts w:ascii="Arial" w:hAnsi="Arial" w:eastAsia="Arial Unicode MS"/>
          <w:noProof w:val="0"/>
          <w:rtl/>
          <w:lang w:eastAsia="he-IL"/>
        </w:rPr>
      </w:pPr>
      <w:r w:rsidRPr="00705458">
        <w:rPr>
          <w:rFonts w:ascii="Arial" w:hAnsi="Arial" w:eastAsia="Arial Unicode MS"/>
          <w:noProof w:val="0"/>
          <w:rtl/>
          <w:lang w:eastAsia="he-IL"/>
        </w:rPr>
        <w:t>ימי הפגרה יבואו במניין הימים.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 w:cs="Arial"/>
          <w:noProof w:val="0"/>
          <w:rtl/>
          <w:lang w:eastAsia="he-IL"/>
        </w:rPr>
      </w:pPr>
      <w:r w:rsidRPr="00705458">
        <w:rPr>
          <w:rFonts w:ascii="Arial" w:hAnsi="Arial" w:eastAsia="Arial Unicode MS" w:cs="Arial"/>
          <w:noProof w:val="0"/>
          <w:rtl/>
          <w:lang w:eastAsia="he-IL"/>
        </w:rPr>
        <w:t> </w:t>
      </w:r>
    </w:p>
    <w:p w:rsidRPr="00705458" w:rsidR="00705458" w:rsidP="00705458" w:rsidRDefault="00705458">
      <w:pPr>
        <w:spacing w:before="15" w:after="15"/>
        <w:ind w:left="15" w:right="15"/>
        <w:rPr>
          <w:rFonts w:ascii="Arial" w:hAnsi="Arial" w:eastAsia="Arial Unicode MS" w:cs="Arial"/>
          <w:noProof w:val="0"/>
          <w:rtl/>
          <w:lang w:eastAsia="he-IL"/>
        </w:rPr>
      </w:pPr>
      <w:r w:rsidRPr="00705458">
        <w:rPr>
          <w:rFonts w:ascii="Arial" w:hAnsi="Arial" w:eastAsia="Arial Unicode MS" w:cs="Arial"/>
          <w:noProof w:val="0"/>
          <w:rtl/>
          <w:lang w:eastAsia="he-IL"/>
        </w:rPr>
        <w:t>  </w:t>
      </w:r>
    </w:p>
    <w:p w:rsidRPr="00705458" w:rsidR="00705458" w:rsidP="00705458" w:rsidRDefault="00705458">
      <w:pPr>
        <w:rPr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70702585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66318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0226B" w:rsidRDefault="00F221D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b2afbfde4d49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018B6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F221DA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F221DA">
      <w:rPr>
        <w:rStyle w:val="ac"/>
        <w:rtl/>
      </w:rPr>
      <w:t>2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221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367CF">
      <w:rPr>
        <w:rFonts w:cs="FrankRuehl"/>
        <w:sz w:val="28"/>
        <w:szCs w:val="28"/>
      </w:rPr>
      <w:drawing>
        <wp:inline distT="0" distB="0" distL="0" distR="0" wp14:anchorId="0CEA7A1F" wp14:editId="1A5BB59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D17DF2" w:rsidP="00D17DF2" w:rsidRDefault="00D17DF2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</w:rPr>
          </w:pPr>
          <w:r>
            <w:rPr>
              <w:rFonts w:ascii="Tahoma" w:hAnsi="Tahoma" w:cs="Tahoma"/>
              <w:b/>
              <w:bCs/>
              <w:noProof w:val="0"/>
              <w:color w:val="000080"/>
              <w:rtl/>
            </w:rPr>
            <w:t>בית משפט השלום בקריית גת - בשבתו בבימ"ש באר שבע</w:t>
          </w:r>
        </w:p>
        <w:p w:rsidR="00694556" w:rsidRDefault="00694556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D7517B" w:rsidRDefault="00F221DA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376824503"/>
              <w:text w:multiLine="1"/>
            </w:sdtPr>
            <w:sdtEndPr/>
            <w:sdtContent>
              <w:r w:rsidR="00D17DF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92055442"/>
              <w:text w:multiLine="1"/>
            </w:sdtPr>
            <w:sdtEndPr/>
            <w:sdtContent>
              <w:r w:rsidR="00D17DF2">
                <w:rPr>
                  <w:b/>
                  <w:bCs/>
                  <w:noProof w:val="0"/>
                  <w:sz w:val="26"/>
                  <w:szCs w:val="26"/>
                  <w:rtl/>
                </w:rPr>
                <w:t>55507-02-16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B1E97"/>
    <w:multiLevelType w:val="hybridMultilevel"/>
    <w:tmpl w:val="4F3AB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34E"/>
    <w:rsid w:val="000564AB"/>
    <w:rsid w:val="00064FBD"/>
    <w:rsid w:val="00082AB2"/>
    <w:rsid w:val="00096AF7"/>
    <w:rsid w:val="000C3B0F"/>
    <w:rsid w:val="000E3AF1"/>
    <w:rsid w:val="000F0BC8"/>
    <w:rsid w:val="0010179B"/>
    <w:rsid w:val="00107E6D"/>
    <w:rsid w:val="0011194C"/>
    <w:rsid w:val="00144D2A"/>
    <w:rsid w:val="0014653E"/>
    <w:rsid w:val="00161EA1"/>
    <w:rsid w:val="00180519"/>
    <w:rsid w:val="001C4003"/>
    <w:rsid w:val="002265FF"/>
    <w:rsid w:val="002328D7"/>
    <w:rsid w:val="002C344E"/>
    <w:rsid w:val="002F7A32"/>
    <w:rsid w:val="00307A6A"/>
    <w:rsid w:val="00307C40"/>
    <w:rsid w:val="00320433"/>
    <w:rsid w:val="0033597A"/>
    <w:rsid w:val="003367CF"/>
    <w:rsid w:val="0036743F"/>
    <w:rsid w:val="0043125D"/>
    <w:rsid w:val="0043502B"/>
    <w:rsid w:val="00491B00"/>
    <w:rsid w:val="004C4BDF"/>
    <w:rsid w:val="004D1187"/>
    <w:rsid w:val="004E3510"/>
    <w:rsid w:val="004E6E3C"/>
    <w:rsid w:val="00513A35"/>
    <w:rsid w:val="005268F6"/>
    <w:rsid w:val="00547DB7"/>
    <w:rsid w:val="005B6415"/>
    <w:rsid w:val="005C5C23"/>
    <w:rsid w:val="00600801"/>
    <w:rsid w:val="006018B6"/>
    <w:rsid w:val="00622BAA"/>
    <w:rsid w:val="00671BD5"/>
    <w:rsid w:val="006805C1"/>
    <w:rsid w:val="00686C21"/>
    <w:rsid w:val="00694556"/>
    <w:rsid w:val="006D3B31"/>
    <w:rsid w:val="006E1A53"/>
    <w:rsid w:val="00704EDA"/>
    <w:rsid w:val="00705458"/>
    <w:rsid w:val="007175AD"/>
    <w:rsid w:val="00753019"/>
    <w:rsid w:val="00795365"/>
    <w:rsid w:val="007B54D9"/>
    <w:rsid w:val="007B617E"/>
    <w:rsid w:val="007C2A34"/>
    <w:rsid w:val="007E6115"/>
    <w:rsid w:val="007F4609"/>
    <w:rsid w:val="00804293"/>
    <w:rsid w:val="00820005"/>
    <w:rsid w:val="00844318"/>
    <w:rsid w:val="00856D6A"/>
    <w:rsid w:val="00893062"/>
    <w:rsid w:val="00896889"/>
    <w:rsid w:val="008C5714"/>
    <w:rsid w:val="00903896"/>
    <w:rsid w:val="00906F3D"/>
    <w:rsid w:val="009266B6"/>
    <w:rsid w:val="00945859"/>
    <w:rsid w:val="00967DFF"/>
    <w:rsid w:val="00994341"/>
    <w:rsid w:val="009E24C7"/>
    <w:rsid w:val="00A3392B"/>
    <w:rsid w:val="00A94B64"/>
    <w:rsid w:val="00A96B8F"/>
    <w:rsid w:val="00AA3229"/>
    <w:rsid w:val="00AC3B7B"/>
    <w:rsid w:val="00AC5209"/>
    <w:rsid w:val="00AE2B41"/>
    <w:rsid w:val="00AE7752"/>
    <w:rsid w:val="00AF7FDA"/>
    <w:rsid w:val="00B80CBD"/>
    <w:rsid w:val="00B86096"/>
    <w:rsid w:val="00BA19DC"/>
    <w:rsid w:val="00BB3D05"/>
    <w:rsid w:val="00BB73BE"/>
    <w:rsid w:val="00BE6669"/>
    <w:rsid w:val="00BF1908"/>
    <w:rsid w:val="00C22D93"/>
    <w:rsid w:val="00C34482"/>
    <w:rsid w:val="00C35312"/>
    <w:rsid w:val="00C50A9F"/>
    <w:rsid w:val="00CD07C9"/>
    <w:rsid w:val="00CE00F8"/>
    <w:rsid w:val="00CF73E0"/>
    <w:rsid w:val="00D17DF2"/>
    <w:rsid w:val="00D32B89"/>
    <w:rsid w:val="00D33B86"/>
    <w:rsid w:val="00D5059E"/>
    <w:rsid w:val="00D53924"/>
    <w:rsid w:val="00D55D0C"/>
    <w:rsid w:val="00D7517B"/>
    <w:rsid w:val="00D96D8C"/>
    <w:rsid w:val="00DA6649"/>
    <w:rsid w:val="00DC75AC"/>
    <w:rsid w:val="00E25884"/>
    <w:rsid w:val="00E5426A"/>
    <w:rsid w:val="00E54642"/>
    <w:rsid w:val="00E60619"/>
    <w:rsid w:val="00EC37E9"/>
    <w:rsid w:val="00ED1BFA"/>
    <w:rsid w:val="00F221DA"/>
    <w:rsid w:val="00F26886"/>
    <w:rsid w:val="00F4702B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5:docId w15:val="{602C4E88-84F4-4EFE-AB5D-F82EBF1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טבלת רשת2"/>
    <w:basedOn w:val="a1"/>
    <w:next w:val="aa"/>
    <w:rsid w:val="009266B6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כותרת עליונה תו"/>
    <w:basedOn w:val="a0"/>
    <w:link w:val="a3"/>
    <w:rsid w:val="00D17DF2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fb2afbfde4d494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1674</Characters>
  <Application>Microsoft Office Word</Application>
  <DocSecurity>0</DocSecurity>
  <Lines>13</Lines>
  <Paragraphs>4</Paragraphs>
  <ScaleCrop>false</ScaleCrop>
  <Company>Microsoft Corporation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10</cp:revision>
  <dcterms:created xsi:type="dcterms:W3CDTF">2012-08-06T00:31:00Z</dcterms:created>
  <dcterms:modified xsi:type="dcterms:W3CDTF">2018-04-11T14:32:00Z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