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עדי סומך</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71364D"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תובע</w:t>
                </w:r>
                <w:r w:rsidR="0071364D">
                  <w:rPr>
                    <w:rFonts w:hint="cs"/>
                    <w:b/>
                    <w:bCs/>
                    <w:noProof w:val="0"/>
                    <w:sz w:val="26"/>
                    <w:szCs w:val="26"/>
                    <w:rtl/>
                  </w:rPr>
                  <w:t>ת</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7639CE">
            <w:pPr>
              <w:rPr>
                <w:sz w:val="26"/>
                <w:szCs w:val="26"/>
              </w:rPr>
            </w:pPr>
            <w:sdt>
              <w:sdtPr>
                <w:rPr>
                  <w:rFonts w:hint="cs"/>
                  <w:sz w:val="26"/>
                  <w:szCs w:val="26"/>
                  <w:rtl/>
                </w:rPr>
                <w:alias w:val="1478"/>
                <w:tag w:val="1478"/>
                <w:id w:val="160126198"/>
                <w:text w:multiLine="1"/>
              </w:sdtPr>
              <w:sdtEndPr/>
              <w:sdtContent>
                <w:r w:rsidR="00E13360">
                  <w:rPr>
                    <w:rFonts w:hint="cs"/>
                    <w:b/>
                    <w:bCs/>
                    <w:noProof w:val="0"/>
                    <w:sz w:val="26"/>
                    <w:szCs w:val="26"/>
                    <w:rtl/>
                  </w:rPr>
                  <w:t>מנורה מבטחים ביטוח בע"מ</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נתבעים</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7639CE">
            <w:pPr>
              <w:rPr>
                <w:sz w:val="26"/>
                <w:szCs w:val="26"/>
              </w:rPr>
            </w:pPr>
            <w:sdt>
              <w:sdtPr>
                <w:rPr>
                  <w:rFonts w:hint="cs"/>
                  <w:sz w:val="26"/>
                  <w:szCs w:val="26"/>
                  <w:rtl/>
                </w:rPr>
                <w:alias w:val="1571"/>
                <w:tag w:val="1571"/>
                <w:id w:val="-1361515445"/>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86"/>
                <w:tag w:val="1486"/>
                <w:id w:val="1487590763"/>
                <w:text w:multiLine="1"/>
              </w:sdtPr>
              <w:sdtEndPr/>
              <w:sdtContent>
                <w:r w:rsidR="00E13360">
                  <w:rPr>
                    <w:rFonts w:hint="cs"/>
                    <w:b/>
                    <w:bCs/>
                    <w:noProof w:val="0"/>
                    <w:sz w:val="26"/>
                    <w:szCs w:val="26"/>
                    <w:rtl/>
                  </w:rPr>
                  <w:t>שלמה דנינו</w:t>
                </w:r>
              </w:sdtContent>
            </w:sdt>
          </w:p>
          <w:p w:rsidRPr="00934F1C" w:rsidR="006816EC" w:rsidP="00934F1C" w:rsidRDefault="007639CE">
            <w:pPr>
              <w:rPr>
                <w:sz w:val="26"/>
                <w:szCs w:val="26"/>
              </w:rPr>
            </w:pPr>
            <w:sdt>
              <w:sdtPr>
                <w:rPr>
                  <w:rFonts w:hint="cs"/>
                  <w:sz w:val="26"/>
                  <w:szCs w:val="26"/>
                  <w:rtl/>
                </w:rPr>
                <w:alias w:val="1571"/>
                <w:tag w:val="1571"/>
                <w:id w:val="2145376265"/>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86"/>
                <w:tag w:val="1486"/>
                <w:id w:val="-1565790691"/>
                <w:text w:multiLine="1"/>
              </w:sdtPr>
              <w:sdtEndPr/>
              <w:sdtContent>
                <w:r w:rsidR="00E13360">
                  <w:rPr>
                    <w:rFonts w:hint="cs"/>
                    <w:b/>
                    <w:bCs/>
                    <w:noProof w:val="0"/>
                    <w:sz w:val="26"/>
                    <w:szCs w:val="26"/>
                    <w:rtl/>
                  </w:rPr>
                  <w:t>קשר רנט א קאר בע"מ</w:t>
                </w:r>
              </w:sdtContent>
            </w:sdt>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71364D" w:rsidP="008F64F5" w:rsidRDefault="0071364D">
      <w:pPr>
        <w:spacing w:line="360" w:lineRule="auto"/>
        <w:jc w:val="both"/>
        <w:rPr>
          <w:rFonts w:ascii="Arial" w:hAnsi="Arial" w:cs="Arial"/>
          <w:rtl/>
        </w:rPr>
      </w:pPr>
    </w:p>
    <w:p w:rsidR="0071364D" w:rsidP="008F64F5" w:rsidRDefault="0071364D">
      <w:pPr>
        <w:spacing w:line="360" w:lineRule="auto"/>
        <w:jc w:val="both"/>
        <w:rPr>
          <w:rFonts w:ascii="Arial" w:hAnsi="Arial"/>
          <w:rtl/>
        </w:rPr>
      </w:pPr>
      <w:r>
        <w:rPr>
          <w:rFonts w:hint="cs" w:ascii="Arial" w:hAnsi="Arial"/>
          <w:rtl/>
        </w:rPr>
        <w:t xml:space="preserve">הצדדים הסמיכו את בית המשפט לפסוק בתיק זה לפי סעיף 79א לחוק בתי המשפט [נוסח משולב], התשמ"ד-1984. </w:t>
      </w:r>
    </w:p>
    <w:p w:rsidR="0071364D" w:rsidP="008F64F5" w:rsidRDefault="0071364D">
      <w:pPr>
        <w:spacing w:line="360" w:lineRule="auto"/>
        <w:jc w:val="both"/>
        <w:rPr>
          <w:rFonts w:ascii="Arial" w:hAnsi="Arial"/>
          <w:rtl/>
        </w:rPr>
      </w:pPr>
    </w:p>
    <w:p w:rsidR="0071364D" w:rsidP="00AA129A" w:rsidRDefault="0071364D">
      <w:pPr>
        <w:spacing w:line="360" w:lineRule="auto"/>
        <w:jc w:val="both"/>
        <w:rPr>
          <w:rFonts w:hint="cs" w:ascii="Arial" w:hAnsi="Arial"/>
          <w:rtl/>
        </w:rPr>
      </w:pPr>
      <w:r>
        <w:rPr>
          <w:rFonts w:hint="cs" w:ascii="Arial" w:hAnsi="Arial"/>
          <w:rtl/>
        </w:rPr>
        <w:t>לאחר ששמעתי את עדי הצדדים במסגרת הדיון בפניי והתרשמתי מעדותם, עיינתי בכתבי הטענות ובמסמכים שהוצגו בפניי במעמד הדיון</w:t>
      </w:r>
      <w:r w:rsidR="00AA129A">
        <w:rPr>
          <w:rFonts w:hint="cs" w:ascii="Arial" w:hAnsi="Arial"/>
          <w:rtl/>
        </w:rPr>
        <w:t xml:space="preserve"> לרבות בתמונות נזקי רכב התובעת ומקום התאונה</w:t>
      </w:r>
      <w:r>
        <w:rPr>
          <w:rFonts w:hint="cs" w:ascii="Arial" w:hAnsi="Arial"/>
          <w:rtl/>
        </w:rPr>
        <w:t>,</w:t>
      </w:r>
      <w:r w:rsidR="00AA129A">
        <w:rPr>
          <w:rFonts w:hint="cs" w:ascii="Arial" w:hAnsi="Arial"/>
          <w:rtl/>
        </w:rPr>
        <w:t xml:space="preserve"> אני קובע כי האחריות לתאונה חלה שווה בשווה בין הנהגים המעורבים שכן הוכח כי נהג התובעת נסע לימין רכב הנתבעים במקום שבו יש נתיב תנועה אחד רחב. מנגד הוכח גם שהנתבע 1 סטה ממסלולו ובכך נגרמה התאונה, הגם שעל פניו לא היה מניע לצפות בואם של רכבים מימין לנוכח התוואי הנוסף שנוצר שם בפרט על רקע פיצול והתרחבות הנתיב במקום. הוכח כי סטייה שכזו הייתה בחופזה.</w:t>
      </w:r>
    </w:p>
    <w:p w:rsidR="00AA129A" w:rsidP="00AA129A" w:rsidRDefault="00AA129A">
      <w:pPr>
        <w:spacing w:line="360" w:lineRule="auto"/>
        <w:jc w:val="both"/>
        <w:rPr>
          <w:rFonts w:ascii="Arial" w:hAnsi="Arial"/>
          <w:rtl/>
        </w:rPr>
      </w:pPr>
    </w:p>
    <w:p w:rsidR="0071364D" w:rsidP="00301CC6" w:rsidRDefault="0071364D">
      <w:pPr>
        <w:spacing w:line="360" w:lineRule="auto"/>
        <w:jc w:val="both"/>
        <w:rPr>
          <w:rFonts w:ascii="Arial" w:hAnsi="Arial"/>
          <w:rtl/>
        </w:rPr>
      </w:pPr>
      <w:r>
        <w:rPr>
          <w:rFonts w:hint="cs" w:ascii="Arial" w:hAnsi="Arial"/>
          <w:rtl/>
        </w:rPr>
        <w:t xml:space="preserve">אשר על כן, אני מורה כי הנתבעים, באמצעות הנתבעת 2, ישלמו לתובעת </w:t>
      </w:r>
      <w:r w:rsidR="00AA129A">
        <w:rPr>
          <w:rFonts w:hint="cs" w:ascii="Arial" w:hAnsi="Arial"/>
          <w:rtl/>
        </w:rPr>
        <w:t>סך של 6,550 ₪ בעבור מחצית</w:t>
      </w:r>
      <w:r>
        <w:rPr>
          <w:rFonts w:hint="cs" w:ascii="Arial" w:hAnsi="Arial"/>
          <w:rtl/>
        </w:rPr>
        <w:t xml:space="preserve"> </w:t>
      </w:r>
      <w:r w:rsidR="00AA129A">
        <w:rPr>
          <w:rFonts w:hint="cs" w:ascii="Arial" w:hAnsi="Arial"/>
          <w:rtl/>
        </w:rPr>
        <w:t>מ</w:t>
      </w:r>
      <w:r>
        <w:rPr>
          <w:rFonts w:hint="cs" w:ascii="Arial" w:hAnsi="Arial"/>
          <w:rtl/>
        </w:rPr>
        <w:t xml:space="preserve">סך הנזק הישיר </w:t>
      </w:r>
      <w:r w:rsidR="00AA129A">
        <w:rPr>
          <w:rFonts w:hint="cs" w:ascii="Arial" w:hAnsi="Arial"/>
          <w:rtl/>
        </w:rPr>
        <w:t xml:space="preserve">שנתבע </w:t>
      </w:r>
      <w:r>
        <w:rPr>
          <w:rFonts w:hint="cs" w:ascii="Arial" w:hAnsi="Arial"/>
          <w:rtl/>
        </w:rPr>
        <w:t xml:space="preserve">בגין התאונה, בצירוף הצמדה למדד מיום </w:t>
      </w:r>
      <w:r w:rsidR="00AA129A">
        <w:rPr>
          <w:rFonts w:hint="cs" w:ascii="Arial" w:hAnsi="Arial"/>
          <w:rtl/>
        </w:rPr>
        <w:t>התשלום למבוטח</w:t>
      </w:r>
      <w:r>
        <w:rPr>
          <w:rFonts w:hint="cs" w:ascii="Arial" w:hAnsi="Arial"/>
          <w:rtl/>
        </w:rPr>
        <w:t>, שכ"ט עו"ד ע"ס 1,</w:t>
      </w:r>
      <w:r w:rsidR="00AA129A">
        <w:rPr>
          <w:rFonts w:hint="cs" w:ascii="Arial" w:hAnsi="Arial"/>
          <w:rtl/>
        </w:rPr>
        <w:t>5</w:t>
      </w:r>
      <w:r>
        <w:rPr>
          <w:rFonts w:hint="cs" w:ascii="Arial" w:hAnsi="Arial"/>
          <w:rtl/>
        </w:rPr>
        <w:t>00 ₪, אגרת בית משפט ששולמה בפתיחת התיק</w:t>
      </w:r>
      <w:r w:rsidR="00301CC6">
        <w:rPr>
          <w:rFonts w:hint="cs" w:ascii="Arial" w:hAnsi="Arial"/>
          <w:rtl/>
        </w:rPr>
        <w:t>. בנסיבות, כל צד יישא בשכר עדיו.</w:t>
      </w:r>
    </w:p>
    <w:p w:rsidR="00301CC6" w:rsidP="00301CC6" w:rsidRDefault="00301CC6">
      <w:pPr>
        <w:spacing w:line="360" w:lineRule="auto"/>
        <w:jc w:val="both"/>
        <w:rPr>
          <w:rFonts w:ascii="Arial" w:hAnsi="Arial"/>
          <w:rtl/>
        </w:rPr>
      </w:pPr>
      <w:r>
        <w:rPr>
          <w:rFonts w:hint="cs" w:ascii="Arial" w:hAnsi="Arial"/>
          <w:rtl/>
        </w:rPr>
        <w:t>ניתן בזאת פטור מתשלום מחצית השנייה של האגרה.</w:t>
      </w:r>
    </w:p>
    <w:p w:rsidR="00694556" w:rsidRDefault="00694556">
      <w:pPr>
        <w:spacing w:line="360" w:lineRule="auto"/>
        <w:jc w:val="both"/>
        <w:rPr>
          <w:rFonts w:ascii="Arial" w:hAnsi="Arial"/>
          <w:noProof w:val="0"/>
          <w:rtl/>
        </w:rPr>
      </w:pPr>
      <w:bookmarkStart w:name="_GoBack" w:id="0"/>
      <w:bookmarkEnd w:id="0"/>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7639CE">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6682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01984e446fe43a7" cstate="print">
                            <a:extLst>
                              <a:ext uri="{28A0092B-C50C-407E-A947-70E740481C1C}"/>
                            </a:extLst>
                          </a:blip>
                          <a:stretch>
                            <a:fillRect/>
                          </a:stretch>
                        </pic:blipFill>
                        <pic:spPr>
                          <a:xfrm>
                            <a:off x="0" y="0"/>
                            <a:ext cx="1266825" cy="9906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64D" w:rsidRDefault="0071364D">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7639CE">
      <w:rPr>
        <w:rStyle w:val="ab"/>
        <w:rtl/>
      </w:rPr>
      <w:t>1</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7639CE">
      <w:rPr>
        <w:rStyle w:val="ab"/>
        <w:rtl/>
      </w:rPr>
      <w:t>1</w:t>
    </w:r>
    <w:r w:rsidRPr="00A62BD0">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64D" w:rsidRDefault="0071364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64D" w:rsidRDefault="0071364D">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1364D">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7639CE">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תא"מ</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35811-07-17</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מנורה מבטחים ביטוח בע"מ נ' דנינו ואח'</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64D" w:rsidRDefault="0071364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72A9"/>
    <w:rsid w:val="00121F97"/>
    <w:rsid w:val="001277D7"/>
    <w:rsid w:val="00132017"/>
    <w:rsid w:val="00140E42"/>
    <w:rsid w:val="0014234E"/>
    <w:rsid w:val="00145A87"/>
    <w:rsid w:val="001C4003"/>
    <w:rsid w:val="001F5474"/>
    <w:rsid w:val="002352F7"/>
    <w:rsid w:val="00295DD1"/>
    <w:rsid w:val="00301CC6"/>
    <w:rsid w:val="00381D3A"/>
    <w:rsid w:val="003823DA"/>
    <w:rsid w:val="0043595F"/>
    <w:rsid w:val="0047645A"/>
    <w:rsid w:val="004C5CA7"/>
    <w:rsid w:val="004D49A3"/>
    <w:rsid w:val="004E6E3C"/>
    <w:rsid w:val="005124F1"/>
    <w:rsid w:val="00530BAD"/>
    <w:rsid w:val="00541598"/>
    <w:rsid w:val="00547DB7"/>
    <w:rsid w:val="00567324"/>
    <w:rsid w:val="005B0F49"/>
    <w:rsid w:val="005C7EC6"/>
    <w:rsid w:val="005D4BDB"/>
    <w:rsid w:val="0060626B"/>
    <w:rsid w:val="00622BAA"/>
    <w:rsid w:val="00625C89"/>
    <w:rsid w:val="00633C4F"/>
    <w:rsid w:val="00671BD5"/>
    <w:rsid w:val="006805C1"/>
    <w:rsid w:val="006816EC"/>
    <w:rsid w:val="00694556"/>
    <w:rsid w:val="006E1A53"/>
    <w:rsid w:val="007056AA"/>
    <w:rsid w:val="0071364D"/>
    <w:rsid w:val="00744F41"/>
    <w:rsid w:val="007639CE"/>
    <w:rsid w:val="007A24FE"/>
    <w:rsid w:val="007A35AA"/>
    <w:rsid w:val="007F1048"/>
    <w:rsid w:val="00820005"/>
    <w:rsid w:val="0083107C"/>
    <w:rsid w:val="00846D27"/>
    <w:rsid w:val="008610A7"/>
    <w:rsid w:val="008E1332"/>
    <w:rsid w:val="00903896"/>
    <w:rsid w:val="00927813"/>
    <w:rsid w:val="00934F1C"/>
    <w:rsid w:val="00944D13"/>
    <w:rsid w:val="00957C90"/>
    <w:rsid w:val="009E0263"/>
    <w:rsid w:val="00A0260A"/>
    <w:rsid w:val="00A267CF"/>
    <w:rsid w:val="00A43458"/>
    <w:rsid w:val="00A62BD0"/>
    <w:rsid w:val="00AA129A"/>
    <w:rsid w:val="00AC4E19"/>
    <w:rsid w:val="00AF1ED6"/>
    <w:rsid w:val="00B14234"/>
    <w:rsid w:val="00B32C61"/>
    <w:rsid w:val="00B368FE"/>
    <w:rsid w:val="00B80CBD"/>
    <w:rsid w:val="00BC3369"/>
    <w:rsid w:val="00BF77EE"/>
    <w:rsid w:val="00C32E0F"/>
    <w:rsid w:val="00C42BF9"/>
    <w:rsid w:val="00C83E56"/>
    <w:rsid w:val="00CD0055"/>
    <w:rsid w:val="00D319B3"/>
    <w:rsid w:val="00D53924"/>
    <w:rsid w:val="00D60849"/>
    <w:rsid w:val="00D71731"/>
    <w:rsid w:val="00D96D8C"/>
    <w:rsid w:val="00DD337E"/>
    <w:rsid w:val="00E00B6F"/>
    <w:rsid w:val="00E13360"/>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317FC2DA"/>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d01984e446fe43a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187</Words>
  <Characters>940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עדי סומך</cp:lastModifiedBy>
  <cp:revision>52</cp:revision>
  <dcterms:created xsi:type="dcterms:W3CDTF">2012-08-05T21:29:00Z</dcterms:created>
  <dcterms:modified xsi:type="dcterms:W3CDTF">2018-04-11T09:57:00Z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