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displacedByCustomXml="next" w:id="0"/>
    <w:bookmarkEnd w:displacedByCustomXml="next" w:id="0"/>
    <w:sdt>
      <w:sdtPr>
        <w:rPr>
          <w:rtl/>
        </w:rPr>
        <w:alias w:val="1456"/>
        <w:tag w:val="1456"/>
        <w:id w:val="-1921862679"/>
        <w:text/>
      </w:sdtPr>
      <w:sdtEndPr/>
      <w:sdtContent>
        <w:p>
          <w:pPr>
            <w:pStyle w:val="a3"/>
            <w:jc w:val="right"/>
            <w:rPr>
              <w:rtl/>
            </w:rPr>
          </w:pPr>
          <w:r>
            <w:rPr>
              <w:b/>
              <w:bCs/>
              <w:noProof w:val="0"/>
              <w:sz w:val="26"/>
              <w:szCs w:val="26"/>
              <w:rtl/>
            </w:rPr>
            <w:t>11 אפריל 2018</w:t>
          </w:r>
        </w:p>
      </w:sdtContent>
    </w:sdt>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3771"/>
      </w:tblGrid>
      <w:tr w:rsidRPr="006C54DD" w:rsidR="00694556">
        <w:trPr>
          <w:trHeight w:val="295"/>
          <w:jc w:val="center"/>
        </w:trPr>
        <w:tc>
          <w:tcPr>
            <w:tcW w:w="5049" w:type="dxa"/>
          </w:tcPr>
          <w:p w:rsidRPr="006C54DD" w:rsidR="00694556" w:rsidRDefault="00C40B78">
            <w:pPr>
              <w:rPr>
                <w:rFonts w:ascii="Arial" w:hAnsi="Arial"/>
                <w:b/>
                <w:bCs/>
                <w:noProof w:val="0"/>
                <w:sz w:val="28"/>
                <w:szCs w:val="28"/>
                <w:rtl/>
              </w:rPr>
            </w:pPr>
            <w:r w:rsidRPr="006C54DD">
              <w:rPr>
                <w:rFonts w:hint="cs" w:ascii="Arial" w:hAnsi="Arial"/>
                <w:b/>
                <w:bCs/>
                <w:sz w:val="28"/>
                <w:szCs w:val="28"/>
                <w:rtl/>
              </w:rPr>
              <w:t>ל</w:t>
            </w:r>
            <w:r w:rsidRPr="006C54DD" w:rsidR="00621052">
              <w:rPr>
                <w:rFonts w:ascii="Arial" w:hAnsi="Arial"/>
                <w:b/>
                <w:bCs/>
                <w:sz w:val="28"/>
                <w:szCs w:val="28"/>
                <w:rtl/>
              </w:rPr>
              <w:t>פני</w:t>
            </w:r>
            <w:r w:rsidRPr="006C54DD" w:rsidR="00621052">
              <w:rPr>
                <w:rFonts w:hint="cs" w:ascii="Arial" w:hAnsi="Arial"/>
                <w:b/>
                <w:bCs/>
                <w:noProof w:val="0"/>
                <w:sz w:val="28"/>
                <w:szCs w:val="28"/>
                <w:rtl/>
              </w:rPr>
              <w:t>:</w:t>
            </w:r>
          </w:p>
        </w:tc>
        <w:tc>
          <w:tcPr>
            <w:tcW w:w="3771" w:type="dxa"/>
          </w:tcPr>
          <w:p w:rsidRPr="006C54DD" w:rsidR="00694556" w:rsidRDefault="00694556">
            <w:pPr>
              <w:jc w:val="right"/>
              <w:rPr>
                <w:rFonts w:ascii="Arial" w:hAnsi="Arial"/>
                <w:b/>
                <w:bCs/>
                <w:noProof w:val="0"/>
                <w:sz w:val="28"/>
                <w:szCs w:val="28"/>
                <w:rtl/>
              </w:rPr>
            </w:pPr>
          </w:p>
        </w:tc>
      </w:tr>
      <w:tr w:rsidRPr="006C54DD" w:rsidR="00621052" w:rsidTr="00C265F5">
        <w:trPr>
          <w:jc w:val="center"/>
        </w:trPr>
        <w:tc>
          <w:tcPr>
            <w:tcW w:w="8820" w:type="dxa"/>
            <w:gridSpan w:val="2"/>
          </w:tcPr>
          <w:p w:rsidRPr="00CA2F3A" w:rsidR="00621052" w:rsidP="001E6E19" w:rsidRDefault="00621052">
            <w:pPr>
              <w:spacing w:line="360" w:lineRule="auto"/>
              <w:rPr>
                <w:rFonts w:ascii="Arial" w:hAnsi="Arial"/>
                <w:b/>
                <w:bCs/>
                <w:sz w:val="28"/>
                <w:szCs w:val="28"/>
              </w:rPr>
            </w:pPr>
            <w:r w:rsidRPr="006C54DD">
              <w:rPr>
                <w:rFonts w:hint="cs" w:ascii="Arial" w:hAnsi="Arial"/>
                <w:b/>
                <w:bCs/>
                <w:sz w:val="28"/>
                <w:szCs w:val="28"/>
                <w:rtl/>
              </w:rPr>
              <w:t xml:space="preserve">כב' </w:t>
            </w:r>
            <w:r w:rsidR="001E6E19">
              <w:rPr>
                <w:rFonts w:hint="cs" w:ascii="Arial" w:hAnsi="Arial"/>
                <w:b/>
                <w:bCs/>
                <w:sz w:val="28"/>
                <w:szCs w:val="28"/>
                <w:rtl/>
              </w:rPr>
              <w:t>ס.</w:t>
            </w:r>
            <w:r w:rsidRPr="006C54DD">
              <w:rPr>
                <w:rFonts w:hint="cs" w:ascii="Arial" w:hAnsi="Arial"/>
                <w:b/>
                <w:bCs/>
                <w:sz w:val="28"/>
                <w:szCs w:val="28"/>
                <w:rtl/>
              </w:rPr>
              <w:t>ה</w:t>
            </w:r>
            <w:r w:rsidR="007263F9">
              <w:rPr>
                <w:rFonts w:hint="cs" w:ascii="Arial" w:hAnsi="Arial"/>
                <w:b/>
                <w:bCs/>
                <w:sz w:val="28"/>
                <w:szCs w:val="28"/>
                <w:rtl/>
              </w:rPr>
              <w:t xml:space="preserve">נשיא </w:t>
            </w:r>
            <w:r w:rsidR="001E6E19">
              <w:rPr>
                <w:rFonts w:hint="cs" w:ascii="Arial" w:hAnsi="Arial"/>
                <w:b/>
                <w:bCs/>
                <w:sz w:val="28"/>
                <w:szCs w:val="28"/>
                <w:rtl/>
              </w:rPr>
              <w:t>יגאל גלם</w:t>
            </w:r>
          </w:p>
        </w:tc>
      </w:tr>
    </w:tbl>
    <w:p w:rsidR="00CA2F3A" w:rsidRDefault="00CA2F3A"/>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64"/>
        <w:gridCol w:w="5956"/>
      </w:tblGrid>
      <w:tr w:rsidRPr="006C54DD" w:rsidR="00694556" w:rsidTr="00CA2F3A">
        <w:trPr>
          <w:jc w:val="center"/>
        </w:trPr>
        <w:tc>
          <w:tcPr>
            <w:tcW w:w="2864" w:type="dxa"/>
          </w:tcPr>
          <w:p w:rsidRPr="006C54DD" w:rsidR="00694556" w:rsidP="00621052" w:rsidRDefault="00621052">
            <w:pPr>
              <w:rPr>
                <w:rFonts w:ascii="Arial" w:hAnsi="Arial"/>
                <w:b/>
                <w:bCs/>
                <w:noProof w:val="0"/>
                <w:sz w:val="28"/>
                <w:szCs w:val="28"/>
                <w:u w:val="single"/>
                <w:rtl/>
              </w:rPr>
            </w:pPr>
            <w:r w:rsidRPr="006C54DD">
              <w:rPr>
                <w:rFonts w:hint="cs"/>
                <w:b/>
                <w:bCs/>
                <w:sz w:val="28"/>
                <w:szCs w:val="28"/>
                <w:u w:val="single"/>
                <w:rtl/>
              </w:rPr>
              <w:t>ה</w:t>
            </w:r>
            <w:r w:rsidR="00CA2F3A">
              <w:rPr>
                <w:rFonts w:ascii="Arial" w:hAnsi="Arial"/>
                <w:b/>
                <w:bCs/>
                <w:noProof w:val="0"/>
                <w:sz w:val="28"/>
                <w:szCs w:val="28"/>
                <w:u w:val="single"/>
                <w:rtl/>
              </w:rPr>
              <w:t>מ</w:t>
            </w:r>
            <w:r w:rsidR="00CA2F3A">
              <w:rPr>
                <w:rFonts w:hint="cs" w:ascii="Arial" w:hAnsi="Arial"/>
                <w:b/>
                <w:bCs/>
                <w:noProof w:val="0"/>
                <w:sz w:val="28"/>
                <w:szCs w:val="28"/>
                <w:u w:val="single"/>
                <w:rtl/>
              </w:rPr>
              <w:t>ערער</w:t>
            </w:r>
          </w:p>
        </w:tc>
        <w:tc>
          <w:tcPr>
            <w:tcW w:w="5956" w:type="dxa"/>
          </w:tcPr>
          <w:p w:rsidRPr="00CA2F3A" w:rsidR="00CA2F3A" w:rsidP="00CA2F3A" w:rsidRDefault="00CA2F3A">
            <w:pPr>
              <w:rPr>
                <w:rFonts w:ascii="Arial" w:hAnsi="Arial"/>
                <w:b/>
                <w:bCs/>
                <w:noProof w:val="0"/>
                <w:sz w:val="28"/>
                <w:szCs w:val="28"/>
                <w:rtl/>
              </w:rPr>
            </w:pPr>
            <w:r w:rsidRPr="00CA2F3A">
              <w:rPr>
                <w:rFonts w:hint="cs"/>
                <w:b/>
                <w:bCs/>
                <w:sz w:val="28"/>
                <w:szCs w:val="28"/>
                <w:rtl/>
              </w:rPr>
              <w:t>אליהו לאופמן ת"ז 47874045</w:t>
            </w:r>
          </w:p>
          <w:p w:rsidRPr="006C54DD" w:rsidR="00621052" w:rsidP="00CA2F3A" w:rsidRDefault="00621052">
            <w:pPr>
              <w:rPr>
                <w:b/>
                <w:bCs/>
                <w:noProof w:val="0"/>
                <w:sz w:val="28"/>
                <w:szCs w:val="28"/>
              </w:rPr>
            </w:pPr>
            <w:r w:rsidRPr="006C54DD">
              <w:rPr>
                <w:rFonts w:hint="cs"/>
                <w:b/>
                <w:bCs/>
                <w:sz w:val="28"/>
                <w:szCs w:val="28"/>
                <w:rtl/>
              </w:rPr>
              <w:t>ע"י ב"כ: עו"ד</w:t>
            </w:r>
            <w:r w:rsidR="00CA2F3A">
              <w:rPr>
                <w:rFonts w:hint="cs"/>
                <w:b/>
                <w:bCs/>
                <w:noProof w:val="0"/>
                <w:sz w:val="28"/>
                <w:szCs w:val="28"/>
                <w:rtl/>
              </w:rPr>
              <w:t xml:space="preserve"> רענן פרפרי מטעם הלשכה לסיוע משפטי</w:t>
            </w:r>
          </w:p>
        </w:tc>
      </w:tr>
      <w:tr w:rsidRPr="006C54DD" w:rsidR="00694556">
        <w:trPr>
          <w:jc w:val="center"/>
        </w:trPr>
        <w:tc>
          <w:tcPr>
            <w:tcW w:w="8820" w:type="dxa"/>
            <w:gridSpan w:val="2"/>
          </w:tcPr>
          <w:p w:rsidRPr="006C54DD" w:rsidR="00621052" w:rsidP="00621052" w:rsidRDefault="00621052">
            <w:pPr>
              <w:spacing w:before="240" w:after="240"/>
              <w:jc w:val="center"/>
              <w:rPr>
                <w:rFonts w:ascii="Arial" w:hAnsi="Arial"/>
                <w:b/>
                <w:bCs/>
                <w:noProof w:val="0"/>
                <w:sz w:val="28"/>
                <w:szCs w:val="28"/>
              </w:rPr>
            </w:pPr>
            <w:r w:rsidRPr="006C54DD">
              <w:rPr>
                <w:rFonts w:hint="cs" w:ascii="Arial" w:hAnsi="Arial"/>
                <w:b/>
                <w:bCs/>
                <w:noProof w:val="0"/>
                <w:sz w:val="28"/>
                <w:szCs w:val="28"/>
                <w:rtl/>
              </w:rPr>
              <w:t>-</w:t>
            </w:r>
          </w:p>
        </w:tc>
      </w:tr>
      <w:tr w:rsidRPr="006C54DD" w:rsidR="00694556" w:rsidTr="00CA2F3A">
        <w:trPr>
          <w:jc w:val="center"/>
        </w:trPr>
        <w:tc>
          <w:tcPr>
            <w:tcW w:w="2864" w:type="dxa"/>
          </w:tcPr>
          <w:p w:rsidRPr="006C54DD" w:rsidR="00694556" w:rsidRDefault="00621052">
            <w:pPr>
              <w:rPr>
                <w:rFonts w:ascii="Arial" w:hAnsi="Arial"/>
                <w:b/>
                <w:bCs/>
                <w:noProof w:val="0"/>
                <w:sz w:val="28"/>
                <w:szCs w:val="28"/>
                <w:u w:val="single"/>
              </w:rPr>
            </w:pPr>
            <w:r w:rsidRPr="006C54DD">
              <w:rPr>
                <w:rFonts w:hint="cs"/>
                <w:b/>
                <w:bCs/>
                <w:sz w:val="28"/>
                <w:szCs w:val="28"/>
                <w:u w:val="single"/>
                <w:rtl/>
              </w:rPr>
              <w:t>ה</w:t>
            </w:r>
            <w:r w:rsidR="00CA2F3A">
              <w:rPr>
                <w:rFonts w:ascii="Arial" w:hAnsi="Arial"/>
                <w:b/>
                <w:bCs/>
                <w:noProof w:val="0"/>
                <w:sz w:val="28"/>
                <w:szCs w:val="28"/>
                <w:u w:val="single"/>
                <w:rtl/>
              </w:rPr>
              <w:t>משיב</w:t>
            </w:r>
          </w:p>
        </w:tc>
        <w:tc>
          <w:tcPr>
            <w:tcW w:w="5956" w:type="dxa"/>
          </w:tcPr>
          <w:p w:rsidRPr="006C54DD" w:rsidR="00694556" w:rsidRDefault="00D82900">
            <w:pPr>
              <w:rPr>
                <w:sz w:val="28"/>
                <w:szCs w:val="28"/>
                <w:rtl/>
              </w:rPr>
            </w:pPr>
            <w:r>
              <w:rPr>
                <w:rFonts w:ascii="Arial" w:hAnsi="Arial"/>
                <w:b/>
                <w:bCs/>
                <w:noProof w:val="0"/>
                <w:sz w:val="28"/>
                <w:szCs w:val="28"/>
                <w:rtl/>
              </w:rPr>
              <w:t>המוסד לביטוח לאומי</w:t>
            </w:r>
          </w:p>
          <w:p w:rsidRPr="006C54DD" w:rsidR="00621052" w:rsidRDefault="00621052">
            <w:pPr>
              <w:rPr>
                <w:b/>
                <w:bCs/>
                <w:noProof w:val="0"/>
                <w:sz w:val="28"/>
                <w:szCs w:val="28"/>
                <w:rtl/>
              </w:rPr>
            </w:pPr>
            <w:r w:rsidRPr="006C54DD">
              <w:rPr>
                <w:rFonts w:hint="cs"/>
                <w:b/>
                <w:bCs/>
                <w:sz w:val="28"/>
                <w:szCs w:val="28"/>
                <w:rtl/>
              </w:rPr>
              <w:t>ע"י ב"כ: עו"ד</w:t>
            </w:r>
            <w:r w:rsidR="00CA2F3A">
              <w:rPr>
                <w:rFonts w:hint="cs"/>
                <w:b/>
                <w:bCs/>
                <w:noProof w:val="0"/>
                <w:sz w:val="28"/>
                <w:szCs w:val="28"/>
                <w:rtl/>
              </w:rPr>
              <w:t xml:space="preserve"> איהאב סעדי</w:t>
            </w:r>
          </w:p>
        </w:tc>
      </w:tr>
    </w:tbl>
    <w:p w:rsidRPr="006C54DD" w:rsidR="00694556" w:rsidP="007B0923" w:rsidRDefault="00694556">
      <w:pPr>
        <w:spacing w:line="360" w:lineRule="auto"/>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6C54DD" w:rsidR="00694556">
        <w:trPr>
          <w:jc w:val="center"/>
        </w:trPr>
        <w:tc>
          <w:tcPr>
            <w:tcW w:w="8820" w:type="dxa"/>
          </w:tcPr>
          <w:p w:rsidRPr="006C54DD" w:rsidR="00694556" w:rsidRDefault="00005C8B">
            <w:pPr>
              <w:bidi w:val="0"/>
              <w:jc w:val="center"/>
              <w:rPr>
                <w:rFonts w:ascii="Arial" w:hAnsi="Arial"/>
                <w:b/>
                <w:bCs/>
                <w:noProof w:val="0"/>
                <w:sz w:val="34"/>
                <w:szCs w:val="34"/>
                <w:u w:val="single"/>
              </w:rPr>
            </w:pPr>
            <w:r w:rsidRPr="006C54DD">
              <w:rPr>
                <w:rFonts w:ascii="Arial" w:hAnsi="Arial"/>
                <w:b/>
                <w:bCs/>
                <w:noProof w:val="0"/>
                <w:sz w:val="34"/>
                <w:szCs w:val="34"/>
                <w:u w:val="single"/>
                <w:rtl/>
              </w:rPr>
              <w:t>פסק דין</w:t>
            </w:r>
          </w:p>
        </w:tc>
      </w:tr>
    </w:tbl>
    <w:p w:rsidRPr="006C54DD" w:rsidR="00694556" w:rsidRDefault="00694556">
      <w:pPr>
        <w:spacing w:line="360" w:lineRule="auto"/>
        <w:jc w:val="both"/>
        <w:rPr>
          <w:rFonts w:ascii="Arial" w:hAnsi="Arial"/>
          <w:noProof w:val="0"/>
          <w:sz w:val="28"/>
          <w:szCs w:val="28"/>
          <w:rtl/>
        </w:rPr>
      </w:pPr>
    </w:p>
    <w:p w:rsidR="00AD4C6D" w:rsidP="00597AEC" w:rsidRDefault="00AD4C6D">
      <w:pPr>
        <w:spacing w:line="360" w:lineRule="auto"/>
        <w:ind w:left="720" w:hanging="720"/>
        <w:jc w:val="both"/>
        <w:rPr>
          <w:sz w:val="28"/>
          <w:szCs w:val="28"/>
        </w:rPr>
      </w:pPr>
      <w:r>
        <w:rPr>
          <w:rFonts w:hint="cs"/>
          <w:sz w:val="28"/>
          <w:szCs w:val="28"/>
          <w:rtl/>
        </w:rPr>
        <w:t>1.</w:t>
      </w:r>
      <w:r>
        <w:rPr>
          <w:rFonts w:hint="cs"/>
          <w:sz w:val="28"/>
          <w:szCs w:val="28"/>
          <w:rtl/>
        </w:rPr>
        <w:tab/>
        <w:t xml:space="preserve">זהו ערעור לפי סעיף 213 לחוק הביטוח הלאומי [נוסח משולב] התשנ"ה-1995, על החלטת הוועדה הרפואית לעררים ("הוועדה") לפי חוק פיצוי לנפגעי פוליו, התשס"ז-1997 ("חוק הפוליו") מיום </w:t>
      </w:r>
      <w:r w:rsidR="001C5B90">
        <w:rPr>
          <w:rFonts w:hint="cs"/>
          <w:sz w:val="28"/>
          <w:szCs w:val="28"/>
          <w:rtl/>
        </w:rPr>
        <w:t>21/2/17</w:t>
      </w:r>
      <w:r>
        <w:rPr>
          <w:rFonts w:hint="cs"/>
          <w:sz w:val="28"/>
          <w:szCs w:val="28"/>
          <w:rtl/>
        </w:rPr>
        <w:t>, אשר קבעה</w:t>
      </w:r>
      <w:r w:rsidR="001C5B90">
        <w:rPr>
          <w:rFonts w:hint="cs"/>
          <w:sz w:val="28"/>
          <w:szCs w:val="28"/>
          <w:rtl/>
        </w:rPr>
        <w:t>,</w:t>
      </w:r>
      <w:r>
        <w:rPr>
          <w:rFonts w:hint="cs"/>
          <w:sz w:val="28"/>
          <w:szCs w:val="28"/>
          <w:rtl/>
        </w:rPr>
        <w:t xml:space="preserve"> </w:t>
      </w:r>
      <w:r w:rsidR="001C5B90">
        <w:rPr>
          <w:rFonts w:hint="cs"/>
          <w:sz w:val="28"/>
          <w:szCs w:val="28"/>
          <w:rtl/>
        </w:rPr>
        <w:t>כי ה</w:t>
      </w:r>
      <w:r>
        <w:rPr>
          <w:rFonts w:hint="cs"/>
          <w:sz w:val="28"/>
          <w:szCs w:val="28"/>
          <w:rtl/>
        </w:rPr>
        <w:t>מערער</w:t>
      </w:r>
      <w:r w:rsidR="001C5B90">
        <w:rPr>
          <w:rFonts w:hint="cs"/>
          <w:sz w:val="28"/>
          <w:szCs w:val="28"/>
          <w:rtl/>
        </w:rPr>
        <w:t xml:space="preserve"> לא</w:t>
      </w:r>
      <w:r w:rsidR="00597AEC">
        <w:rPr>
          <w:rFonts w:hint="cs"/>
          <w:sz w:val="28"/>
          <w:szCs w:val="28"/>
          <w:rtl/>
        </w:rPr>
        <w:t xml:space="preserve"> נותח בישראל בעקבות </w:t>
      </w:r>
      <w:r w:rsidR="001C5B90">
        <w:rPr>
          <w:rFonts w:hint="cs"/>
          <w:sz w:val="28"/>
          <w:szCs w:val="28"/>
          <w:rtl/>
        </w:rPr>
        <w:t xml:space="preserve">מחלת הפוליו </w:t>
      </w:r>
      <w:r>
        <w:rPr>
          <w:rFonts w:hint="cs"/>
          <w:sz w:val="28"/>
          <w:szCs w:val="28"/>
          <w:rtl/>
        </w:rPr>
        <w:t xml:space="preserve">("ההחלטה"). </w:t>
      </w:r>
    </w:p>
    <w:p w:rsidR="00AD4C6D" w:rsidP="00AD4C6D" w:rsidRDefault="00AD4C6D">
      <w:pPr>
        <w:spacing w:line="360" w:lineRule="auto"/>
        <w:jc w:val="both"/>
        <w:rPr>
          <w:sz w:val="28"/>
          <w:szCs w:val="28"/>
          <w:rtl/>
        </w:rPr>
      </w:pPr>
    </w:p>
    <w:p w:rsidR="00597AEC" w:rsidP="00AD4C6D" w:rsidRDefault="00597AEC">
      <w:pPr>
        <w:spacing w:line="360" w:lineRule="auto"/>
        <w:jc w:val="both"/>
        <w:rPr>
          <w:sz w:val="28"/>
          <w:szCs w:val="28"/>
          <w:rtl/>
        </w:rPr>
      </w:pPr>
      <w:r>
        <w:rPr>
          <w:rFonts w:hint="cs"/>
          <w:b/>
          <w:bCs/>
          <w:sz w:val="28"/>
          <w:szCs w:val="28"/>
          <w:u w:val="single"/>
          <w:rtl/>
        </w:rPr>
        <w:t>הרקע</w:t>
      </w:r>
    </w:p>
    <w:p w:rsidRPr="00597AEC" w:rsidR="00597AEC" w:rsidP="00AD4C6D" w:rsidRDefault="00597AEC">
      <w:pPr>
        <w:spacing w:line="360" w:lineRule="auto"/>
        <w:jc w:val="both"/>
        <w:rPr>
          <w:sz w:val="28"/>
          <w:szCs w:val="28"/>
          <w:rtl/>
        </w:rPr>
      </w:pPr>
    </w:p>
    <w:p w:rsidR="003152CD" w:rsidP="00597AEC" w:rsidRDefault="003152CD">
      <w:pPr>
        <w:spacing w:line="360" w:lineRule="auto"/>
        <w:ind w:left="720" w:hanging="720"/>
        <w:jc w:val="both"/>
        <w:rPr>
          <w:sz w:val="28"/>
          <w:szCs w:val="28"/>
          <w:rtl/>
        </w:rPr>
      </w:pPr>
      <w:r>
        <w:rPr>
          <w:rFonts w:hint="cs"/>
          <w:sz w:val="28"/>
          <w:szCs w:val="28"/>
          <w:rtl/>
        </w:rPr>
        <w:t>2.</w:t>
      </w:r>
      <w:r>
        <w:rPr>
          <w:rFonts w:hint="cs"/>
          <w:sz w:val="28"/>
          <w:szCs w:val="28"/>
          <w:rtl/>
        </w:rPr>
        <w:tab/>
        <w:t>המערער נולד ברומניה ביום 12/9/1950. על פי "תעודת מחלה" ותמצית מרשם האוכלוסין, המערער עלה לישראל ביום 11/2/1951, בהיותו בן חמישה חודשים.</w:t>
      </w:r>
    </w:p>
    <w:p w:rsidR="00F64CE6" w:rsidP="00F64CE6" w:rsidRDefault="00F64CE6">
      <w:pPr>
        <w:spacing w:line="360" w:lineRule="auto"/>
        <w:ind w:left="1440" w:hanging="720"/>
        <w:jc w:val="both"/>
        <w:rPr>
          <w:sz w:val="28"/>
          <w:szCs w:val="28"/>
          <w:rtl/>
        </w:rPr>
      </w:pPr>
    </w:p>
    <w:p w:rsidR="003152CD" w:rsidP="00597AEC" w:rsidRDefault="00597AEC">
      <w:pPr>
        <w:spacing w:line="360" w:lineRule="auto"/>
        <w:ind w:left="720" w:hanging="720"/>
        <w:jc w:val="both"/>
        <w:rPr>
          <w:sz w:val="28"/>
          <w:szCs w:val="28"/>
          <w:rtl/>
        </w:rPr>
      </w:pPr>
      <w:r>
        <w:rPr>
          <w:rFonts w:hint="cs"/>
          <w:sz w:val="28"/>
          <w:szCs w:val="28"/>
          <w:rtl/>
        </w:rPr>
        <w:t>3.</w:t>
      </w:r>
      <w:r w:rsidR="003152CD">
        <w:rPr>
          <w:sz w:val="28"/>
          <w:szCs w:val="28"/>
          <w:rtl/>
        </w:rPr>
        <w:tab/>
      </w:r>
      <w:r w:rsidR="003152CD">
        <w:rPr>
          <w:rFonts w:hint="cs"/>
          <w:sz w:val="28"/>
          <w:szCs w:val="28"/>
          <w:rtl/>
        </w:rPr>
        <w:t>על פי החלטת הוועדה הרפואית לעררים מיום 2/9/2008, המערער חל</w:t>
      </w:r>
      <w:r w:rsidR="00F64CE6">
        <w:rPr>
          <w:rFonts w:hint="cs"/>
          <w:sz w:val="28"/>
          <w:szCs w:val="28"/>
          <w:rtl/>
        </w:rPr>
        <w:t xml:space="preserve">ה במחלת הפוליו בחודש ינואר 1951, עוד קודם לעלייתו לישראל, מחוץ לישראל. </w:t>
      </w:r>
      <w:r>
        <w:rPr>
          <w:rFonts w:hint="cs"/>
          <w:sz w:val="28"/>
          <w:szCs w:val="28"/>
          <w:rtl/>
        </w:rPr>
        <w:t xml:space="preserve">על החלטה זו הגיש המערער ערעור לבית דין זה. </w:t>
      </w:r>
    </w:p>
    <w:p w:rsidR="003152CD" w:rsidP="00AD4C6D" w:rsidRDefault="003152CD">
      <w:pPr>
        <w:spacing w:line="360" w:lineRule="auto"/>
        <w:jc w:val="both"/>
        <w:rPr>
          <w:sz w:val="28"/>
          <w:szCs w:val="28"/>
          <w:rtl/>
        </w:rPr>
      </w:pPr>
    </w:p>
    <w:p w:rsidR="00F64CE6" w:rsidP="001E6E19" w:rsidRDefault="00597AEC">
      <w:pPr>
        <w:spacing w:line="360" w:lineRule="auto"/>
        <w:ind w:left="720" w:hanging="720"/>
        <w:jc w:val="both"/>
        <w:rPr>
          <w:sz w:val="28"/>
          <w:szCs w:val="28"/>
          <w:rtl/>
        </w:rPr>
      </w:pPr>
      <w:r>
        <w:rPr>
          <w:rFonts w:hint="cs"/>
          <w:sz w:val="28"/>
          <w:szCs w:val="28"/>
          <w:rtl/>
        </w:rPr>
        <w:t>4.</w:t>
      </w:r>
      <w:r w:rsidR="00F64CE6">
        <w:rPr>
          <w:sz w:val="28"/>
          <w:szCs w:val="28"/>
          <w:rtl/>
        </w:rPr>
        <w:tab/>
      </w:r>
      <w:r w:rsidR="00F64CE6">
        <w:rPr>
          <w:rFonts w:hint="cs"/>
          <w:sz w:val="28"/>
          <w:szCs w:val="28"/>
          <w:rtl/>
        </w:rPr>
        <w:t>בפסק די</w:t>
      </w:r>
      <w:r w:rsidR="00F20344">
        <w:rPr>
          <w:rFonts w:hint="cs"/>
          <w:sz w:val="28"/>
          <w:szCs w:val="28"/>
          <w:rtl/>
        </w:rPr>
        <w:t xml:space="preserve">ן </w:t>
      </w:r>
      <w:r w:rsidR="00F64CE6">
        <w:rPr>
          <w:rFonts w:hint="cs"/>
          <w:sz w:val="28"/>
          <w:szCs w:val="28"/>
          <w:rtl/>
        </w:rPr>
        <w:t xml:space="preserve">מיום </w:t>
      </w:r>
      <w:r w:rsidR="0084375F">
        <w:rPr>
          <w:rFonts w:hint="cs"/>
          <w:sz w:val="28"/>
          <w:szCs w:val="28"/>
          <w:rtl/>
        </w:rPr>
        <w:t>21/2/2010</w:t>
      </w:r>
      <w:r w:rsidR="00F64CE6">
        <w:rPr>
          <w:rFonts w:hint="cs"/>
          <w:sz w:val="28"/>
          <w:szCs w:val="28"/>
          <w:rtl/>
        </w:rPr>
        <w:t xml:space="preserve"> (ב"ל 15845-11-08) </w:t>
      </w:r>
      <w:r w:rsidR="001E6E19">
        <w:rPr>
          <w:rFonts w:hint="cs"/>
          <w:sz w:val="28"/>
          <w:szCs w:val="28"/>
          <w:rtl/>
        </w:rPr>
        <w:t>נדחה</w:t>
      </w:r>
      <w:r w:rsidR="00F20344">
        <w:rPr>
          <w:rFonts w:hint="cs"/>
          <w:sz w:val="28"/>
          <w:szCs w:val="28"/>
          <w:rtl/>
        </w:rPr>
        <w:t xml:space="preserve"> </w:t>
      </w:r>
      <w:r>
        <w:rPr>
          <w:rFonts w:hint="cs"/>
          <w:sz w:val="28"/>
          <w:szCs w:val="28"/>
          <w:rtl/>
        </w:rPr>
        <w:t>ה</w:t>
      </w:r>
      <w:r w:rsidR="00F64CE6">
        <w:rPr>
          <w:rFonts w:hint="cs"/>
          <w:sz w:val="28"/>
          <w:szCs w:val="28"/>
          <w:rtl/>
        </w:rPr>
        <w:t>ערעור</w:t>
      </w:r>
      <w:r w:rsidR="001E6E19">
        <w:rPr>
          <w:rFonts w:hint="cs"/>
          <w:sz w:val="28"/>
          <w:szCs w:val="28"/>
          <w:rtl/>
        </w:rPr>
        <w:t xml:space="preserve"> (כב' הנשיא אלכס קוגן)</w:t>
      </w:r>
      <w:r w:rsidR="00F64CE6">
        <w:rPr>
          <w:rFonts w:hint="cs"/>
          <w:sz w:val="28"/>
          <w:szCs w:val="28"/>
          <w:rtl/>
        </w:rPr>
        <w:t>. בקשת רשות ערעור נדחתה אף היא (בר"ע 179-10</w:t>
      </w:r>
      <w:r>
        <w:rPr>
          <w:rFonts w:hint="cs"/>
          <w:sz w:val="28"/>
          <w:szCs w:val="28"/>
          <w:rtl/>
        </w:rPr>
        <w:t>, כב' השופטת רוזנפלד, החלטה מיום 4/7/2010</w:t>
      </w:r>
      <w:r w:rsidR="00F64CE6">
        <w:rPr>
          <w:rFonts w:hint="cs"/>
          <w:sz w:val="28"/>
          <w:szCs w:val="28"/>
          <w:rtl/>
        </w:rPr>
        <w:t>), ואושרה קביעת הוועדה הרפואית לעררים לפיה המערער חלה במחלת הפוליו בהיותו בן ארבעה חודשים, בחודש ינו</w:t>
      </w:r>
      <w:r w:rsidR="0084375F">
        <w:rPr>
          <w:rFonts w:hint="cs"/>
          <w:sz w:val="28"/>
          <w:szCs w:val="28"/>
          <w:rtl/>
        </w:rPr>
        <w:t xml:space="preserve">אר 1951, טרם עלייתו ארצה. </w:t>
      </w:r>
    </w:p>
    <w:p w:rsidR="0084375F" w:rsidP="00F64CE6" w:rsidRDefault="0084375F">
      <w:pPr>
        <w:spacing w:line="360" w:lineRule="auto"/>
        <w:ind w:left="1440" w:hanging="720"/>
        <w:jc w:val="both"/>
        <w:rPr>
          <w:sz w:val="28"/>
          <w:szCs w:val="28"/>
          <w:rtl/>
        </w:rPr>
      </w:pPr>
    </w:p>
    <w:p w:rsidR="00BE6015" w:rsidP="00BC0D8A" w:rsidRDefault="00BC0D8A">
      <w:pPr>
        <w:spacing w:line="360" w:lineRule="auto"/>
        <w:ind w:left="720" w:hanging="720"/>
        <w:jc w:val="both"/>
        <w:rPr>
          <w:sz w:val="28"/>
          <w:szCs w:val="28"/>
          <w:rtl/>
        </w:rPr>
      </w:pPr>
      <w:r>
        <w:rPr>
          <w:rFonts w:hint="cs"/>
          <w:sz w:val="28"/>
          <w:szCs w:val="28"/>
          <w:rtl/>
        </w:rPr>
        <w:lastRenderedPageBreak/>
        <w:t>5.</w:t>
      </w:r>
      <w:r w:rsidR="0084375F">
        <w:rPr>
          <w:sz w:val="28"/>
          <w:szCs w:val="28"/>
          <w:rtl/>
        </w:rPr>
        <w:tab/>
      </w:r>
      <w:r w:rsidR="00BE6015">
        <w:rPr>
          <w:rFonts w:hint="cs"/>
          <w:sz w:val="28"/>
          <w:szCs w:val="28"/>
          <w:rtl/>
        </w:rPr>
        <w:t xml:space="preserve">בהתאם לתיקון חוק הפוליו בשנת 2012, אשר קבע זכאות לגמלה גם למי שחלה מחוץ לישראל, אם נותח בישראל עד ליום 1/1/1970 בשל מחלת הפוליו </w:t>
      </w:r>
      <w:r w:rsidR="00BE6015">
        <w:rPr>
          <w:sz w:val="28"/>
          <w:szCs w:val="28"/>
          <w:rtl/>
        </w:rPr>
        <w:t>–</w:t>
      </w:r>
      <w:r w:rsidR="00BE6015">
        <w:rPr>
          <w:rFonts w:hint="cs"/>
          <w:sz w:val="28"/>
          <w:szCs w:val="28"/>
          <w:rtl/>
        </w:rPr>
        <w:t xml:space="preserve"> הגיש המערער תביעה להכיר בו כזכאי לפיצוי, וזאת לנוכח אשפוז בבית החולים רמב"ם בשנת 1951. </w:t>
      </w:r>
    </w:p>
    <w:p w:rsidR="003152CD" w:rsidP="00AD4C6D" w:rsidRDefault="003152CD">
      <w:pPr>
        <w:spacing w:line="360" w:lineRule="auto"/>
        <w:jc w:val="both"/>
        <w:rPr>
          <w:sz w:val="28"/>
          <w:szCs w:val="28"/>
          <w:rtl/>
        </w:rPr>
      </w:pPr>
    </w:p>
    <w:p w:rsidR="00693686" w:rsidP="00F20344" w:rsidRDefault="00BC0D8A">
      <w:pPr>
        <w:spacing w:line="360" w:lineRule="auto"/>
        <w:ind w:left="720" w:hanging="720"/>
        <w:jc w:val="both"/>
        <w:rPr>
          <w:sz w:val="28"/>
          <w:szCs w:val="28"/>
          <w:rtl/>
        </w:rPr>
      </w:pPr>
      <w:r>
        <w:rPr>
          <w:rFonts w:hint="cs"/>
          <w:sz w:val="28"/>
          <w:szCs w:val="28"/>
          <w:rtl/>
        </w:rPr>
        <w:t>6.</w:t>
      </w:r>
      <w:r w:rsidR="00693686">
        <w:rPr>
          <w:sz w:val="28"/>
          <w:szCs w:val="28"/>
          <w:rtl/>
        </w:rPr>
        <w:tab/>
      </w:r>
      <w:r w:rsidR="00693686">
        <w:rPr>
          <w:rFonts w:hint="cs"/>
          <w:sz w:val="28"/>
          <w:szCs w:val="28"/>
          <w:rtl/>
        </w:rPr>
        <w:t xml:space="preserve">ועדה רפואית לעררים התכנסה ביום 15/1/14, דחתה את הערר וקבעה, כי לא הוכח שהמערער עבר ניתוח </w:t>
      </w:r>
      <w:r w:rsidR="00F20344">
        <w:rPr>
          <w:rFonts w:hint="cs"/>
          <w:sz w:val="28"/>
          <w:szCs w:val="28"/>
          <w:rtl/>
        </w:rPr>
        <w:t xml:space="preserve">(טיפול רפואי) </w:t>
      </w:r>
      <w:r w:rsidR="00693686">
        <w:rPr>
          <w:rFonts w:hint="cs"/>
          <w:sz w:val="28"/>
          <w:szCs w:val="28"/>
          <w:rtl/>
        </w:rPr>
        <w:t xml:space="preserve">בישראל בשל מחלת הפוליו לפני יום 1/1/1970. </w:t>
      </w:r>
    </w:p>
    <w:p w:rsidR="00693686" w:rsidP="00693686" w:rsidRDefault="00693686">
      <w:pPr>
        <w:spacing w:line="360" w:lineRule="auto"/>
        <w:ind w:left="1440" w:hanging="720"/>
        <w:jc w:val="both"/>
        <w:rPr>
          <w:sz w:val="28"/>
          <w:szCs w:val="28"/>
          <w:rtl/>
        </w:rPr>
      </w:pPr>
    </w:p>
    <w:p w:rsidR="00693686" w:rsidP="00F20344" w:rsidRDefault="00BC0D8A">
      <w:pPr>
        <w:spacing w:line="360" w:lineRule="auto"/>
        <w:ind w:left="720" w:hanging="720"/>
        <w:jc w:val="both"/>
        <w:rPr>
          <w:sz w:val="28"/>
          <w:szCs w:val="28"/>
          <w:rtl/>
        </w:rPr>
      </w:pPr>
      <w:r>
        <w:rPr>
          <w:rFonts w:hint="cs"/>
          <w:sz w:val="28"/>
          <w:szCs w:val="28"/>
          <w:rtl/>
        </w:rPr>
        <w:t>7.</w:t>
      </w:r>
      <w:r w:rsidR="00693686">
        <w:rPr>
          <w:sz w:val="28"/>
          <w:szCs w:val="28"/>
          <w:rtl/>
        </w:rPr>
        <w:tab/>
      </w:r>
      <w:r w:rsidR="00693686">
        <w:rPr>
          <w:rFonts w:hint="cs"/>
          <w:sz w:val="28"/>
          <w:szCs w:val="28"/>
          <w:rtl/>
        </w:rPr>
        <w:t xml:space="preserve">המוסד הגיש </w:t>
      </w:r>
      <w:r>
        <w:rPr>
          <w:rFonts w:hint="cs"/>
          <w:sz w:val="28"/>
          <w:szCs w:val="28"/>
          <w:rtl/>
        </w:rPr>
        <w:t xml:space="preserve">הודעת </w:t>
      </w:r>
      <w:r w:rsidR="00693686">
        <w:rPr>
          <w:rFonts w:hint="cs"/>
          <w:sz w:val="28"/>
          <w:szCs w:val="28"/>
          <w:rtl/>
        </w:rPr>
        <w:t>ערעור</w:t>
      </w:r>
      <w:r>
        <w:rPr>
          <w:rFonts w:hint="cs"/>
          <w:sz w:val="28"/>
          <w:szCs w:val="28"/>
          <w:rtl/>
        </w:rPr>
        <w:t xml:space="preserve"> מוסכמת</w:t>
      </w:r>
      <w:r w:rsidR="00693686">
        <w:rPr>
          <w:rFonts w:hint="cs"/>
          <w:sz w:val="28"/>
          <w:szCs w:val="28"/>
          <w:rtl/>
        </w:rPr>
        <w:t xml:space="preserve"> על החלטה זו (ב"ל 67373-12-14), ובית הדין אישר את הסכמת הצדדים (</w:t>
      </w:r>
      <w:r>
        <w:rPr>
          <w:rFonts w:hint="cs"/>
          <w:sz w:val="28"/>
          <w:szCs w:val="28"/>
          <w:rtl/>
        </w:rPr>
        <w:t>כב' הרשמת שי-</w:t>
      </w:r>
      <w:r w:rsidR="00693686">
        <w:rPr>
          <w:rFonts w:hint="cs"/>
          <w:sz w:val="28"/>
          <w:szCs w:val="28"/>
          <w:rtl/>
        </w:rPr>
        <w:t>גרינברג</w:t>
      </w:r>
      <w:r w:rsidR="00F20344">
        <w:rPr>
          <w:rFonts w:hint="cs"/>
          <w:sz w:val="28"/>
          <w:szCs w:val="28"/>
          <w:rtl/>
        </w:rPr>
        <w:t>, פסק דין</w:t>
      </w:r>
      <w:r w:rsidR="00693686">
        <w:rPr>
          <w:rFonts w:hint="cs"/>
          <w:sz w:val="28"/>
          <w:szCs w:val="28"/>
          <w:rtl/>
        </w:rPr>
        <w:t xml:space="preserve"> מיום 31/12/14) לפיה עניינו של המערער יוחזר לוועדה בהרכבה הקודם על מנת שתעיין בממצאי בדיקת </w:t>
      </w:r>
      <w:r w:rsidR="00693686">
        <w:rPr>
          <w:rFonts w:hint="cs"/>
          <w:sz w:val="28"/>
          <w:szCs w:val="28"/>
        </w:rPr>
        <w:t>EMG</w:t>
      </w:r>
      <w:r w:rsidR="00693686">
        <w:rPr>
          <w:rFonts w:hint="cs"/>
          <w:sz w:val="28"/>
          <w:szCs w:val="28"/>
          <w:rtl/>
        </w:rPr>
        <w:t xml:space="preserve"> לארבעת הגפיים מיום 2/2/14, ולאחר שתעיין ביתר המסמכים בתיקו הרפואי של המערער תדון הוועדה מחדש בער</w:t>
      </w:r>
      <w:r>
        <w:rPr>
          <w:rFonts w:hint="cs"/>
          <w:sz w:val="28"/>
          <w:szCs w:val="28"/>
          <w:rtl/>
        </w:rPr>
        <w:t>ר</w:t>
      </w:r>
      <w:r w:rsidR="00693686">
        <w:rPr>
          <w:rFonts w:hint="cs"/>
          <w:sz w:val="28"/>
          <w:szCs w:val="28"/>
          <w:rtl/>
        </w:rPr>
        <w:t xml:space="preserve">. </w:t>
      </w:r>
    </w:p>
    <w:p w:rsidR="00693686" w:rsidP="00693686" w:rsidRDefault="00693686">
      <w:pPr>
        <w:spacing w:line="360" w:lineRule="auto"/>
        <w:ind w:left="1440" w:hanging="720"/>
        <w:jc w:val="both"/>
        <w:rPr>
          <w:sz w:val="28"/>
          <w:szCs w:val="28"/>
          <w:rtl/>
        </w:rPr>
      </w:pPr>
    </w:p>
    <w:p w:rsidR="00693686" w:rsidP="00BC0D8A" w:rsidRDefault="00BC0D8A">
      <w:pPr>
        <w:spacing w:line="360" w:lineRule="auto"/>
        <w:ind w:left="720" w:hanging="720"/>
        <w:jc w:val="both"/>
        <w:rPr>
          <w:sz w:val="28"/>
          <w:szCs w:val="28"/>
          <w:rtl/>
        </w:rPr>
      </w:pPr>
      <w:r>
        <w:rPr>
          <w:rFonts w:hint="cs"/>
          <w:sz w:val="28"/>
          <w:szCs w:val="28"/>
          <w:rtl/>
        </w:rPr>
        <w:t>8.</w:t>
      </w:r>
      <w:r w:rsidR="00693686">
        <w:rPr>
          <w:sz w:val="28"/>
          <w:szCs w:val="28"/>
          <w:rtl/>
        </w:rPr>
        <w:tab/>
      </w:r>
      <w:r w:rsidR="00693686">
        <w:rPr>
          <w:rFonts w:hint="cs"/>
          <w:sz w:val="28"/>
          <w:szCs w:val="28"/>
          <w:rtl/>
        </w:rPr>
        <w:t xml:space="preserve">הוועדה </w:t>
      </w:r>
      <w:r>
        <w:rPr>
          <w:rFonts w:hint="cs"/>
          <w:sz w:val="28"/>
          <w:szCs w:val="28"/>
          <w:rtl/>
        </w:rPr>
        <w:t xml:space="preserve">הרפואית לעררים </w:t>
      </w:r>
      <w:r w:rsidR="00693686">
        <w:rPr>
          <w:rFonts w:hint="cs"/>
          <w:sz w:val="28"/>
          <w:szCs w:val="28"/>
          <w:rtl/>
        </w:rPr>
        <w:t>התכנסה מחדש ביום 25/3/15</w:t>
      </w:r>
      <w:r w:rsidR="00FA6675">
        <w:rPr>
          <w:rFonts w:hint="cs"/>
          <w:sz w:val="28"/>
          <w:szCs w:val="28"/>
          <w:rtl/>
        </w:rPr>
        <w:t xml:space="preserve">, דחתה את ערר המערער וקבעה, כי אינה יכולה לקבוע שהמערער נותח בישראל בעקבות מחלת הפוליו. </w:t>
      </w:r>
    </w:p>
    <w:p w:rsidR="00FA6675" w:rsidP="00693686" w:rsidRDefault="00FA6675">
      <w:pPr>
        <w:spacing w:line="360" w:lineRule="auto"/>
        <w:ind w:left="1440" w:hanging="720"/>
        <w:jc w:val="both"/>
        <w:rPr>
          <w:sz w:val="28"/>
          <w:szCs w:val="28"/>
          <w:rtl/>
        </w:rPr>
      </w:pPr>
    </w:p>
    <w:p w:rsidR="00FA6675" w:rsidP="00BC0D8A" w:rsidRDefault="00BC0D8A">
      <w:pPr>
        <w:spacing w:line="360" w:lineRule="auto"/>
        <w:ind w:left="720" w:hanging="720"/>
        <w:jc w:val="both"/>
        <w:rPr>
          <w:sz w:val="28"/>
          <w:szCs w:val="28"/>
          <w:rtl/>
        </w:rPr>
      </w:pPr>
      <w:r>
        <w:rPr>
          <w:rFonts w:hint="cs"/>
          <w:sz w:val="28"/>
          <w:szCs w:val="28"/>
          <w:rtl/>
        </w:rPr>
        <w:t>9.</w:t>
      </w:r>
      <w:r w:rsidR="00FA6675">
        <w:rPr>
          <w:sz w:val="28"/>
          <w:szCs w:val="28"/>
          <w:rtl/>
        </w:rPr>
        <w:tab/>
      </w:r>
      <w:r w:rsidR="00FA6675">
        <w:rPr>
          <w:rFonts w:hint="cs"/>
          <w:sz w:val="28"/>
          <w:szCs w:val="28"/>
          <w:rtl/>
        </w:rPr>
        <w:t>המערער הגיש ערעור כנגד החלטה זו (ב"ל 13445-03-16)</w:t>
      </w:r>
      <w:r>
        <w:rPr>
          <w:rFonts w:hint="cs"/>
          <w:sz w:val="28"/>
          <w:szCs w:val="28"/>
          <w:rtl/>
        </w:rPr>
        <w:t>. ב</w:t>
      </w:r>
      <w:r w:rsidR="00FA6675">
        <w:rPr>
          <w:rFonts w:hint="cs"/>
          <w:sz w:val="28"/>
          <w:szCs w:val="28"/>
          <w:rtl/>
        </w:rPr>
        <w:t>פסק דינה קיבלה כב' השופטת פריימן את הערעור,</w:t>
      </w:r>
      <w:r>
        <w:rPr>
          <w:rFonts w:hint="cs"/>
          <w:sz w:val="28"/>
          <w:szCs w:val="28"/>
          <w:rtl/>
        </w:rPr>
        <w:t xml:space="preserve"> וקבעה, כי הוועדה ציטטה באופן חלקי את ממצאי בדיקת ה-</w:t>
      </w:r>
      <w:r>
        <w:rPr>
          <w:rFonts w:hint="cs"/>
          <w:sz w:val="28"/>
          <w:szCs w:val="28"/>
        </w:rPr>
        <w:t>EMG</w:t>
      </w:r>
      <w:r>
        <w:rPr>
          <w:rFonts w:hint="cs"/>
          <w:sz w:val="28"/>
          <w:szCs w:val="28"/>
          <w:rtl/>
        </w:rPr>
        <w:t xml:space="preserve">, ולא ברור מהחלטתה האם היא שוללת את הממצא לפיו המערער עבר ניתוח עקב פליומיאליטיס שסובל ממנו מילדותו; לא ברור מהחלטתה האם היא שוללת אפשרות שהמערער נותח בקרסול ימין; אם מדובר בצלקת ניתוחית או שהניתוח בוצע בישראל. לאור האמור, בית הדין הורה </w:t>
      </w:r>
      <w:r w:rsidR="00FA6675">
        <w:rPr>
          <w:rFonts w:hint="cs"/>
          <w:sz w:val="28"/>
          <w:szCs w:val="28"/>
          <w:rtl/>
        </w:rPr>
        <w:t xml:space="preserve">על החזרת </w:t>
      </w:r>
      <w:r w:rsidRPr="00BC0D8A" w:rsidR="00FA6675">
        <w:rPr>
          <w:rFonts w:hint="cs" w:ascii="Arial" w:hAnsi="Arial"/>
          <w:b/>
          <w:bCs/>
          <w:noProof w:val="0"/>
          <w:sz w:val="28"/>
          <w:szCs w:val="28"/>
          <w:rtl/>
        </w:rPr>
        <w:t xml:space="preserve">"עניינו של המערער לוועדה בהרכב חדש על מנת שתדון בעררו של המערער בשים לב לעובדות המקרה ותוך עיון בתיקו הרפואי לרבות בדיקת </w:t>
      </w:r>
      <w:r w:rsidRPr="00BC0D8A" w:rsidR="00FA6675">
        <w:rPr>
          <w:rFonts w:ascii="Arial" w:hAnsi="Arial"/>
          <w:b/>
          <w:bCs/>
          <w:noProof w:val="0"/>
          <w:sz w:val="28"/>
          <w:szCs w:val="28"/>
        </w:rPr>
        <w:t>EMG</w:t>
      </w:r>
      <w:r w:rsidRPr="00BC0D8A" w:rsidR="00FA6675">
        <w:rPr>
          <w:rFonts w:hint="cs" w:ascii="Arial" w:hAnsi="Arial"/>
          <w:b/>
          <w:bCs/>
          <w:noProof w:val="0"/>
          <w:sz w:val="28"/>
          <w:szCs w:val="28"/>
          <w:rtl/>
        </w:rPr>
        <w:t xml:space="preserve"> מיום 2.2.14. הוועדה תזמן המערער וב"כ להופיע בפניה והחלטתה תהיה מפורטת ומנומקת"</w:t>
      </w:r>
      <w:r>
        <w:rPr>
          <w:rFonts w:hint="cs" w:ascii="Arial" w:hAnsi="Arial"/>
          <w:noProof w:val="0"/>
          <w:sz w:val="28"/>
          <w:szCs w:val="28"/>
          <w:rtl/>
        </w:rPr>
        <w:t xml:space="preserve"> ("פסק הדין המחזיר"). </w:t>
      </w:r>
    </w:p>
    <w:p w:rsidRPr="001C5B90" w:rsidR="00693686" w:rsidP="00693686" w:rsidRDefault="00693686">
      <w:pPr>
        <w:spacing w:line="360" w:lineRule="auto"/>
        <w:ind w:left="1440" w:hanging="720"/>
        <w:jc w:val="both"/>
        <w:rPr>
          <w:sz w:val="28"/>
          <w:szCs w:val="28"/>
          <w:rtl/>
        </w:rPr>
      </w:pPr>
    </w:p>
    <w:p w:rsidR="001C5B90" w:rsidP="00AF7792" w:rsidRDefault="00BC0D8A">
      <w:pPr>
        <w:spacing w:line="360" w:lineRule="auto"/>
        <w:ind w:left="720" w:hanging="720"/>
        <w:jc w:val="both"/>
        <w:rPr>
          <w:rFonts w:ascii="Arial" w:hAnsi="Arial"/>
          <w:noProof w:val="0"/>
          <w:sz w:val="28"/>
          <w:szCs w:val="28"/>
          <w:rtl/>
        </w:rPr>
      </w:pPr>
      <w:r>
        <w:rPr>
          <w:rFonts w:hint="cs"/>
          <w:sz w:val="28"/>
          <w:szCs w:val="28"/>
          <w:rtl/>
        </w:rPr>
        <w:lastRenderedPageBreak/>
        <w:t>10</w:t>
      </w:r>
      <w:r w:rsidR="00AD4C6D">
        <w:rPr>
          <w:rFonts w:hint="cs"/>
          <w:sz w:val="28"/>
          <w:szCs w:val="28"/>
          <w:rtl/>
        </w:rPr>
        <w:t>.</w:t>
      </w:r>
      <w:r w:rsidR="00AD4C6D">
        <w:rPr>
          <w:rFonts w:hint="cs"/>
          <w:sz w:val="28"/>
          <w:szCs w:val="28"/>
          <w:rtl/>
        </w:rPr>
        <w:tab/>
        <w:t xml:space="preserve">הוועדה התכנסה בעקבות פסק </w:t>
      </w:r>
      <w:r>
        <w:rPr>
          <w:rFonts w:hint="cs"/>
          <w:sz w:val="28"/>
          <w:szCs w:val="28"/>
          <w:rtl/>
        </w:rPr>
        <w:t>ה</w:t>
      </w:r>
      <w:r w:rsidR="00AD4C6D">
        <w:rPr>
          <w:rFonts w:hint="cs"/>
          <w:sz w:val="28"/>
          <w:szCs w:val="28"/>
          <w:rtl/>
        </w:rPr>
        <w:t>דין</w:t>
      </w:r>
      <w:r>
        <w:rPr>
          <w:rFonts w:hint="cs"/>
          <w:sz w:val="28"/>
          <w:szCs w:val="28"/>
          <w:rtl/>
        </w:rPr>
        <w:t xml:space="preserve"> המחזיר</w:t>
      </w:r>
      <w:r w:rsidR="00BD6D7C">
        <w:rPr>
          <w:rFonts w:hint="cs"/>
          <w:sz w:val="28"/>
          <w:szCs w:val="28"/>
          <w:rtl/>
        </w:rPr>
        <w:t>, ביום 21/2/17, הקשיבה לטיעוני ב"כ המערער, ולאחר שעיינה בפסק הדין המחזיר</w:t>
      </w:r>
      <w:r w:rsidR="00BD6D7C">
        <w:rPr>
          <w:rFonts w:hint="cs" w:ascii="Arial" w:hAnsi="Arial"/>
          <w:noProof w:val="0"/>
          <w:sz w:val="28"/>
          <w:szCs w:val="28"/>
          <w:rtl/>
        </w:rPr>
        <w:t xml:space="preserve"> ובמסמכים</w:t>
      </w:r>
      <w:r w:rsidR="00232891">
        <w:rPr>
          <w:rFonts w:hint="cs" w:ascii="Arial" w:hAnsi="Arial"/>
          <w:noProof w:val="0"/>
          <w:sz w:val="28"/>
          <w:szCs w:val="28"/>
          <w:rtl/>
        </w:rPr>
        <w:t xml:space="preserve"> הרפואיים, ערכה בדיקה קלינית למערער. בסעיף 6 לפרוטוקול תוארו ממצאי הבדיקה כדלקמן:</w:t>
      </w:r>
    </w:p>
    <w:p w:rsidR="00232891" w:rsidP="00BC0D8A" w:rsidRDefault="00232891">
      <w:pPr>
        <w:spacing w:line="360" w:lineRule="auto"/>
        <w:ind w:left="720" w:hanging="720"/>
        <w:jc w:val="both"/>
        <w:rPr>
          <w:rFonts w:ascii="Arial" w:hAnsi="Arial"/>
          <w:noProof w:val="0"/>
          <w:sz w:val="28"/>
          <w:szCs w:val="28"/>
          <w:rtl/>
        </w:rPr>
      </w:pPr>
    </w:p>
    <w:p w:rsidRPr="00B00200" w:rsidR="00232891" w:rsidP="00232891" w:rsidRDefault="00232891">
      <w:pPr>
        <w:spacing w:line="360" w:lineRule="auto"/>
        <w:ind w:left="1440" w:hanging="720"/>
        <w:jc w:val="both"/>
        <w:rPr>
          <w:rFonts w:ascii="Arial" w:hAnsi="Arial"/>
          <w:noProof w:val="0"/>
          <w:sz w:val="28"/>
          <w:szCs w:val="28"/>
        </w:rPr>
      </w:pPr>
      <w:r>
        <w:rPr>
          <w:rFonts w:ascii="Arial" w:hAnsi="Arial"/>
          <w:noProof w:val="0"/>
          <w:sz w:val="28"/>
          <w:szCs w:val="28"/>
          <w:rtl/>
        </w:rPr>
        <w:tab/>
      </w:r>
      <w:r>
        <w:rPr>
          <w:rFonts w:hint="cs" w:ascii="Arial" w:hAnsi="Arial"/>
          <w:b/>
          <w:bCs/>
          <w:noProof w:val="0"/>
          <w:sz w:val="28"/>
          <w:szCs w:val="28"/>
          <w:rtl/>
        </w:rPr>
        <w:t xml:space="preserve">"משתמש בשתי קביים קנדיות. עודף משקל ניכר. בגפיים תחתונות קיימת בצקת קשה מאוד, בעיקר בשוקיים ובכפות רגליים, בולט יותר מימין עם שינויים עוריים בולטים מאוד, סדקים וקפלים מרובים באזור הקרסול ועור אדום מתוח בשוקיים (שוק ימין עם חבישה אלסטית בגין טיפול לימפטי). </w:t>
      </w:r>
      <w:r w:rsidR="00B00200">
        <w:rPr>
          <w:rFonts w:hint="cs" w:ascii="Arial" w:hAnsi="Arial"/>
          <w:b/>
          <w:bCs/>
          <w:noProof w:val="0"/>
          <w:sz w:val="28"/>
          <w:szCs w:val="28"/>
          <w:rtl/>
        </w:rPr>
        <w:t>יש דלדול ירך ימין יחסית לשמאל. יש דליות שטחיות, מרובות. לאיש יש רגישות יתר במפרקים. לא ניתן להפיק החזר ברך מימין. משמאל היה שמור. לא ניתן היה לבדוק ספסטיות עקב רגישות ובצקות מסיביות. לא ניתן להעריך דלדול שרירים כי כאמור השוקיים בצקתיות מאוד. לא ניתן לבדוק החזרי עקב דו"צ עקב הבצקות. נראה שיש חולשה ברגל ימין. מבחן בבינסקי לא אבחנתי, לא עקבי בבדיקות חוזרות. הפעלת שרירים מוגבלת עקב בצקות וכאבים. לא ניתן להבחין בצלקת ניתוחית בקרסול ימין עקב השינויים הטרופיים הקשים"</w:t>
      </w:r>
      <w:r w:rsidR="00B00200">
        <w:rPr>
          <w:rFonts w:hint="cs" w:ascii="Arial" w:hAnsi="Arial"/>
          <w:noProof w:val="0"/>
          <w:sz w:val="28"/>
          <w:szCs w:val="28"/>
          <w:rtl/>
        </w:rPr>
        <w:t xml:space="preserve">. </w:t>
      </w:r>
    </w:p>
    <w:p w:rsidR="001C5B90" w:rsidP="001C5B90" w:rsidRDefault="00EB1993">
      <w:pPr>
        <w:spacing w:line="360" w:lineRule="auto"/>
        <w:ind w:left="720" w:hanging="720"/>
        <w:jc w:val="both"/>
        <w:rPr>
          <w:sz w:val="28"/>
          <w:szCs w:val="28"/>
          <w:rtl/>
        </w:rPr>
      </w:pPr>
      <w:r>
        <w:rPr>
          <w:sz w:val="28"/>
          <w:szCs w:val="28"/>
          <w:rtl/>
        </w:rPr>
        <w:tab/>
      </w:r>
    </w:p>
    <w:p w:rsidRPr="000130EF" w:rsidR="00AD4C6D" w:rsidP="006818F6" w:rsidRDefault="00B00200">
      <w:pPr>
        <w:spacing w:line="360" w:lineRule="auto"/>
        <w:ind w:left="720" w:hanging="720"/>
        <w:jc w:val="both"/>
        <w:rPr>
          <w:sz w:val="28"/>
          <w:szCs w:val="28"/>
          <w:rtl/>
        </w:rPr>
      </w:pPr>
      <w:r>
        <w:rPr>
          <w:sz w:val="28"/>
          <w:szCs w:val="28"/>
          <w:rtl/>
        </w:rPr>
        <w:tab/>
      </w:r>
      <w:r>
        <w:rPr>
          <w:rFonts w:hint="cs"/>
          <w:sz w:val="28"/>
          <w:szCs w:val="28"/>
          <w:rtl/>
        </w:rPr>
        <w:t>הוועדה ציינה, כי עומדות לפיה שתי שאלות: האם המערער חלה בארץ, והאם המערער נותח עד 1/1/1970.</w:t>
      </w:r>
      <w:r w:rsidR="00AF7792">
        <w:rPr>
          <w:rFonts w:hint="cs"/>
          <w:sz w:val="28"/>
          <w:szCs w:val="28"/>
          <w:rtl/>
        </w:rPr>
        <w:t xml:space="preserve"> הוועדה שבה על הקביעה החלוטה לפיה המערער לא חלה בארץ, ולכן נמנעה מלדון בשאלה זו. עוד קבעה הוועדה, </w:t>
      </w:r>
      <w:r>
        <w:rPr>
          <w:rFonts w:hint="cs"/>
          <w:sz w:val="28"/>
          <w:szCs w:val="28"/>
          <w:rtl/>
        </w:rPr>
        <w:t xml:space="preserve">כי לא הוכח כלל שהמערער נותח בארץ בגיל ילדות בגין פוליו, וכן לא ניתן לאבחן צלקת ניתוחית כלשהי בקרסול </w:t>
      </w:r>
      <w:r w:rsidR="00AF7792">
        <w:rPr>
          <w:rFonts w:hint="cs"/>
          <w:sz w:val="28"/>
          <w:szCs w:val="28"/>
          <w:rtl/>
        </w:rPr>
        <w:t>ימין עקב הממצאים שתוארו בבדיק</w:t>
      </w:r>
      <w:r>
        <w:rPr>
          <w:rFonts w:hint="cs"/>
          <w:sz w:val="28"/>
          <w:szCs w:val="28"/>
          <w:rtl/>
        </w:rPr>
        <w:t>ה. בהתייחס לצלקת בקרסול ימין הדגישה הוועדה, כי אינה יכולה להתרשם בשום פנים ואופן מקיומה של צלקת כלשהי</w:t>
      </w:r>
      <w:r w:rsidR="000130EF">
        <w:rPr>
          <w:rFonts w:hint="cs"/>
          <w:sz w:val="28"/>
          <w:szCs w:val="28"/>
          <w:rtl/>
        </w:rPr>
        <w:t xml:space="preserve">, ניתוחית או אחרת, בקרסול ימין </w:t>
      </w:r>
      <w:r w:rsidR="000130EF">
        <w:rPr>
          <w:rFonts w:hint="cs"/>
          <w:b/>
          <w:bCs/>
          <w:sz w:val="28"/>
          <w:szCs w:val="28"/>
          <w:rtl/>
        </w:rPr>
        <w:t>"מהסיבה הפשוטה שקיימת בצקת קשה ביותר בקפלי עור מרובים עם שינויים טרופיים קשים בכל הקרסול הימני, המונעת אפשרות מציאתה של צלקת כלשהי"</w:t>
      </w:r>
      <w:r w:rsidR="000130EF">
        <w:rPr>
          <w:rFonts w:hint="cs"/>
          <w:sz w:val="28"/>
          <w:szCs w:val="28"/>
          <w:rtl/>
        </w:rPr>
        <w:t xml:space="preserve">. לדעת הוועדה, </w:t>
      </w:r>
      <w:r w:rsidR="00AF7792">
        <w:rPr>
          <w:rFonts w:hint="cs"/>
          <w:sz w:val="28"/>
          <w:szCs w:val="28"/>
          <w:rtl/>
        </w:rPr>
        <w:t xml:space="preserve">לא סביר </w:t>
      </w:r>
      <w:r w:rsidR="000130EF">
        <w:rPr>
          <w:rFonts w:hint="cs"/>
          <w:sz w:val="28"/>
          <w:szCs w:val="28"/>
          <w:rtl/>
        </w:rPr>
        <w:t xml:space="preserve">הממצא שתואר בבדיקת </w:t>
      </w:r>
      <w:r w:rsidR="000130EF">
        <w:rPr>
          <w:rFonts w:hint="cs"/>
          <w:sz w:val="28"/>
          <w:szCs w:val="28"/>
        </w:rPr>
        <w:t>EMG</w:t>
      </w:r>
      <w:r w:rsidR="000130EF">
        <w:rPr>
          <w:rFonts w:hint="cs"/>
          <w:sz w:val="28"/>
          <w:szCs w:val="28"/>
          <w:rtl/>
        </w:rPr>
        <w:t xml:space="preserve"> מיום 2/2/14 בדבר צלקת באספקט הפנימי של קרסול ימין. הוועדה </w:t>
      </w:r>
      <w:r w:rsidR="00AF7792">
        <w:rPr>
          <w:rFonts w:hint="cs"/>
          <w:sz w:val="28"/>
          <w:szCs w:val="28"/>
          <w:rtl/>
        </w:rPr>
        <w:t>ה</w:t>
      </w:r>
      <w:r w:rsidR="000130EF">
        <w:rPr>
          <w:rFonts w:hint="cs"/>
          <w:sz w:val="28"/>
          <w:szCs w:val="28"/>
          <w:rtl/>
        </w:rPr>
        <w:t>סב</w:t>
      </w:r>
      <w:r w:rsidR="00AF7792">
        <w:rPr>
          <w:rFonts w:hint="cs"/>
          <w:sz w:val="28"/>
          <w:szCs w:val="28"/>
          <w:rtl/>
        </w:rPr>
        <w:t>י</w:t>
      </w:r>
      <w:r w:rsidR="000130EF">
        <w:rPr>
          <w:rFonts w:hint="cs"/>
          <w:sz w:val="28"/>
          <w:szCs w:val="28"/>
          <w:rtl/>
        </w:rPr>
        <w:t>רה, כי מדובר באנמנזה ולא ממצא רפואי. בעניין זה</w:t>
      </w:r>
      <w:r w:rsidR="00236070">
        <w:rPr>
          <w:rFonts w:hint="cs"/>
          <w:sz w:val="28"/>
          <w:szCs w:val="28"/>
          <w:rtl/>
        </w:rPr>
        <w:t xml:space="preserve"> הוסיפה</w:t>
      </w:r>
      <w:r w:rsidR="000130EF">
        <w:rPr>
          <w:rFonts w:hint="cs"/>
          <w:sz w:val="28"/>
          <w:szCs w:val="28"/>
          <w:rtl/>
        </w:rPr>
        <w:t xml:space="preserve"> הוועדה, כי אין בתיק הרפואי כל מסמך המתעד ניתוח או מצב לאחר ניתוח מכל סיבה רפואי</w:t>
      </w:r>
      <w:r w:rsidR="006818F6">
        <w:rPr>
          <w:rFonts w:hint="cs"/>
          <w:sz w:val="28"/>
          <w:szCs w:val="28"/>
          <w:rtl/>
        </w:rPr>
        <w:t>ת</w:t>
      </w:r>
      <w:r w:rsidR="000130EF">
        <w:rPr>
          <w:rFonts w:hint="cs"/>
          <w:sz w:val="28"/>
          <w:szCs w:val="28"/>
          <w:rtl/>
        </w:rPr>
        <w:t xml:space="preserve"> שהיא. בהתייחס לממצאי </w:t>
      </w:r>
      <w:r w:rsidR="006818F6">
        <w:rPr>
          <w:rFonts w:hint="cs"/>
          <w:sz w:val="28"/>
          <w:szCs w:val="28"/>
          <w:rtl/>
        </w:rPr>
        <w:t xml:space="preserve">מבחן </w:t>
      </w:r>
      <w:r w:rsidR="000130EF">
        <w:rPr>
          <w:rFonts w:hint="cs"/>
          <w:sz w:val="28"/>
          <w:szCs w:val="28"/>
          <w:rtl/>
        </w:rPr>
        <w:t>בבינסקי ציינה הוועדה</w:t>
      </w:r>
      <w:r w:rsidR="006818F6">
        <w:rPr>
          <w:rFonts w:hint="cs"/>
          <w:sz w:val="28"/>
          <w:szCs w:val="28"/>
          <w:rtl/>
        </w:rPr>
        <w:t>,</w:t>
      </w:r>
      <w:r w:rsidR="000130EF">
        <w:rPr>
          <w:rFonts w:hint="cs"/>
          <w:sz w:val="28"/>
          <w:szCs w:val="28"/>
          <w:rtl/>
        </w:rPr>
        <w:t xml:space="preserve"> כי ייתכן שהם מצביעים על פגיעה בנוירון עליון, </w:t>
      </w:r>
      <w:r w:rsidR="000130EF">
        <w:rPr>
          <w:rFonts w:hint="cs"/>
          <w:sz w:val="28"/>
          <w:szCs w:val="28"/>
          <w:rtl/>
        </w:rPr>
        <w:lastRenderedPageBreak/>
        <w:t xml:space="preserve">שעה שהמערער סובל מפולינוירופתיה תחושתית עם מרכיב אטקטי, ליקוי שאינו נובע ממחלת הפוליו ואובחן גם בוועדה הרפואית לעררים בענף ניידות מיום 16/11/14. על יסוד כל האמור קבעה הוועדה, כי לא הוכח שהמערער נותח בישראל בילדותו בגין מחלת הפוליו. </w:t>
      </w:r>
    </w:p>
    <w:p w:rsidR="00B00200" w:rsidP="00B00200" w:rsidRDefault="00B00200">
      <w:pPr>
        <w:spacing w:line="360" w:lineRule="auto"/>
        <w:ind w:left="720" w:hanging="720"/>
        <w:jc w:val="both"/>
        <w:rPr>
          <w:sz w:val="28"/>
          <w:szCs w:val="28"/>
          <w:rtl/>
        </w:rPr>
      </w:pPr>
    </w:p>
    <w:p w:rsidR="00AD4C6D" w:rsidP="00AD4C6D" w:rsidRDefault="00AD4C6D">
      <w:pPr>
        <w:spacing w:line="360" w:lineRule="auto"/>
        <w:jc w:val="both"/>
        <w:rPr>
          <w:sz w:val="28"/>
          <w:szCs w:val="28"/>
          <w:rtl/>
        </w:rPr>
      </w:pPr>
      <w:r>
        <w:rPr>
          <w:rFonts w:hint="cs"/>
          <w:b/>
          <w:bCs/>
          <w:sz w:val="28"/>
          <w:szCs w:val="28"/>
          <w:u w:val="single"/>
          <w:rtl/>
        </w:rPr>
        <w:t>טענות הצדדים</w:t>
      </w:r>
    </w:p>
    <w:p w:rsidR="00AD4C6D" w:rsidP="00AD4C6D" w:rsidRDefault="00AD4C6D">
      <w:pPr>
        <w:spacing w:line="360" w:lineRule="auto"/>
        <w:ind w:left="720" w:hanging="720"/>
        <w:jc w:val="both"/>
        <w:rPr>
          <w:sz w:val="28"/>
          <w:szCs w:val="28"/>
          <w:rtl/>
        </w:rPr>
      </w:pPr>
    </w:p>
    <w:p w:rsidR="00AD4C6D" w:rsidP="00981222" w:rsidRDefault="008E65C0">
      <w:pPr>
        <w:spacing w:line="360" w:lineRule="auto"/>
        <w:ind w:left="720" w:hanging="720"/>
        <w:jc w:val="both"/>
        <w:rPr>
          <w:sz w:val="28"/>
          <w:szCs w:val="28"/>
          <w:rtl/>
        </w:rPr>
      </w:pPr>
      <w:r>
        <w:rPr>
          <w:rFonts w:hint="cs"/>
          <w:sz w:val="28"/>
          <w:szCs w:val="28"/>
          <w:rtl/>
        </w:rPr>
        <w:t>11</w:t>
      </w:r>
      <w:r w:rsidR="00AD4C6D">
        <w:rPr>
          <w:rFonts w:hint="cs"/>
          <w:sz w:val="28"/>
          <w:szCs w:val="28"/>
          <w:rtl/>
        </w:rPr>
        <w:t>.</w:t>
      </w:r>
      <w:r w:rsidR="00AD4C6D">
        <w:rPr>
          <w:rFonts w:hint="cs"/>
          <w:sz w:val="28"/>
          <w:szCs w:val="28"/>
          <w:rtl/>
        </w:rPr>
        <w:tab/>
        <w:t xml:space="preserve">לטענת המערער, הוועדה לא </w:t>
      </w:r>
      <w:r w:rsidR="00981222">
        <w:rPr>
          <w:rFonts w:hint="cs"/>
          <w:sz w:val="28"/>
          <w:szCs w:val="28"/>
          <w:rtl/>
        </w:rPr>
        <w:t xml:space="preserve">מילאה אחר </w:t>
      </w:r>
      <w:r w:rsidR="00AD4C6D">
        <w:rPr>
          <w:rFonts w:hint="cs"/>
          <w:sz w:val="28"/>
          <w:szCs w:val="28"/>
          <w:rtl/>
        </w:rPr>
        <w:t>הוראות פסק הדין המחזיר</w:t>
      </w:r>
      <w:r w:rsidR="00981222">
        <w:rPr>
          <w:rFonts w:hint="cs"/>
          <w:sz w:val="28"/>
          <w:szCs w:val="28"/>
          <w:rtl/>
        </w:rPr>
        <w:t>, ונמנעה מלדון בשאלה האם המערער עבר ניתוח עקב פליומיאליטיס או שלא עבר ניתוח כלל. עוד נטען ששגתה הוועדה עת דנה בשאלה האם המערער חלה במחלת הפולי</w:t>
      </w:r>
      <w:r w:rsidR="002E19C4">
        <w:rPr>
          <w:rFonts w:hint="cs"/>
          <w:sz w:val="28"/>
          <w:szCs w:val="28"/>
          <w:rtl/>
        </w:rPr>
        <w:t xml:space="preserve">ו בישראל או בחו"ל. </w:t>
      </w:r>
    </w:p>
    <w:p w:rsidR="00AD4C6D" w:rsidP="00AD4C6D" w:rsidRDefault="00AD4C6D">
      <w:pPr>
        <w:spacing w:line="360" w:lineRule="auto"/>
        <w:ind w:left="720" w:hanging="720"/>
        <w:jc w:val="both"/>
        <w:rPr>
          <w:sz w:val="28"/>
          <w:szCs w:val="28"/>
          <w:rtl/>
        </w:rPr>
      </w:pPr>
    </w:p>
    <w:p w:rsidR="00AD4C6D" w:rsidP="00AD4C6D" w:rsidRDefault="008E65C0">
      <w:pPr>
        <w:spacing w:line="360" w:lineRule="auto"/>
        <w:ind w:left="720" w:hanging="720"/>
        <w:jc w:val="both"/>
        <w:rPr>
          <w:sz w:val="28"/>
          <w:szCs w:val="28"/>
          <w:rtl/>
        </w:rPr>
      </w:pPr>
      <w:r>
        <w:rPr>
          <w:rFonts w:hint="cs"/>
          <w:sz w:val="28"/>
          <w:szCs w:val="28"/>
          <w:rtl/>
        </w:rPr>
        <w:t>12</w:t>
      </w:r>
      <w:r w:rsidR="00AD4C6D">
        <w:rPr>
          <w:rFonts w:hint="cs"/>
          <w:sz w:val="28"/>
          <w:szCs w:val="28"/>
          <w:rtl/>
        </w:rPr>
        <w:t>.</w:t>
      </w:r>
      <w:r w:rsidR="00AD4C6D">
        <w:rPr>
          <w:rFonts w:hint="cs"/>
          <w:sz w:val="28"/>
          <w:szCs w:val="28"/>
          <w:rtl/>
        </w:rPr>
        <w:tab/>
        <w:t>לטענת המשיב, לא נפל פגם בהחלטת הוועדה, שכן החלטת הוועדה עונה על דרישת פסק הדין המחזיר.</w:t>
      </w:r>
      <w:r w:rsidR="002E19C4">
        <w:rPr>
          <w:rFonts w:hint="cs"/>
          <w:sz w:val="28"/>
          <w:szCs w:val="28"/>
          <w:rtl/>
        </w:rPr>
        <w:t xml:space="preserve"> נטען, כי הוועדה בדקה את המערער, רשמה את ממצאיה, קבעה, כי לא הוכח שהמערער עבר ניתוח בארץ בילדותו בגין מחלת הפוליו, וכי לא ניתן לאבחן צלקת ניתוחית בקרסול ימין. </w:t>
      </w:r>
    </w:p>
    <w:p w:rsidR="00AD4C6D" w:rsidP="00AD4C6D" w:rsidRDefault="00AD4C6D">
      <w:pPr>
        <w:spacing w:line="360" w:lineRule="auto"/>
        <w:jc w:val="both"/>
        <w:rPr>
          <w:sz w:val="28"/>
          <w:szCs w:val="28"/>
          <w:rtl/>
        </w:rPr>
      </w:pPr>
    </w:p>
    <w:p w:rsidR="00AD4C6D" w:rsidP="00AD4C6D" w:rsidRDefault="004B5EF7">
      <w:pPr>
        <w:tabs>
          <w:tab w:val="left" w:pos="567"/>
          <w:tab w:val="left" w:pos="1134"/>
          <w:tab w:val="left" w:pos="1701"/>
          <w:tab w:val="left" w:pos="2268"/>
          <w:tab w:val="left" w:pos="2835"/>
          <w:tab w:val="left" w:pos="3402"/>
        </w:tabs>
        <w:spacing w:line="360" w:lineRule="auto"/>
        <w:ind w:left="567" w:hanging="567"/>
        <w:jc w:val="both"/>
        <w:rPr>
          <w:b/>
          <w:bCs/>
          <w:sz w:val="28"/>
          <w:szCs w:val="28"/>
          <w:u w:val="single"/>
          <w:rtl/>
        </w:rPr>
      </w:pPr>
      <w:r>
        <w:rPr>
          <w:rFonts w:hint="cs"/>
          <w:b/>
          <w:bCs/>
          <w:sz w:val="28"/>
          <w:szCs w:val="28"/>
          <w:u w:val="single"/>
          <w:rtl/>
        </w:rPr>
        <w:t>דיון והכרעה</w:t>
      </w:r>
    </w:p>
    <w:p w:rsidR="00AD4C6D" w:rsidP="00AD4C6D" w:rsidRDefault="00AD4C6D">
      <w:pPr>
        <w:spacing w:line="360" w:lineRule="auto"/>
        <w:jc w:val="both"/>
        <w:rPr>
          <w:sz w:val="28"/>
          <w:szCs w:val="28"/>
          <w:rtl/>
        </w:rPr>
      </w:pPr>
    </w:p>
    <w:p w:rsidR="002E19C4" w:rsidP="002E19C4" w:rsidRDefault="008E65C0">
      <w:pPr>
        <w:spacing w:line="360" w:lineRule="auto"/>
        <w:ind w:left="720" w:hanging="720"/>
        <w:jc w:val="both"/>
        <w:rPr>
          <w:sz w:val="28"/>
          <w:szCs w:val="28"/>
          <w:rtl/>
        </w:rPr>
      </w:pPr>
      <w:r>
        <w:rPr>
          <w:rFonts w:hint="cs"/>
          <w:sz w:val="28"/>
          <w:szCs w:val="28"/>
          <w:rtl/>
        </w:rPr>
        <w:t>13</w:t>
      </w:r>
      <w:r w:rsidR="002E19C4">
        <w:rPr>
          <w:rFonts w:hint="cs"/>
          <w:sz w:val="28"/>
          <w:szCs w:val="28"/>
          <w:rtl/>
        </w:rPr>
        <w:t>.</w:t>
      </w:r>
      <w:r w:rsidR="002E19C4">
        <w:rPr>
          <w:rFonts w:hint="cs"/>
          <w:sz w:val="28"/>
          <w:szCs w:val="28"/>
          <w:rtl/>
        </w:rPr>
        <w:tab/>
        <w:t>למקרא כתב הערעור וכתב התשובה, למשמע טענות ב"כ הצדדים בדיון, ולאחר שנתתי דעתי ל</w:t>
      </w:r>
      <w:r w:rsidR="00F64CE6">
        <w:rPr>
          <w:rFonts w:hint="cs"/>
          <w:sz w:val="28"/>
          <w:szCs w:val="28"/>
          <w:rtl/>
        </w:rPr>
        <w:t xml:space="preserve">פרוטוקול הוועדה ולכלל החומר שבתיק, הגעתי לכלל מסקנה, כי דין הערעור להידחות. </w:t>
      </w:r>
    </w:p>
    <w:p w:rsidR="00F64CE6" w:rsidP="002E19C4" w:rsidRDefault="00F64CE6">
      <w:pPr>
        <w:spacing w:line="360" w:lineRule="auto"/>
        <w:ind w:left="720" w:hanging="720"/>
        <w:jc w:val="both"/>
        <w:rPr>
          <w:sz w:val="28"/>
          <w:szCs w:val="28"/>
          <w:rtl/>
        </w:rPr>
      </w:pPr>
    </w:p>
    <w:p w:rsidR="006818F6" w:rsidP="002E19C4" w:rsidRDefault="006818F6">
      <w:pPr>
        <w:spacing w:line="360" w:lineRule="auto"/>
        <w:ind w:left="720" w:hanging="720"/>
        <w:jc w:val="both"/>
        <w:rPr>
          <w:sz w:val="28"/>
          <w:szCs w:val="28"/>
          <w:rtl/>
        </w:rPr>
      </w:pPr>
      <w:r>
        <w:rPr>
          <w:rFonts w:hint="cs"/>
          <w:sz w:val="28"/>
          <w:szCs w:val="28"/>
          <w:rtl/>
        </w:rPr>
        <w:t>14.</w:t>
      </w:r>
      <w:r>
        <w:rPr>
          <w:rFonts w:hint="cs"/>
          <w:sz w:val="28"/>
          <w:szCs w:val="28"/>
          <w:rtl/>
        </w:rPr>
        <w:tab/>
        <w:t>יודגש תחילה, כי לפי הוראות פסק הדין המחזיר לא נדרשה הוועדה לדון בשאלה האם המערער חלה במחלת הפוליו בישראל או בחו"ל. בעניין זה קיימת החלטה חלוטה של הוועדה הרפואית לעררים מיום 2/9/2008, אשר קבעה, כי המערער חלה במחלת הפוליו בחודש ינואר 1951, טרם עלייתו לישראל. קביעה זו אושרה, כאמור, בפסק דין של בית דין זה ופסק דינו של בית הדין הארצי לעבודה.</w:t>
      </w:r>
      <w:r w:rsidR="008F59F0">
        <w:rPr>
          <w:rFonts w:hint="cs"/>
          <w:sz w:val="28"/>
          <w:szCs w:val="28"/>
          <w:rtl/>
        </w:rPr>
        <w:t xml:space="preserve"> על כן, משהוכרעה שאלה זו, היא אינה עומדת עוד לדיון. </w:t>
      </w:r>
      <w:r>
        <w:rPr>
          <w:rFonts w:hint="cs"/>
          <w:sz w:val="28"/>
          <w:szCs w:val="28"/>
          <w:rtl/>
        </w:rPr>
        <w:t xml:space="preserve"> </w:t>
      </w:r>
    </w:p>
    <w:p w:rsidR="006818F6" w:rsidP="002E19C4" w:rsidRDefault="006818F6">
      <w:pPr>
        <w:spacing w:line="360" w:lineRule="auto"/>
        <w:ind w:left="720" w:hanging="720"/>
        <w:jc w:val="both"/>
        <w:rPr>
          <w:sz w:val="28"/>
          <w:szCs w:val="28"/>
          <w:rtl/>
        </w:rPr>
      </w:pPr>
    </w:p>
    <w:p w:rsidR="00AD4C6D" w:rsidP="00F9365B" w:rsidRDefault="006818F6">
      <w:pPr>
        <w:spacing w:line="360" w:lineRule="auto"/>
        <w:ind w:left="720" w:hanging="720"/>
        <w:jc w:val="both"/>
        <w:rPr>
          <w:sz w:val="28"/>
          <w:szCs w:val="28"/>
          <w:rtl/>
        </w:rPr>
      </w:pPr>
      <w:r>
        <w:rPr>
          <w:rFonts w:hint="cs"/>
          <w:sz w:val="28"/>
          <w:szCs w:val="28"/>
          <w:rtl/>
        </w:rPr>
        <w:lastRenderedPageBreak/>
        <w:t>15.</w:t>
      </w:r>
      <w:r>
        <w:rPr>
          <w:rFonts w:hint="cs"/>
          <w:sz w:val="28"/>
          <w:szCs w:val="28"/>
          <w:rtl/>
        </w:rPr>
        <w:tab/>
      </w:r>
      <w:r w:rsidR="00003574">
        <w:rPr>
          <w:rFonts w:hint="cs"/>
          <w:sz w:val="28"/>
          <w:szCs w:val="28"/>
          <w:rtl/>
        </w:rPr>
        <w:t xml:space="preserve">מעיון בפרוטוקול </w:t>
      </w:r>
      <w:r>
        <w:rPr>
          <w:rFonts w:hint="cs"/>
          <w:sz w:val="28"/>
          <w:szCs w:val="28"/>
          <w:rtl/>
        </w:rPr>
        <w:t xml:space="preserve">הוועדה עולה, כי הוועדה </w:t>
      </w:r>
      <w:r w:rsidR="00003574">
        <w:rPr>
          <w:rFonts w:hint="cs"/>
          <w:sz w:val="28"/>
          <w:szCs w:val="28"/>
          <w:rtl/>
        </w:rPr>
        <w:t xml:space="preserve">שמעה את טענות המערער, </w:t>
      </w:r>
      <w:r>
        <w:rPr>
          <w:rFonts w:hint="cs"/>
          <w:sz w:val="28"/>
          <w:szCs w:val="28"/>
          <w:rtl/>
        </w:rPr>
        <w:t xml:space="preserve">עיינה בפסק הדין המחזיר, </w:t>
      </w:r>
      <w:r w:rsidR="00003574">
        <w:rPr>
          <w:rFonts w:hint="cs"/>
          <w:sz w:val="28"/>
          <w:szCs w:val="28"/>
          <w:rtl/>
        </w:rPr>
        <w:t xml:space="preserve">ובחומר הרפואי, ולא מצאה תיעוד רפואי בנוגע לניתוח לטיפול במחלת הפוליו. שוכנעתי, כי </w:t>
      </w:r>
      <w:r>
        <w:rPr>
          <w:rFonts w:hint="cs"/>
          <w:sz w:val="28"/>
          <w:szCs w:val="28"/>
          <w:rtl/>
        </w:rPr>
        <w:t>החלטת</w:t>
      </w:r>
      <w:r w:rsidR="00003574">
        <w:rPr>
          <w:rFonts w:hint="cs"/>
          <w:sz w:val="28"/>
          <w:szCs w:val="28"/>
          <w:rtl/>
        </w:rPr>
        <w:t xml:space="preserve"> </w:t>
      </w:r>
      <w:r>
        <w:rPr>
          <w:rFonts w:hint="cs"/>
          <w:sz w:val="28"/>
          <w:szCs w:val="28"/>
          <w:rtl/>
        </w:rPr>
        <w:t>ה</w:t>
      </w:r>
      <w:r w:rsidR="00003574">
        <w:rPr>
          <w:rFonts w:hint="cs"/>
          <w:sz w:val="28"/>
          <w:szCs w:val="28"/>
          <w:rtl/>
        </w:rPr>
        <w:t>וועדה</w:t>
      </w:r>
      <w:r>
        <w:rPr>
          <w:rFonts w:hint="cs"/>
          <w:sz w:val="28"/>
          <w:szCs w:val="28"/>
          <w:rtl/>
        </w:rPr>
        <w:t xml:space="preserve"> </w:t>
      </w:r>
      <w:r w:rsidR="00AD4C6D">
        <w:rPr>
          <w:rFonts w:hint="cs"/>
          <w:sz w:val="28"/>
          <w:szCs w:val="28"/>
          <w:rtl/>
        </w:rPr>
        <w:t>מבוססת על הידע הרפואי שברשותה, מנומקת כדבעי ונתקבלה כדין לאחר עיון בכלל החומר הרפואי שעמד בפניה.</w:t>
      </w:r>
      <w:r w:rsidR="008F59F0">
        <w:rPr>
          <w:rFonts w:hint="cs"/>
          <w:sz w:val="28"/>
          <w:szCs w:val="28"/>
          <w:rtl/>
        </w:rPr>
        <w:t xml:space="preserve"> הוועדה</w:t>
      </w:r>
      <w:r w:rsidR="00003574">
        <w:rPr>
          <w:rFonts w:hint="cs"/>
          <w:sz w:val="28"/>
          <w:szCs w:val="28"/>
          <w:rtl/>
        </w:rPr>
        <w:t xml:space="preserve"> ערכה</w:t>
      </w:r>
      <w:r w:rsidR="008F59F0">
        <w:rPr>
          <w:rFonts w:hint="cs"/>
          <w:sz w:val="28"/>
          <w:szCs w:val="28"/>
          <w:rtl/>
        </w:rPr>
        <w:t xml:space="preserve"> למערער בדיקה קלינית מקיפה, ותיארה את ממצאיה בהרחבה, כמפורט לעיל.</w:t>
      </w:r>
      <w:r w:rsidR="00003574">
        <w:rPr>
          <w:rFonts w:hint="cs"/>
          <w:sz w:val="28"/>
          <w:szCs w:val="28"/>
          <w:rtl/>
        </w:rPr>
        <w:t xml:space="preserve"> הוועדה ציינה, כי המערער סובל מעודף משקל ניכר וקיימת בצקת קשה מאוד בכפות הרגליים</w:t>
      </w:r>
      <w:r w:rsidR="00F9365B">
        <w:rPr>
          <w:rFonts w:hint="cs"/>
          <w:sz w:val="28"/>
          <w:szCs w:val="28"/>
          <w:rtl/>
        </w:rPr>
        <w:t xml:space="preserve">. </w:t>
      </w:r>
      <w:r w:rsidR="008F59F0">
        <w:rPr>
          <w:rFonts w:hint="cs"/>
          <w:sz w:val="28"/>
          <w:szCs w:val="28"/>
          <w:rtl/>
        </w:rPr>
        <w:t xml:space="preserve">לא זו בלבד שהוועדה הסבירה, כי לא ניתן היה להתרשם מקיומה של צלקת כלשהי בקרסול ימין (בין אם צלקת ניתוחית ובין אם צלקת אחרת), אלא שהוסיפה והדגישה, כי בחומר הרפואי אין כל מסמך המתעד ניתוח או מצב לאחר ניתוח מכל סיבה שהיא. </w:t>
      </w:r>
      <w:r w:rsidR="00F9365B">
        <w:rPr>
          <w:rFonts w:hint="cs"/>
          <w:sz w:val="28"/>
          <w:szCs w:val="28"/>
          <w:rtl/>
        </w:rPr>
        <w:t>בהעדר מסמכים המבססים את טענת המערער ומשלא קיימת כל הוכחה התומכת בטענת המערער, כי נותח בישראל בעקבות מחלת הפוליו, הרי ש</w:t>
      </w:r>
      <w:r w:rsidR="008F59F0">
        <w:rPr>
          <w:rFonts w:hint="cs"/>
          <w:sz w:val="28"/>
          <w:szCs w:val="28"/>
          <w:rtl/>
        </w:rPr>
        <w:t xml:space="preserve">ברורה מסקנת הוועדה, לפיה לא ניתן לקבוע שהמערער נותח בישראל לפני יום 1/1/1970. </w:t>
      </w:r>
    </w:p>
    <w:p w:rsidR="008F59F0" w:rsidP="008F59F0" w:rsidRDefault="008F59F0">
      <w:pPr>
        <w:spacing w:line="360" w:lineRule="auto"/>
        <w:ind w:left="720" w:hanging="720"/>
        <w:jc w:val="both"/>
        <w:rPr>
          <w:sz w:val="28"/>
          <w:szCs w:val="28"/>
          <w:rtl/>
        </w:rPr>
      </w:pPr>
    </w:p>
    <w:p w:rsidR="00F9365B" w:rsidP="008F59F0" w:rsidRDefault="00F9365B">
      <w:pPr>
        <w:spacing w:line="360" w:lineRule="auto"/>
        <w:ind w:left="720" w:hanging="720"/>
        <w:jc w:val="both"/>
        <w:rPr>
          <w:sz w:val="28"/>
          <w:szCs w:val="28"/>
          <w:rtl/>
        </w:rPr>
      </w:pPr>
      <w:r>
        <w:rPr>
          <w:rFonts w:hint="cs"/>
          <w:sz w:val="28"/>
          <w:szCs w:val="28"/>
          <w:rtl/>
        </w:rPr>
        <w:t>16.</w:t>
      </w:r>
      <w:r>
        <w:rPr>
          <w:rFonts w:hint="cs"/>
          <w:sz w:val="28"/>
          <w:szCs w:val="28"/>
          <w:rtl/>
        </w:rPr>
        <w:tab/>
        <w:t xml:space="preserve">בהתאם להוראות פסק הדין המחזיר התבקשה הוועדה לשוב ולעיין בבדיקת </w:t>
      </w:r>
      <w:r>
        <w:rPr>
          <w:rFonts w:hint="cs"/>
          <w:sz w:val="28"/>
          <w:szCs w:val="28"/>
        </w:rPr>
        <w:t>EMG</w:t>
      </w:r>
      <w:r>
        <w:rPr>
          <w:rFonts w:hint="cs"/>
          <w:sz w:val="28"/>
          <w:szCs w:val="28"/>
          <w:rtl/>
        </w:rPr>
        <w:t xml:space="preserve"> מיום 2/2/14, ולנמק את קביעותיה ביחס לממצאי בדיקת ה-</w:t>
      </w:r>
      <w:r>
        <w:rPr>
          <w:rFonts w:hint="cs"/>
          <w:sz w:val="28"/>
          <w:szCs w:val="28"/>
        </w:rPr>
        <w:t>EMG</w:t>
      </w:r>
      <w:r>
        <w:rPr>
          <w:rFonts w:hint="cs"/>
          <w:sz w:val="28"/>
          <w:szCs w:val="28"/>
          <w:rtl/>
        </w:rPr>
        <w:t xml:space="preserve">. הוועדה ציינה, כי מתעוררות תהיות לגבי בדיקה זו בה נרשם שקיימת צלקת באספקט פנימי של קרסול ימין. לדעת הוועדה, ממצא זה לא סביר, וככל הנראה מדובר בפרט אנמנסטי ולא ממצא של בדיקה רפואית ישירה. בכך מילאה הוועדה אחר הוראות פסק הדין המחזיר. </w:t>
      </w:r>
    </w:p>
    <w:p w:rsidRPr="00F9365B" w:rsidR="00F9365B" w:rsidP="008F59F0" w:rsidRDefault="00F9365B">
      <w:pPr>
        <w:spacing w:line="360" w:lineRule="auto"/>
        <w:ind w:left="720" w:hanging="720"/>
        <w:jc w:val="both"/>
        <w:rPr>
          <w:sz w:val="28"/>
          <w:szCs w:val="28"/>
          <w:rtl/>
        </w:rPr>
      </w:pPr>
    </w:p>
    <w:p w:rsidR="008F59F0" w:rsidP="008F59F0" w:rsidRDefault="00F9365B">
      <w:pPr>
        <w:spacing w:line="360" w:lineRule="auto"/>
        <w:ind w:left="720" w:hanging="720"/>
        <w:jc w:val="both"/>
        <w:rPr>
          <w:sz w:val="28"/>
          <w:szCs w:val="28"/>
          <w:rtl/>
        </w:rPr>
      </w:pPr>
      <w:r>
        <w:rPr>
          <w:rFonts w:hint="cs"/>
          <w:sz w:val="28"/>
          <w:szCs w:val="28"/>
          <w:rtl/>
        </w:rPr>
        <w:t>17</w:t>
      </w:r>
      <w:r w:rsidR="008F59F0">
        <w:rPr>
          <w:rFonts w:hint="cs"/>
          <w:sz w:val="28"/>
          <w:szCs w:val="28"/>
          <w:rtl/>
        </w:rPr>
        <w:t>.</w:t>
      </w:r>
      <w:r w:rsidR="008F59F0">
        <w:rPr>
          <w:rFonts w:hint="cs"/>
          <w:sz w:val="28"/>
          <w:szCs w:val="28"/>
          <w:rtl/>
        </w:rPr>
        <w:tab/>
        <w:t>נדחית טענת המערער בנוגע לאופן עריכת הבדיקה הקלינית והאפשרות להפנות את המערער לבדיקות הדמיה נוספות. א</w:t>
      </w:r>
      <w:r w:rsidR="004F1DB3">
        <w:rPr>
          <w:rFonts w:hint="cs"/>
          <w:sz w:val="28"/>
          <w:szCs w:val="28"/>
          <w:rtl/>
        </w:rPr>
        <w:t xml:space="preserve">ופן עריכת הבדיקה הקלינית, לרבות הפניה לבדיקות עזר, הוא עניין רפואי המסור לשיקול דעתה של הוועדה, ואין בית הדין מוסמך להתערב בו. </w:t>
      </w:r>
    </w:p>
    <w:p w:rsidR="004F1DB3" w:rsidP="008F59F0" w:rsidRDefault="004F1DB3">
      <w:pPr>
        <w:spacing w:line="360" w:lineRule="auto"/>
        <w:ind w:left="720" w:hanging="720"/>
        <w:jc w:val="both"/>
        <w:rPr>
          <w:sz w:val="28"/>
          <w:szCs w:val="28"/>
          <w:rtl/>
        </w:rPr>
      </w:pPr>
    </w:p>
    <w:p w:rsidRPr="004F1DB3" w:rsidR="004F1DB3" w:rsidP="00F9365B" w:rsidRDefault="004F1DB3">
      <w:pPr>
        <w:spacing w:line="360" w:lineRule="auto"/>
        <w:ind w:left="720" w:hanging="720"/>
        <w:jc w:val="both"/>
        <w:rPr>
          <w:b/>
          <w:bCs/>
          <w:sz w:val="28"/>
          <w:szCs w:val="28"/>
          <w:rtl/>
        </w:rPr>
      </w:pPr>
      <w:r>
        <w:rPr>
          <w:rFonts w:hint="cs"/>
          <w:sz w:val="28"/>
          <w:szCs w:val="28"/>
          <w:rtl/>
        </w:rPr>
        <w:t>1</w:t>
      </w:r>
      <w:r w:rsidR="00F9365B">
        <w:rPr>
          <w:rFonts w:hint="cs"/>
          <w:sz w:val="28"/>
          <w:szCs w:val="28"/>
          <w:rtl/>
        </w:rPr>
        <w:t>8</w:t>
      </w:r>
      <w:r>
        <w:rPr>
          <w:rFonts w:hint="cs"/>
          <w:sz w:val="28"/>
          <w:szCs w:val="28"/>
          <w:rtl/>
        </w:rPr>
        <w:t>.</w:t>
      </w:r>
      <w:r>
        <w:rPr>
          <w:rFonts w:hint="cs"/>
          <w:sz w:val="28"/>
          <w:szCs w:val="28"/>
          <w:rtl/>
        </w:rPr>
        <w:tab/>
        <w:t xml:space="preserve">המערער הוסיף וטען, כי הטענה לפיה נותח בישראל נתמכת בהצהרת אחותו. בצדק טען המשיב, כי גם עניין זה הוכרע בפסק דינו של בית הדין הארצי. כב' השופטת רוזנפלד קבעה בעניינו של המערער, כי קיימים </w:t>
      </w:r>
      <w:r>
        <w:rPr>
          <w:rFonts w:hint="cs"/>
          <w:b/>
          <w:bCs/>
          <w:sz w:val="28"/>
          <w:szCs w:val="28"/>
          <w:rtl/>
        </w:rPr>
        <w:t xml:space="preserve">"סימני שאלה בקשר למשקל שניתן לייחס לדבריה של האחות, המבוססים על זיכרונה ממועד שבו היתה בת 6 שנים. זאת במיוחד שגרסתה אינה עולה בקנה אחד עם זו של </w:t>
      </w:r>
      <w:r>
        <w:rPr>
          <w:rFonts w:hint="cs"/>
          <w:b/>
          <w:bCs/>
          <w:sz w:val="28"/>
          <w:szCs w:val="28"/>
          <w:rtl/>
        </w:rPr>
        <w:lastRenderedPageBreak/>
        <w:t>המבקש עצמו ושל בא כוחו בעת הדיונים בוועדה. ואומנם, יש קושי ליתן משקל כלשהו בנסיבות העניין לדברים שמסרה הגב' פורמן בבית הדין האזורי"</w:t>
      </w:r>
      <w:r>
        <w:rPr>
          <w:rFonts w:hint="cs"/>
          <w:sz w:val="28"/>
          <w:szCs w:val="28"/>
          <w:rtl/>
        </w:rPr>
        <w:t xml:space="preserve"> (סעיף 11 להחלטת בית הדין הארצי בבר"ע 179-10). </w:t>
      </w:r>
    </w:p>
    <w:p w:rsidR="004B5EF7" w:rsidP="00AD4C6D" w:rsidRDefault="004B5EF7">
      <w:pPr>
        <w:spacing w:line="360" w:lineRule="auto"/>
        <w:jc w:val="both"/>
        <w:rPr>
          <w:sz w:val="28"/>
          <w:szCs w:val="28"/>
          <w:rtl/>
        </w:rPr>
      </w:pPr>
    </w:p>
    <w:p w:rsidR="004F1DB3" w:rsidP="00F9365B" w:rsidRDefault="004F1DB3">
      <w:pPr>
        <w:spacing w:line="360" w:lineRule="auto"/>
        <w:ind w:left="720" w:hanging="720"/>
        <w:jc w:val="both"/>
        <w:rPr>
          <w:sz w:val="28"/>
          <w:szCs w:val="28"/>
          <w:rtl/>
        </w:rPr>
      </w:pPr>
      <w:r>
        <w:rPr>
          <w:rFonts w:hint="cs"/>
          <w:sz w:val="28"/>
          <w:szCs w:val="28"/>
          <w:rtl/>
        </w:rPr>
        <w:t>1</w:t>
      </w:r>
      <w:r w:rsidR="00F9365B">
        <w:rPr>
          <w:rFonts w:hint="cs"/>
          <w:sz w:val="28"/>
          <w:szCs w:val="28"/>
          <w:rtl/>
        </w:rPr>
        <w:t>9</w:t>
      </w:r>
      <w:r>
        <w:rPr>
          <w:rFonts w:hint="cs"/>
          <w:sz w:val="28"/>
          <w:szCs w:val="28"/>
          <w:rtl/>
        </w:rPr>
        <w:t>.</w:t>
      </w:r>
      <w:r>
        <w:rPr>
          <w:rFonts w:hint="cs"/>
          <w:sz w:val="28"/>
          <w:szCs w:val="28"/>
          <w:rtl/>
        </w:rPr>
        <w:tab/>
        <w:t xml:space="preserve">הנה כי כן, שוכנעתי, כי הוועדה יישמה את הוראות פסק הדין המחזיר, נימקה את החלטתה בהתאם לשיקול הדעת הרפואי המסור לה, והמערער לא הצביע על טעות משפטית המצדיקה התערבות </w:t>
      </w:r>
      <w:r w:rsidR="00D70954">
        <w:rPr>
          <w:rFonts w:hint="cs"/>
          <w:sz w:val="28"/>
          <w:szCs w:val="28"/>
          <w:rtl/>
        </w:rPr>
        <w:t xml:space="preserve">בית הדין. </w:t>
      </w:r>
    </w:p>
    <w:p w:rsidR="00D70954" w:rsidP="004F1DB3" w:rsidRDefault="00D70954">
      <w:pPr>
        <w:spacing w:line="360" w:lineRule="auto"/>
        <w:ind w:left="720" w:hanging="720"/>
        <w:jc w:val="both"/>
        <w:rPr>
          <w:sz w:val="28"/>
          <w:szCs w:val="28"/>
          <w:rtl/>
        </w:rPr>
      </w:pPr>
    </w:p>
    <w:p w:rsidRPr="004B5EF7" w:rsidR="004B5EF7" w:rsidP="00AD4C6D" w:rsidRDefault="004B5EF7">
      <w:pPr>
        <w:spacing w:line="360" w:lineRule="auto"/>
        <w:jc w:val="both"/>
        <w:rPr>
          <w:b/>
          <w:bCs/>
          <w:sz w:val="28"/>
          <w:szCs w:val="28"/>
          <w:u w:val="single"/>
          <w:rtl/>
        </w:rPr>
      </w:pPr>
      <w:r w:rsidRPr="004B5EF7">
        <w:rPr>
          <w:rFonts w:hint="cs"/>
          <w:b/>
          <w:bCs/>
          <w:sz w:val="28"/>
          <w:szCs w:val="28"/>
          <w:u w:val="single"/>
          <w:rtl/>
        </w:rPr>
        <w:t>סוף דבר</w:t>
      </w:r>
    </w:p>
    <w:p w:rsidR="004B5EF7" w:rsidP="00AD4C6D" w:rsidRDefault="004B5EF7">
      <w:pPr>
        <w:spacing w:line="360" w:lineRule="auto"/>
        <w:jc w:val="both"/>
        <w:rPr>
          <w:sz w:val="28"/>
          <w:szCs w:val="28"/>
          <w:rtl/>
        </w:rPr>
      </w:pPr>
    </w:p>
    <w:p w:rsidR="00AD4C6D" w:rsidP="008E65C0" w:rsidRDefault="00F9365B">
      <w:pPr>
        <w:spacing w:line="360" w:lineRule="auto"/>
        <w:ind w:left="720" w:hanging="720"/>
        <w:jc w:val="both"/>
        <w:rPr>
          <w:sz w:val="28"/>
          <w:szCs w:val="28"/>
          <w:rtl/>
        </w:rPr>
      </w:pPr>
      <w:r>
        <w:rPr>
          <w:rFonts w:hint="cs"/>
          <w:sz w:val="28"/>
          <w:szCs w:val="28"/>
          <w:rtl/>
        </w:rPr>
        <w:t>20</w:t>
      </w:r>
      <w:r w:rsidR="00AD4C6D">
        <w:rPr>
          <w:rFonts w:hint="cs"/>
          <w:sz w:val="28"/>
          <w:szCs w:val="28"/>
          <w:rtl/>
        </w:rPr>
        <w:t>.</w:t>
      </w:r>
      <w:r w:rsidR="00AD4C6D">
        <w:rPr>
          <w:rFonts w:hint="cs"/>
          <w:sz w:val="28"/>
          <w:szCs w:val="28"/>
          <w:rtl/>
        </w:rPr>
        <w:tab/>
        <w:t xml:space="preserve">לאור כל האמור, הערעור נדחה. </w:t>
      </w:r>
    </w:p>
    <w:p w:rsidR="00AD4C6D" w:rsidP="00AD4C6D" w:rsidRDefault="00AD4C6D">
      <w:pPr>
        <w:spacing w:line="360" w:lineRule="auto"/>
        <w:ind w:left="720" w:hanging="720"/>
        <w:jc w:val="both"/>
        <w:rPr>
          <w:sz w:val="28"/>
          <w:szCs w:val="28"/>
        </w:rPr>
      </w:pPr>
    </w:p>
    <w:p w:rsidR="00AD4C6D" w:rsidP="00F9365B" w:rsidRDefault="008E65C0">
      <w:pPr>
        <w:spacing w:line="360" w:lineRule="auto"/>
        <w:ind w:left="720" w:hanging="720"/>
        <w:jc w:val="both"/>
        <w:rPr>
          <w:sz w:val="28"/>
          <w:szCs w:val="28"/>
          <w:rtl/>
        </w:rPr>
      </w:pPr>
      <w:r>
        <w:rPr>
          <w:rFonts w:hint="cs"/>
          <w:sz w:val="28"/>
          <w:szCs w:val="28"/>
          <w:rtl/>
        </w:rPr>
        <w:t>2</w:t>
      </w:r>
      <w:r w:rsidR="00F9365B">
        <w:rPr>
          <w:rFonts w:hint="cs"/>
          <w:sz w:val="28"/>
          <w:szCs w:val="28"/>
          <w:rtl/>
        </w:rPr>
        <w:t>1</w:t>
      </w:r>
      <w:r w:rsidR="00AD4C6D">
        <w:rPr>
          <w:rFonts w:hint="cs"/>
          <w:sz w:val="28"/>
          <w:szCs w:val="28"/>
          <w:rtl/>
        </w:rPr>
        <w:t>.</w:t>
      </w:r>
      <w:r w:rsidR="00AD4C6D">
        <w:rPr>
          <w:rFonts w:hint="cs"/>
          <w:sz w:val="28"/>
          <w:szCs w:val="28"/>
          <w:rtl/>
        </w:rPr>
        <w:tab/>
        <w:t>אין צו להוצאות.</w:t>
      </w:r>
    </w:p>
    <w:p w:rsidR="00AD4C6D" w:rsidP="00AD4C6D" w:rsidRDefault="00AD4C6D">
      <w:pPr>
        <w:spacing w:line="360" w:lineRule="auto"/>
        <w:ind w:left="720" w:hanging="720"/>
        <w:jc w:val="both"/>
        <w:rPr>
          <w:sz w:val="28"/>
          <w:szCs w:val="28"/>
          <w:rtl/>
        </w:rPr>
      </w:pPr>
    </w:p>
    <w:p w:rsidR="00AD4C6D" w:rsidP="00F9365B" w:rsidRDefault="008E65C0">
      <w:pPr>
        <w:spacing w:line="360" w:lineRule="auto"/>
        <w:ind w:left="720" w:hanging="720"/>
        <w:jc w:val="both"/>
        <w:rPr>
          <w:sz w:val="28"/>
          <w:szCs w:val="28"/>
          <w:rtl/>
        </w:rPr>
      </w:pPr>
      <w:r>
        <w:rPr>
          <w:rFonts w:hint="cs"/>
          <w:sz w:val="28"/>
          <w:szCs w:val="28"/>
          <w:rtl/>
        </w:rPr>
        <w:t>2</w:t>
      </w:r>
      <w:r w:rsidR="00F9365B">
        <w:rPr>
          <w:rFonts w:hint="cs"/>
          <w:sz w:val="28"/>
          <w:szCs w:val="28"/>
          <w:rtl/>
        </w:rPr>
        <w:t>2</w:t>
      </w:r>
      <w:r w:rsidR="00AD4C6D">
        <w:rPr>
          <w:rFonts w:hint="cs"/>
          <w:sz w:val="28"/>
          <w:szCs w:val="28"/>
          <w:rtl/>
        </w:rPr>
        <w:t>.</w:t>
      </w:r>
      <w:r w:rsidR="00AD4C6D">
        <w:rPr>
          <w:rFonts w:hint="cs"/>
          <w:sz w:val="28"/>
          <w:szCs w:val="28"/>
          <w:rtl/>
        </w:rPr>
        <w:tab/>
        <w:t>הצדדים יכולים לפנות לבית הדין הארצי לעבודה בירושלים בבקשת רשות לערער על פסק הדין וזאת תוך 30 ימים מעת שיומצא להם פסק דין זה.</w:t>
      </w:r>
    </w:p>
    <w:p w:rsidR="00AD4C6D" w:rsidP="00AD4C6D" w:rsidRDefault="00AD4C6D">
      <w:pPr>
        <w:spacing w:line="360" w:lineRule="auto"/>
        <w:jc w:val="both"/>
        <w:rPr>
          <w:rFonts w:ascii="Arial" w:hAnsi="Arial"/>
          <w:noProof w:val="0"/>
          <w:sz w:val="28"/>
          <w:szCs w:val="28"/>
          <w:rtl/>
        </w:rPr>
      </w:pPr>
    </w:p>
    <w:p w:rsidRPr="006C54DD" w:rsidR="00694556" w:rsidP="00CA2F3A" w:rsidRDefault="00005C8B">
      <w:pPr>
        <w:spacing w:line="360" w:lineRule="auto"/>
        <w:jc w:val="both"/>
        <w:rPr>
          <w:rFonts w:ascii="Arial" w:hAnsi="Arial"/>
          <w:b/>
          <w:bCs/>
          <w:noProof w:val="0"/>
          <w:sz w:val="28"/>
          <w:szCs w:val="28"/>
          <w:rtl/>
        </w:rPr>
      </w:pPr>
      <w:r w:rsidRPr="006C54DD">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כ"ו ניסן תשע"ח</w:t>
          </w:r>
        </w:sdtContent>
      </w:sdt>
      <w:r w:rsidRPr="006C54DD">
        <w:rPr>
          <w:rFonts w:ascii="Arial" w:hAnsi="Arial"/>
          <w:b/>
          <w:bCs/>
          <w:noProof w:val="0"/>
          <w:sz w:val="28"/>
          <w:szCs w:val="28"/>
          <w:rtl/>
        </w:rPr>
        <w:t xml:space="preserve">, </w:t>
      </w:r>
      <w:r w:rsidRPr="006C54DD"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11 אפריל 2018</w:t>
          </w:r>
        </w:sdtContent>
      </w:sdt>
      <w:r w:rsidRPr="006C54DD" w:rsidR="00621052">
        <w:rPr>
          <w:rFonts w:hint="cs"/>
          <w:b/>
          <w:bCs/>
          <w:sz w:val="28"/>
          <w:szCs w:val="28"/>
          <w:rtl/>
        </w:rPr>
        <w:t>)</w:t>
      </w:r>
      <w:r w:rsidRPr="006C54DD">
        <w:rPr>
          <w:rFonts w:ascii="Arial" w:hAnsi="Arial"/>
          <w:b/>
          <w:bCs/>
          <w:noProof w:val="0"/>
          <w:sz w:val="28"/>
          <w:szCs w:val="28"/>
          <w:rtl/>
        </w:rPr>
        <w:t>, בהעדר הצדדים</w:t>
      </w:r>
      <w:r w:rsidRPr="006C54DD" w:rsidR="00621052">
        <w:rPr>
          <w:rFonts w:hint="cs" w:ascii="Arial" w:hAnsi="Arial"/>
          <w:b/>
          <w:bCs/>
          <w:noProof w:val="0"/>
          <w:sz w:val="28"/>
          <w:szCs w:val="28"/>
          <w:rtl/>
        </w:rPr>
        <w:t xml:space="preserve"> ויישלח אליהם</w:t>
      </w:r>
      <w:r w:rsidRPr="006C54DD">
        <w:rPr>
          <w:rFonts w:ascii="Arial" w:hAnsi="Arial"/>
          <w:b/>
          <w:bCs/>
          <w:noProof w:val="0"/>
          <w:sz w:val="28"/>
          <w:szCs w:val="28"/>
          <w:rtl/>
        </w:rPr>
        <w:t>.</w:t>
      </w:r>
    </w:p>
    <w:p w:rsidRPr="006C54DD" w:rsidR="00694556" w:rsidRDefault="00694556">
      <w:pPr>
        <w:spacing w:line="360" w:lineRule="auto"/>
        <w:jc w:val="both"/>
        <w:rPr>
          <w:rFonts w:ascii="Arial" w:hAnsi="Arial"/>
          <w:noProof w:val="0"/>
          <w:sz w:val="28"/>
          <w:szCs w:val="28"/>
          <w:rtl/>
        </w:rPr>
      </w:pPr>
    </w:p>
    <w:p w:rsidRPr="006C54DD" w:rsidR="00694556" w:rsidP="007B0923" w:rsidRDefault="00841C33">
      <w:pPr>
        <w:spacing w:line="360" w:lineRule="auto"/>
        <w:ind w:left="3600" w:firstLine="720"/>
        <w:jc w:val="both"/>
        <w:rPr>
          <w:rFonts w:ascii="Arial" w:hAnsi="Arial"/>
          <w:noProof w:val="0"/>
          <w:sz w:val="28"/>
          <w:szCs w:val="28"/>
          <w:rtl/>
        </w:rPr>
      </w:pPr>
      <w:sdt>
        <w:sdtPr>
          <w:alias w:val="MergeField"/>
          <w:tag w:val="1237"/>
        </w:sdtPr>
        <w:sdtContent>
          <w:p>
            <w:r>
              <w:drawing>
                <wp:inline distT="0" distB="0" distL="0" distR="0" wp14:editId="50D07946">
                  <wp:extent cx="1257300" cy="1009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d5af6cefdcb4701" cstate="print">
                            <a:extLst>
                              <a:ext uri="{28A0092B-C50C-407E-A947-70E740481C1C}"/>
                            </a:extLst>
                          </a:blip>
                          <a:stretch>
                            <a:fillRect/>
                          </a:stretch>
                        </pic:blipFill>
                        <pic:spPr>
                          <a:xfrm>
                            <a:off x="0" y="0"/>
                            <a:ext cx="1257300" cy="1009649"/>
                          </a:xfrm>
                          <a:prstGeom prst="rect">
                            <a:avLst/>
                          </a:prstGeom>
                        </pic:spPr>
                      </pic:pic>
                    </a:graphicData>
                  </a:graphic>
                </wp:inline>
              </w:drawing>
            </w:r>
          </w:p>
        </w:sdtContent>
      </w:sdt>
    </w:p>
    <w:sectPr w:rsidRPr="006C54DD"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41C3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41C33">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41C33">
    <w:pPr>
      <w:pStyle w:val="a3"/>
      <w:jc w:val="center"/>
      <w:rPr>
        <w:rFonts w:cs="FrankRuehl"/>
        <w:noProof w:val="0"/>
        <w:sz w:val="28"/>
        <w:szCs w:val="28"/>
        <w:rtl/>
      </w:rPr>
    </w:pPr>
    <w:r>
      <w:rPr>
        <w:rFonts w:cs="FrankRuehl"/>
        <w:sz w:val="28"/>
        <w:szCs w:val="28"/>
        <w:rtl/>
      </w:rPr>
    </w:r>
    <w:r w:rsidR="004121E7">
      <w:rPr>
        <w:rFonts w:cs="FrankRuehl"/>
        <w:sz w:val="28"/>
        <w:szCs w:val="28"/>
      </w:rPr>
      <w:drawing>
        <wp:inline distT="0" distB="0" distL="0" distR="0" wp14:anchorId="0B2F5E73" wp14:editId="3347164E">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2"/>
      <w:gridCol w:w="3593"/>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Pr="00832B1C" w:rsidR="00694556" w:rsidP="00832B1C" w:rsidRDefault="00841C33">
          <w:pPr>
            <w:jc w:val="right"/>
            <w:rPr>
              <w:rtl/>
            </w:rPr>
          </w:pPr>
          <w:sdt>
            <w:sdtPr>
              <w:rPr>
                <w:rtl/>
              </w:rPr>
              <w:alias w:val="1170"/>
              <w:tag w:val="1170"/>
              <w:id w:val="1147020335"/>
              <w:text w:multiLine="1"/>
            </w:sdtPr>
            <w:sdtEndPr/>
            <w:sdtContent>
              <w:r w:rsidR="00D82900">
                <w:rPr>
                  <w:b/>
                  <w:bCs/>
                  <w:noProof w:val="0"/>
                  <w:sz w:val="26"/>
                  <w:szCs w:val="26"/>
                  <w:rtl/>
                </w:rPr>
                <w:t>ב"ל</w:t>
              </w:r>
            </w:sdtContent>
          </w:sdt>
          <w:r w:rsidR="00621052">
            <w:rPr>
              <w:b/>
              <w:bCs/>
              <w:noProof w:val="0"/>
              <w:sz w:val="26"/>
              <w:szCs w:val="26"/>
              <w:rtl/>
            </w:rPr>
            <w:t xml:space="preserve"> </w:t>
          </w:r>
          <w:sdt>
            <w:sdtPr>
              <w:rPr>
                <w:rtl/>
              </w:rPr>
              <w:alias w:val="1171"/>
              <w:tag w:val="1171"/>
              <w:id w:val="2066985782"/>
              <w:text w:multiLine="1"/>
            </w:sdtPr>
            <w:sdtEndPr/>
            <w:sdtContent>
              <w:r w:rsidR="00D82900">
                <w:rPr>
                  <w:b/>
                  <w:bCs/>
                  <w:noProof w:val="0"/>
                  <w:sz w:val="26"/>
                  <w:szCs w:val="26"/>
                  <w:rtl/>
                </w:rPr>
                <w:t>7042-09-17</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3574"/>
    <w:rsid w:val="00005C8B"/>
    <w:rsid w:val="000130EF"/>
    <w:rsid w:val="000564AB"/>
    <w:rsid w:val="000F6917"/>
    <w:rsid w:val="0014234E"/>
    <w:rsid w:val="001C4003"/>
    <w:rsid w:val="001C5B90"/>
    <w:rsid w:val="001E6E19"/>
    <w:rsid w:val="00232891"/>
    <w:rsid w:val="00236070"/>
    <w:rsid w:val="0025187E"/>
    <w:rsid w:val="002E19C4"/>
    <w:rsid w:val="003152CD"/>
    <w:rsid w:val="003B491B"/>
    <w:rsid w:val="004121E7"/>
    <w:rsid w:val="004B5EF7"/>
    <w:rsid w:val="004E6E3C"/>
    <w:rsid w:val="004F1DB3"/>
    <w:rsid w:val="00541E41"/>
    <w:rsid w:val="00547DB7"/>
    <w:rsid w:val="00587156"/>
    <w:rsid w:val="00597AEC"/>
    <w:rsid w:val="005B028A"/>
    <w:rsid w:val="00621052"/>
    <w:rsid w:val="00622BAA"/>
    <w:rsid w:val="00671BD5"/>
    <w:rsid w:val="006805C1"/>
    <w:rsid w:val="006818F6"/>
    <w:rsid w:val="00693686"/>
    <w:rsid w:val="00694556"/>
    <w:rsid w:val="006C54DD"/>
    <w:rsid w:val="006E1A53"/>
    <w:rsid w:val="007263F9"/>
    <w:rsid w:val="007B0923"/>
    <w:rsid w:val="007C4F95"/>
    <w:rsid w:val="00820005"/>
    <w:rsid w:val="00832B1C"/>
    <w:rsid w:val="00841C33"/>
    <w:rsid w:val="0084375F"/>
    <w:rsid w:val="008A58D0"/>
    <w:rsid w:val="008E65C0"/>
    <w:rsid w:val="008F59F0"/>
    <w:rsid w:val="00903896"/>
    <w:rsid w:val="00960E9C"/>
    <w:rsid w:val="00981222"/>
    <w:rsid w:val="00AD4C6D"/>
    <w:rsid w:val="00AF7792"/>
    <w:rsid w:val="00B00200"/>
    <w:rsid w:val="00B80CBD"/>
    <w:rsid w:val="00BC0D8A"/>
    <w:rsid w:val="00BD6D7C"/>
    <w:rsid w:val="00BE6015"/>
    <w:rsid w:val="00C170B0"/>
    <w:rsid w:val="00C40B78"/>
    <w:rsid w:val="00C75F31"/>
    <w:rsid w:val="00CA2F3A"/>
    <w:rsid w:val="00D53924"/>
    <w:rsid w:val="00D70954"/>
    <w:rsid w:val="00D82900"/>
    <w:rsid w:val="00D96D8C"/>
    <w:rsid w:val="00E44862"/>
    <w:rsid w:val="00E522BC"/>
    <w:rsid w:val="00E54642"/>
    <w:rsid w:val="00E97908"/>
    <w:rsid w:val="00EB1993"/>
    <w:rsid w:val="00F20344"/>
    <w:rsid w:val="00F50958"/>
    <w:rsid w:val="00F642FD"/>
    <w:rsid w:val="00F64CE6"/>
    <w:rsid w:val="00F9365B"/>
    <w:rsid w:val="00FA667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5:docId w15:val="{82F86FA2-E4D3-4D78-8590-F82ED894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724">
      <w:bodyDiv w:val="1"/>
      <w:marLeft w:val="0"/>
      <w:marRight w:val="0"/>
      <w:marTop w:val="0"/>
      <w:marBottom w:val="0"/>
      <w:divBdr>
        <w:top w:val="none" w:sz="0" w:space="0" w:color="auto"/>
        <w:left w:val="none" w:sz="0" w:space="0" w:color="auto"/>
        <w:bottom w:val="none" w:sz="0" w:space="0" w:color="auto"/>
        <w:right w:val="none" w:sz="0" w:space="0" w:color="auto"/>
      </w:divBdr>
    </w:div>
    <w:div w:id="962886405">
      <w:bodyDiv w:val="1"/>
      <w:marLeft w:val="0"/>
      <w:marRight w:val="0"/>
      <w:marTop w:val="0"/>
      <w:marBottom w:val="0"/>
      <w:divBdr>
        <w:top w:val="none" w:sz="0" w:space="0" w:color="auto"/>
        <w:left w:val="none" w:sz="0" w:space="0" w:color="auto"/>
        <w:bottom w:val="none" w:sz="0" w:space="0" w:color="auto"/>
        <w:right w:val="none" w:sz="0" w:space="0" w:color="auto"/>
      </w:divBdr>
    </w:div>
    <w:div w:id="1033572783">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d5af6cefdcb470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1345</Words>
  <Characters>6725</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יגאל גלם</cp:lastModifiedBy>
  <cp:revision>56</cp:revision>
  <cp:lastPrinted>2018-03-14T09:46:00Z</cp:lastPrinted>
  <dcterms:created xsi:type="dcterms:W3CDTF">2012-08-06T01:26:00Z</dcterms:created>
  <dcterms:modified xsi:type="dcterms:W3CDTF">2018-04-11T07:25:00Z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