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D2777B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שלומית יעקובוביץ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53142" w:rsidP="00D2777B" w:rsidRDefault="00D2777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התובעים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P="00D2777B" w:rsidRDefault="004061C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2777B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ע.א (קטין)</w:t>
                </w:r>
              </w:sdtContent>
            </w:sdt>
          </w:p>
          <w:p w:rsidRPr="00D2777B" w:rsidR="00D2777B" w:rsidP="00D2777B" w:rsidRDefault="00D2777B">
            <w:pPr>
              <w:rPr>
                <w:b/>
                <w:bCs/>
                <w:sz w:val="26"/>
                <w:szCs w:val="26"/>
                <w:rtl/>
              </w:rPr>
            </w:pPr>
            <w:r w:rsidRPr="00D2777B">
              <w:rPr>
                <w:rFonts w:hint="cs"/>
                <w:b/>
                <w:bCs/>
                <w:sz w:val="26"/>
                <w:szCs w:val="26"/>
                <w:rtl/>
              </w:rPr>
              <w:t>באמצעות הוריו</w:t>
            </w:r>
          </w:p>
          <w:p w:rsidR="003763AB" w:rsidP="00D2777B" w:rsidRDefault="004061C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9892643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496494228"/>
                <w:text w:multiLine="1"/>
              </w:sdtPr>
              <w:sdtEndPr/>
              <w:sdtContent>
                <w:r w:rsidR="00D2777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ע.נ</w:t>
                </w:r>
              </w:sdtContent>
            </w:sdt>
          </w:p>
          <w:p w:rsidR="003763AB" w:rsidP="00D2777B" w:rsidRDefault="004061C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37578760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D2777B" w:rsidR="00D2777B">
              <w:rPr>
                <w:rFonts w:hint="cs"/>
                <w:b/>
                <w:bCs/>
                <w:sz w:val="26"/>
                <w:szCs w:val="26"/>
                <w:rtl/>
              </w:rPr>
              <w:t>ע.א</w:t>
            </w:r>
          </w:p>
          <w:p w:rsidRPr="00D2777B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 w:rsidRPr="00D2777B">
              <w:rPr>
                <w:rFonts w:hint="cs"/>
                <w:b/>
                <w:bCs/>
                <w:sz w:val="26"/>
                <w:szCs w:val="26"/>
                <w:rtl/>
              </w:rPr>
              <w:t>ע"י ב"כ עו"ד</w:t>
            </w:r>
            <w:r w:rsidR="00D2777B">
              <w:rPr>
                <w:rFonts w:hint="cs"/>
                <w:b/>
                <w:bCs/>
                <w:sz w:val="26"/>
                <w:szCs w:val="26"/>
                <w:rtl/>
              </w:rPr>
              <w:t xml:space="preserve"> צ. עופר ואח'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D2777B" w:rsidR="0094424E" w:rsidRDefault="0094424E">
            <w:pP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P="00D2777B" w:rsidRDefault="004061C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2777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4061C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עלאא גאנם</w:t>
                </w:r>
              </w:sdtContent>
            </w:sdt>
          </w:p>
          <w:p w:rsidR="003763AB" w:rsidRDefault="004061C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919557941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51930554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  <w:p w:rsidRPr="00D2777B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D2777B">
              <w:rPr>
                <w:rFonts w:hint="cs"/>
                <w:b/>
                <w:bCs/>
                <w:sz w:val="26"/>
                <w:szCs w:val="26"/>
                <w:rtl/>
              </w:rPr>
              <w:t>ע"י ב"כ עו"ד</w:t>
            </w:r>
            <w:r w:rsidR="00D2777B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א. קרינסקי ואח'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553142" w:rsidRDefault="00553142">
            <w:pP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2777B" w:rsidR="00694556" w:rsidP="00D2777B" w:rsidRDefault="00D2777B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עסקינן בבקשת התובעים "</w:t>
      </w:r>
      <w:r>
        <w:rPr>
          <w:rFonts w:hint="cs" w:ascii="Arial" w:hAnsi="Arial"/>
          <w:b/>
          <w:bCs/>
          <w:noProof w:val="0"/>
          <w:rtl/>
        </w:rPr>
        <w:t>לפסילת מומחה בימ"ש בתחום הפסיכיאטריה ו/או מינוי מומחה נוסף בתחום הפסיכיאטריה".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E7438" w:rsidP="007E7438" w:rsidRDefault="007E7438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עניינה של הבקשה במינויו של דר' נחמקין (להלן: "המומחה") לשמש כמומחה רפואי מטעם בית המשפט</w:t>
      </w:r>
      <w:r w:rsidR="00DB738F">
        <w:rPr>
          <w:rFonts w:hint="cs" w:ascii="Arial" w:hAnsi="Arial"/>
          <w:noProof w:val="0"/>
          <w:rtl/>
        </w:rPr>
        <w:t xml:space="preserve"> בתחום הפסיכיאטרי</w:t>
      </w:r>
      <w:r>
        <w:rPr>
          <w:rFonts w:hint="cs" w:ascii="Arial" w:hAnsi="Arial"/>
          <w:noProof w:val="0"/>
          <w:rtl/>
        </w:rPr>
        <w:t xml:space="preserve">, מינוי על פי חוק פיצויים לנפגעי תאונות דרכים, </w:t>
      </w:r>
      <w:r w:rsidR="00DB738F">
        <w:rPr>
          <w:rFonts w:hint="cs" w:ascii="Arial" w:hAnsi="Arial"/>
          <w:noProof w:val="0"/>
          <w:rtl/>
        </w:rPr>
        <w:t xml:space="preserve">     </w:t>
      </w:r>
      <w:r>
        <w:rPr>
          <w:rFonts w:hint="cs" w:ascii="Arial" w:hAnsi="Arial"/>
          <w:noProof w:val="0"/>
          <w:rtl/>
        </w:rPr>
        <w:t xml:space="preserve">התשל"ה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1975.</w:t>
      </w:r>
    </w:p>
    <w:p w:rsidR="007E7438" w:rsidP="005F32FF" w:rsidRDefault="000D0B57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החלטת המינוי ניתנה בבית משפט השלום בו הוגשה התביעה מלכתחילה.</w:t>
      </w:r>
    </w:p>
    <w:p w:rsidR="000D0B57" w:rsidP="007E7438" w:rsidRDefault="000D0B57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</w:p>
    <w:p w:rsidR="00694556" w:rsidP="007E7438" w:rsidRDefault="007E7438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בבסיס הבקשה, אשר הוגשה לאחר מתן חוות הדעת בעניינו של התובע 1, מונחות טענות בעניין כשירותו של המומחה, כמו גם בעניין דרך התנהלותו.</w:t>
      </w:r>
    </w:p>
    <w:p w:rsidR="005F32FF" w:rsidP="005E1A1F" w:rsidRDefault="007E7438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לטענת התובעים </w:t>
      </w:r>
      <w:r w:rsidR="000D0B57">
        <w:rPr>
          <w:rFonts w:hint="cs" w:ascii="Arial" w:hAnsi="Arial"/>
          <w:noProof w:val="0"/>
          <w:rtl/>
        </w:rPr>
        <w:t>המומחה אינו פסיכיאטר ילדים/מתבגרים, מומחיות הנדרשת לאור גילו של התובע 1 בעת התאונה (</w:t>
      </w:r>
      <w:r w:rsidR="005E1A1F">
        <w:rPr>
          <w:rFonts w:hint="cs" w:ascii="Arial" w:hAnsi="Arial"/>
          <w:noProof w:val="0"/>
          <w:rtl/>
        </w:rPr>
        <w:t>16</w:t>
      </w:r>
      <w:r w:rsidR="000D0B57">
        <w:rPr>
          <w:rFonts w:hint="cs" w:ascii="Arial" w:hAnsi="Arial"/>
          <w:noProof w:val="0"/>
          <w:rtl/>
        </w:rPr>
        <w:t>) וכיום (</w:t>
      </w:r>
      <w:r w:rsidR="005E1A1F">
        <w:rPr>
          <w:rFonts w:hint="cs" w:ascii="Arial" w:hAnsi="Arial"/>
          <w:noProof w:val="0"/>
          <w:rtl/>
        </w:rPr>
        <w:t>20</w:t>
      </w:r>
      <w:r w:rsidR="000D0B57">
        <w:rPr>
          <w:rFonts w:hint="cs" w:ascii="Arial" w:hAnsi="Arial"/>
          <w:noProof w:val="0"/>
          <w:rtl/>
        </w:rPr>
        <w:t>), עניין לו נדרש בית המשפט עת מינה נוירולוג ילדים ואורתופד ילדים.</w:t>
      </w:r>
    </w:p>
    <w:p w:rsidR="005F32FF" w:rsidP="000D0B57" w:rsidRDefault="005F32F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יוער כי מידע זה </w:t>
      </w:r>
      <w:r w:rsidR="005E1A1F">
        <w:rPr>
          <w:rFonts w:hint="cs" w:ascii="Arial" w:hAnsi="Arial"/>
          <w:noProof w:val="0"/>
          <w:rtl/>
        </w:rPr>
        <w:t xml:space="preserve">באשר לכשירותו של המומחה </w:t>
      </w:r>
      <w:r>
        <w:rPr>
          <w:rFonts w:hint="cs" w:ascii="Arial" w:hAnsi="Arial"/>
          <w:noProof w:val="0"/>
          <w:rtl/>
        </w:rPr>
        <w:t>הובא לידיעת התובעים במסגרת מענה לשאלות הבהרה שנשלחו למומחה.</w:t>
      </w:r>
    </w:p>
    <w:p w:rsidR="007E7438" w:rsidP="000D0B57" w:rsidRDefault="000D0B57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 xml:space="preserve">  </w:t>
      </w:r>
      <w:r w:rsidR="007E7438">
        <w:rPr>
          <w:rFonts w:hint="cs" w:ascii="Arial" w:hAnsi="Arial"/>
          <w:noProof w:val="0"/>
          <w:rtl/>
        </w:rPr>
        <w:t xml:space="preserve">  </w:t>
      </w:r>
    </w:p>
    <w:p w:rsidR="00694556" w:rsidP="00536C4C" w:rsidRDefault="000D0B57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עוד מוסיפים התובעים וטוענים כי בהתנהלותו של המומחה נפל פגם היורד ל</w:t>
      </w:r>
      <w:r w:rsidR="005F32FF">
        <w:rPr>
          <w:rFonts w:hint="cs" w:ascii="Arial" w:hAnsi="Arial"/>
          <w:noProof w:val="0"/>
          <w:rtl/>
        </w:rPr>
        <w:t>שורשו של עניין, זאת משמצא לקבוע את נכותו הצמיתה של התובע 1 (בתום תקופת הנכות הזמנית שקבע) על סמך תיעוד רפואי בלבד, ללא בדיקתו.</w:t>
      </w:r>
    </w:p>
    <w:p w:rsidR="005F32FF" w:rsidP="005F32FF" w:rsidRDefault="005F32F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</w:p>
    <w:p w:rsidR="005F32FF" w:rsidP="00536C4C" w:rsidRDefault="00536C4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</w:t>
      </w:r>
      <w:r w:rsidR="005F32FF">
        <w:rPr>
          <w:rFonts w:hint="cs" w:ascii="Arial" w:hAnsi="Arial"/>
          <w:noProof w:val="0"/>
          <w:rtl/>
        </w:rPr>
        <w:t>.</w:t>
      </w:r>
      <w:r w:rsidR="005F32FF">
        <w:rPr>
          <w:rFonts w:hint="cs" w:ascii="Arial" w:hAnsi="Arial"/>
          <w:noProof w:val="0"/>
          <w:rtl/>
        </w:rPr>
        <w:tab/>
        <w:t>הנתבעים מתנגדים למבוקש.</w:t>
      </w:r>
    </w:p>
    <w:p w:rsidR="00E14DAF" w:rsidP="00536C4C" w:rsidRDefault="005F32F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לשיטתם</w:t>
      </w:r>
      <w:r w:rsidR="00E14DAF">
        <w:rPr>
          <w:rFonts w:hint="cs" w:ascii="Arial" w:hAnsi="Arial"/>
          <w:noProof w:val="0"/>
          <w:rtl/>
        </w:rPr>
        <w:t xml:space="preserve"> המומחה משמש כ"מנהל רפואי במרכז הישראלי לטיפול בתרמילאים צעירים במצוקה, "כפר איזון" משנת 2001" ומכאן שאך "ברור שיש לו ניסיון עתק בטיפול בנוער ובצעירים".</w:t>
      </w:r>
    </w:p>
    <w:p w:rsidR="00536C4C" w:rsidP="005E1A1F" w:rsidRDefault="00E14DA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עוד ובנוסף טוענים הנתבעים כי נכותו של התובע 1 נקבעה על ידי המומחה "באופן אובייקטיבי, מקצועי והגון ולא ברור איזה "עיוות דין" עלול (כביכול) להיגרם לתובע למעט העובדה, שמסקנות חוות הדעת אינן משביעות את רצונו" (סעיפים 5</w:t>
      </w:r>
      <w:r w:rsidR="00536C4C">
        <w:rPr>
          <w:rFonts w:hint="cs" w:ascii="Arial" w:hAnsi="Arial"/>
          <w:noProof w:val="0"/>
          <w:rtl/>
        </w:rPr>
        <w:t xml:space="preserve"> ו- 9 לתגובת הנתבעים).</w:t>
      </w:r>
    </w:p>
    <w:p w:rsidR="005F32FF" w:rsidP="00536C4C" w:rsidRDefault="005F32F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F74D4" w:rsidP="000D5FF9" w:rsidRDefault="00FF74D4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  <w:t xml:space="preserve">על פי הפסיקה הנוהגת </w:t>
      </w:r>
      <w:r w:rsidR="000D5FF9">
        <w:rPr>
          <w:rFonts w:hint="cs" w:ascii="Arial" w:hAnsi="Arial"/>
          <w:noProof w:val="0"/>
          <w:rtl/>
        </w:rPr>
        <w:t xml:space="preserve">פסילתו של מומחה, אשר מונה על ידי בית המשפט תעשה במשורה, באותם </w:t>
      </w:r>
      <w:r>
        <w:rPr>
          <w:rFonts w:hint="cs" w:ascii="Arial" w:hAnsi="Arial"/>
          <w:b/>
          <w:bCs/>
          <w:noProof w:val="0"/>
          <w:rtl/>
        </w:rPr>
        <w:t>"מקרים נדירים מאוד שבהם עלול להיגרם לאחד הצדדים עיוות דין, או במקרים שבהם פעל המומחה בחוסר תום-לב"</w:t>
      </w:r>
      <w:r>
        <w:rPr>
          <w:rFonts w:hint="cs" w:ascii="Arial" w:hAnsi="Arial"/>
          <w:noProof w:val="0"/>
          <w:rtl/>
        </w:rPr>
        <w:t xml:space="preserve">. </w:t>
      </w:r>
    </w:p>
    <w:p w:rsidRPr="000D5FF9" w:rsidR="00FF74D4" w:rsidP="000D5FF9" w:rsidRDefault="00FF74D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b/>
          <w:bCs/>
          <w:noProof w:val="0"/>
          <w:rtl/>
        </w:rPr>
        <w:tab/>
      </w:r>
      <w:r>
        <w:rPr>
          <w:rFonts w:hint="cs" w:ascii="Arial" w:hAnsi="Arial"/>
          <w:noProof w:val="0"/>
          <w:rtl/>
        </w:rPr>
        <w:t>עם זאת, מוסמך בית המשפט</w:t>
      </w:r>
      <w:r w:rsidR="000D5FF9">
        <w:rPr>
          <w:rFonts w:hint="cs" w:ascii="Arial" w:hAnsi="Arial"/>
          <w:noProof w:val="0"/>
          <w:rtl/>
        </w:rPr>
        <w:t xml:space="preserve"> להורות על מינויו של מומחה נוסף ב"</w:t>
      </w:r>
      <w:r w:rsidRPr="000D5FF9" w:rsidR="000D5FF9">
        <w:rPr>
          <w:rFonts w:hint="cs" w:ascii="Arial" w:hAnsi="Arial"/>
          <w:b/>
          <w:bCs/>
          <w:noProof w:val="0"/>
          <w:rtl/>
        </w:rPr>
        <w:t>אותם מקרים</w:t>
      </w:r>
      <w:r w:rsidR="000D5FF9">
        <w:rPr>
          <w:rFonts w:hint="cs" w:ascii="Arial" w:hAnsi="Arial"/>
          <w:b/>
          <w:bCs/>
          <w:noProof w:val="0"/>
          <w:rtl/>
        </w:rPr>
        <w:t xml:space="preserve"> שבהם מתעוררים בלב השופט ספקות באשר ליכולתו להכריע בתיק על סמך חוות-דעת של המומחה הרפואי אשר מונה על- ידיו" (</w:t>
      </w:r>
      <w:r w:rsidR="000D5FF9">
        <w:rPr>
          <w:rFonts w:hint="cs" w:ascii="Arial" w:hAnsi="Arial"/>
          <w:noProof w:val="0"/>
          <w:rtl/>
        </w:rPr>
        <w:t xml:space="preserve">רע"א 337/02 </w:t>
      </w:r>
      <w:r w:rsidR="000D5FF9">
        <w:rPr>
          <w:rFonts w:hint="cs" w:ascii="Arial" w:hAnsi="Arial"/>
          <w:noProof w:val="0"/>
          <w:u w:val="single"/>
          <w:rtl/>
        </w:rPr>
        <w:t xml:space="preserve"> מזרחי נ' כלל חברה לביטוח בע"מ</w:t>
      </w:r>
      <w:r w:rsidR="000D5FF9">
        <w:rPr>
          <w:rFonts w:hint="cs" w:ascii="Arial" w:hAnsi="Arial"/>
          <w:noProof w:val="0"/>
          <w:rtl/>
        </w:rPr>
        <w:t>, פ"ד נו(4)673).</w:t>
      </w:r>
    </w:p>
    <w:p w:rsidR="00FF74D4" w:rsidP="00536C4C" w:rsidRDefault="00FF74D4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1A5468" w:rsidP="005D2A12" w:rsidRDefault="00FF74D4">
      <w:pPr>
        <w:spacing w:line="360" w:lineRule="auto"/>
        <w:ind w:left="720" w:hanging="720"/>
        <w:jc w:val="both"/>
        <w:rPr>
          <w:rFonts w:hint="cs"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</w:r>
      <w:r w:rsidR="001A5468">
        <w:rPr>
          <w:rFonts w:hint="cs" w:ascii="Arial" w:hAnsi="Arial"/>
          <w:b/>
          <w:bCs/>
          <w:noProof w:val="0"/>
          <w:rtl/>
        </w:rPr>
        <w:t>כשירותו של המומחה</w:t>
      </w:r>
      <w:bookmarkStart w:name="_GoBack" w:id="1"/>
      <w:bookmarkEnd w:id="1"/>
    </w:p>
    <w:p w:rsidR="001A5468" w:rsidP="001A5468" w:rsidRDefault="001A5468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למקרא תשובתו של המומחה לשאלת הבהרה שנשלחה אליו ("באף שלב לא טענתי שאני  פסיכיאטר ילדים ונוער") נהיר הוא כי אינו "פסיכיאטר ילדים ונוער".</w:t>
      </w:r>
    </w:p>
    <w:p w:rsidR="001A5468" w:rsidP="005E1A1F" w:rsidRDefault="001A5468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תמימת דעים אני עם ב"כ התובעים כי במקרה דנן נכון היה למנות פסיכיאטר שהתמחותו, עיסוקו וניסיונו בטיפול ב</w:t>
      </w:r>
      <w:r w:rsidR="005E1A1F">
        <w:rPr>
          <w:rFonts w:hint="cs" w:ascii="Arial" w:hAnsi="Arial"/>
          <w:noProof w:val="0"/>
          <w:rtl/>
        </w:rPr>
        <w:t>נוער וב</w:t>
      </w:r>
      <w:r>
        <w:rPr>
          <w:rFonts w:hint="cs" w:ascii="Arial" w:hAnsi="Arial"/>
          <w:noProof w:val="0"/>
          <w:rtl/>
        </w:rPr>
        <w:t xml:space="preserve">מתבגרים, כפי שמונו נוירולוג ילדים ואורתופד ילדים, זאת מתוך הכרה בייחודיות. </w:t>
      </w:r>
    </w:p>
    <w:p w:rsidR="001A5468" w:rsidP="005D2A12" w:rsidRDefault="001A5468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1A5468" w:rsidR="001A5468" w:rsidP="005D2A12" w:rsidRDefault="001A5468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b/>
          <w:bCs/>
          <w:noProof w:val="0"/>
          <w:rtl/>
        </w:rPr>
        <w:t>התנהלותו של המומחה</w:t>
      </w:r>
    </w:p>
    <w:p w:rsidR="001A5468" w:rsidP="001A5468" w:rsidRDefault="001A5468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המומחה בדק את התובע 1 ובמועד בדיקתו מצא לקבוע לו נכות זמנית לפרק זמן של שנה.</w:t>
      </w:r>
    </w:p>
    <w:p w:rsidR="001A5468" w:rsidP="001A5468" w:rsidRDefault="001A5468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בתום השנה נדרש המומחה לשוב ולקבוע נכותו של התובע 1 ומצא לעשות כן על יסוד תיעוד רפואי שהועבר לעיונו.</w:t>
      </w:r>
    </w:p>
    <w:p w:rsidR="001A5468" w:rsidP="00512D61" w:rsidRDefault="001A5468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קביעה ממין זו לוקה, לדידי, על פניה,</w:t>
      </w:r>
      <w:r w:rsidR="00512D61">
        <w:rPr>
          <w:rFonts w:hint="cs" w:ascii="Arial" w:hAnsi="Arial"/>
          <w:noProof w:val="0"/>
          <w:rtl/>
        </w:rPr>
        <w:t xml:space="preserve"> בחסר ונוטלת ממשקלה של חוות הדעת</w:t>
      </w:r>
      <w:r>
        <w:rPr>
          <w:rFonts w:hint="cs" w:ascii="Arial" w:hAnsi="Arial"/>
          <w:noProof w:val="0"/>
          <w:rtl/>
        </w:rPr>
        <w:t>.</w:t>
      </w:r>
    </w:p>
    <w:p w:rsidR="001A5468" w:rsidP="001A5468" w:rsidRDefault="001A5468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המומחה היה לעמוד בתוקף על קיומה של בדיקה </w:t>
      </w:r>
      <w:r w:rsidR="00512D61">
        <w:rPr>
          <w:rFonts w:hint="cs" w:ascii="Arial" w:hAnsi="Arial"/>
          <w:noProof w:val="0"/>
          <w:rtl/>
        </w:rPr>
        <w:t xml:space="preserve">(לא הוברר לפניי עד תום מדוע לא תקיימה בדיקה) </w:t>
      </w:r>
      <w:r>
        <w:rPr>
          <w:rFonts w:hint="cs" w:ascii="Arial" w:hAnsi="Arial"/>
          <w:noProof w:val="0"/>
          <w:rtl/>
        </w:rPr>
        <w:t xml:space="preserve">בטרם ישוב ויחווה דעתו בענין שיעור נכותו של התובע 1.  </w:t>
      </w:r>
    </w:p>
    <w:p w:rsidR="001A5468" w:rsidP="005D2A12" w:rsidRDefault="001A5468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4D467F" w:rsidP="007D663C" w:rsidRDefault="001A5468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7.</w:t>
      </w:r>
      <w:r>
        <w:rPr>
          <w:rFonts w:hint="cs" w:ascii="Arial" w:hAnsi="Arial"/>
          <w:noProof w:val="0"/>
          <w:rtl/>
        </w:rPr>
        <w:tab/>
        <w:t>בהינתן האמור לעיל</w:t>
      </w:r>
      <w:r w:rsidR="004D467F">
        <w:rPr>
          <w:rFonts w:hint="cs" w:ascii="Arial" w:hAnsi="Arial"/>
          <w:noProof w:val="0"/>
          <w:rtl/>
        </w:rPr>
        <w:t xml:space="preserve">, סבורה אני כי </w:t>
      </w:r>
      <w:r w:rsidR="008A5696">
        <w:rPr>
          <w:rFonts w:hint="cs" w:ascii="Arial" w:hAnsi="Arial"/>
          <w:noProof w:val="0"/>
          <w:rtl/>
        </w:rPr>
        <w:t xml:space="preserve">ניתן </w:t>
      </w:r>
      <w:r w:rsidRPr="008A5696" w:rsidR="008A5696">
        <w:rPr>
          <w:rFonts w:hint="cs" w:ascii="Arial" w:hAnsi="Arial"/>
          <w:noProof w:val="0"/>
          <w:u w:val="single"/>
          <w:rtl/>
        </w:rPr>
        <w:t>כבר בעת הזו</w:t>
      </w:r>
      <w:r w:rsidR="008A5696">
        <w:rPr>
          <w:rFonts w:hint="cs" w:ascii="Arial" w:hAnsi="Arial"/>
          <w:noProof w:val="0"/>
          <w:rtl/>
        </w:rPr>
        <w:t xml:space="preserve"> לעמוד על הקושי להכריע בסופו של יום על </w:t>
      </w:r>
      <w:r w:rsidR="006366F2">
        <w:rPr>
          <w:rFonts w:hint="cs" w:ascii="Arial" w:hAnsi="Arial"/>
          <w:noProof w:val="0"/>
          <w:rtl/>
        </w:rPr>
        <w:t>יסוד</w:t>
      </w:r>
      <w:r w:rsidR="008A5696">
        <w:rPr>
          <w:rFonts w:hint="cs" w:ascii="Arial" w:hAnsi="Arial"/>
          <w:noProof w:val="0"/>
          <w:rtl/>
        </w:rPr>
        <w:t xml:space="preserve"> חוות דעתו של המומחה</w:t>
      </w:r>
      <w:r w:rsidR="004D467F">
        <w:rPr>
          <w:rFonts w:hint="cs" w:ascii="Arial" w:hAnsi="Arial"/>
          <w:noProof w:val="0"/>
          <w:rtl/>
        </w:rPr>
        <w:t xml:space="preserve"> ומשכך </w:t>
      </w:r>
      <w:r w:rsidR="00512D61">
        <w:rPr>
          <w:rFonts w:hint="cs" w:ascii="Arial" w:hAnsi="Arial"/>
          <w:noProof w:val="0"/>
          <w:rtl/>
        </w:rPr>
        <w:t xml:space="preserve">דומה עלי כי </w:t>
      </w:r>
      <w:r w:rsidR="004D467F">
        <w:rPr>
          <w:rFonts w:hint="cs" w:ascii="Arial" w:hAnsi="Arial"/>
          <w:noProof w:val="0"/>
          <w:rtl/>
        </w:rPr>
        <w:t>נכון הוא ל</w:t>
      </w:r>
      <w:r w:rsidR="007D663C">
        <w:rPr>
          <w:rFonts w:hint="cs" w:ascii="Arial" w:hAnsi="Arial"/>
          <w:noProof w:val="0"/>
          <w:rtl/>
        </w:rPr>
        <w:t>הורות על מינויו של</w:t>
      </w:r>
      <w:r w:rsidR="004D467F">
        <w:rPr>
          <w:rFonts w:hint="cs" w:ascii="Arial" w:hAnsi="Arial"/>
          <w:noProof w:val="0"/>
          <w:rtl/>
        </w:rPr>
        <w:t xml:space="preserve"> מומחה פסיכ</w:t>
      </w:r>
      <w:r w:rsidR="007D663C">
        <w:rPr>
          <w:rFonts w:hint="cs" w:ascii="Arial" w:hAnsi="Arial"/>
          <w:noProof w:val="0"/>
          <w:rtl/>
        </w:rPr>
        <w:t>י</w:t>
      </w:r>
      <w:r w:rsidR="004D467F">
        <w:rPr>
          <w:rFonts w:hint="cs" w:ascii="Arial" w:hAnsi="Arial"/>
          <w:noProof w:val="0"/>
          <w:rtl/>
        </w:rPr>
        <w:t>אטרי נוסף</w:t>
      </w:r>
      <w:r w:rsidR="008A5696">
        <w:rPr>
          <w:rFonts w:hint="cs" w:ascii="Arial" w:hAnsi="Arial"/>
          <w:noProof w:val="0"/>
          <w:rtl/>
        </w:rPr>
        <w:t xml:space="preserve">, </w:t>
      </w:r>
      <w:r w:rsidR="004D467F">
        <w:rPr>
          <w:rFonts w:hint="cs" w:ascii="Arial" w:hAnsi="Arial"/>
          <w:noProof w:val="0"/>
          <w:rtl/>
        </w:rPr>
        <w:t>אשר חוות דעתו</w:t>
      </w:r>
      <w:r w:rsidR="007D663C">
        <w:rPr>
          <w:rFonts w:hint="cs" w:ascii="Arial" w:hAnsi="Arial"/>
          <w:noProof w:val="0"/>
          <w:rtl/>
        </w:rPr>
        <w:t xml:space="preserve"> תונח מלפני בית המשפט והצדדים לצד חוות דעתו של המומחה.</w:t>
      </w:r>
      <w:r w:rsidR="004D467F">
        <w:rPr>
          <w:rFonts w:hint="cs" w:ascii="Arial" w:hAnsi="Arial"/>
          <w:noProof w:val="0"/>
          <w:rtl/>
        </w:rPr>
        <w:t xml:space="preserve"> </w:t>
      </w:r>
    </w:p>
    <w:p w:rsidR="004D467F" w:rsidP="00512D61" w:rsidRDefault="004D467F">
      <w:pPr>
        <w:spacing w:line="360" w:lineRule="auto"/>
        <w:ind w:left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 מצאתי כי </w:t>
      </w:r>
      <w:r w:rsidR="00512D61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נסיבות שלפניי </w:t>
      </w:r>
      <w:r w:rsidR="00512D61">
        <w:rPr>
          <w:rFonts w:hint="cs" w:ascii="Arial" w:hAnsi="Arial"/>
          <w:noProof w:val="0"/>
          <w:rtl/>
        </w:rPr>
        <w:t>מצדיקות או מחייבות</w:t>
      </w:r>
      <w:r>
        <w:rPr>
          <w:rFonts w:hint="cs" w:ascii="Arial" w:hAnsi="Arial"/>
          <w:noProof w:val="0"/>
          <w:rtl/>
        </w:rPr>
        <w:t xml:space="preserve"> לנקוט בצעד הקיצוני של פסילת חוות הדעת.</w:t>
      </w:r>
    </w:p>
    <w:p w:rsidR="004D467F" w:rsidP="004D467F" w:rsidRDefault="004D467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</w:p>
    <w:p w:rsidR="00DB738F" w:rsidP="007D663C" w:rsidRDefault="004D467F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8.</w:t>
      </w:r>
      <w:r>
        <w:rPr>
          <w:rFonts w:hint="cs" w:ascii="Arial" w:hAnsi="Arial"/>
          <w:noProof w:val="0"/>
          <w:rtl/>
        </w:rPr>
        <w:tab/>
      </w:r>
      <w:r w:rsidR="007D663C">
        <w:rPr>
          <w:rFonts w:hint="cs" w:ascii="Arial" w:hAnsi="Arial"/>
          <w:noProof w:val="0"/>
          <w:rtl/>
        </w:rPr>
        <w:t xml:space="preserve">לפיכך מורה אני על מינויו של </w:t>
      </w:r>
      <w:r w:rsidR="007D663C">
        <w:rPr>
          <w:rFonts w:hint="cs" w:ascii="Arial" w:hAnsi="Arial"/>
          <w:b/>
          <w:bCs/>
          <w:noProof w:val="0"/>
          <w:rtl/>
        </w:rPr>
        <w:t xml:space="preserve">פרופ' גיל </w:t>
      </w:r>
      <w:r w:rsidRPr="00DB738F" w:rsidR="007D663C">
        <w:rPr>
          <w:rFonts w:hint="cs" w:ascii="Arial" w:hAnsi="Arial"/>
          <w:b/>
          <w:bCs/>
          <w:noProof w:val="0"/>
          <w:rtl/>
        </w:rPr>
        <w:t>זלצמן</w:t>
      </w:r>
      <w:r w:rsidR="007D663C">
        <w:rPr>
          <w:rFonts w:hint="cs" w:ascii="Arial" w:hAnsi="Arial"/>
          <w:noProof w:val="0"/>
          <w:rtl/>
        </w:rPr>
        <w:t xml:space="preserve">, מנהל המרכז </w:t>
      </w:r>
      <w:r w:rsidR="00DB738F">
        <w:rPr>
          <w:rFonts w:hint="cs" w:ascii="Arial" w:hAnsi="Arial"/>
          <w:noProof w:val="0"/>
          <w:rtl/>
        </w:rPr>
        <w:t>לבריאות הנפש גהה</w:t>
      </w:r>
      <w:r w:rsidR="005E1A1F">
        <w:rPr>
          <w:rFonts w:hint="cs" w:ascii="Arial" w:hAnsi="Arial"/>
          <w:noProof w:val="0"/>
          <w:rtl/>
        </w:rPr>
        <w:t xml:space="preserve">, כמומחה </w:t>
      </w:r>
      <w:r w:rsidR="00512D61">
        <w:rPr>
          <w:rFonts w:hint="cs" w:ascii="Arial" w:hAnsi="Arial"/>
          <w:noProof w:val="0"/>
          <w:rtl/>
        </w:rPr>
        <w:t>מטעם בית המשפט</w:t>
      </w:r>
      <w:r w:rsidR="00DB738F">
        <w:rPr>
          <w:rFonts w:hint="cs" w:ascii="Arial" w:hAnsi="Arial"/>
          <w:noProof w:val="0"/>
          <w:rtl/>
        </w:rPr>
        <w:t>.</w:t>
      </w:r>
    </w:p>
    <w:p w:rsidR="00FF74D4" w:rsidP="00DB738F" w:rsidRDefault="004D467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7D663C">
        <w:rPr>
          <w:rFonts w:hint="cs" w:ascii="Arial" w:hAnsi="Arial"/>
          <w:noProof w:val="0"/>
          <w:rtl/>
        </w:rPr>
        <w:t>המומחה</w:t>
      </w:r>
      <w:r>
        <w:rPr>
          <w:rFonts w:hint="cs" w:ascii="Arial" w:hAnsi="Arial"/>
          <w:noProof w:val="0"/>
          <w:rtl/>
        </w:rPr>
        <w:t xml:space="preserve"> </w:t>
      </w:r>
      <w:r w:rsidR="00DB738F">
        <w:rPr>
          <w:rFonts w:hint="cs" w:ascii="Arial" w:hAnsi="Arial"/>
          <w:noProof w:val="0"/>
          <w:rtl/>
        </w:rPr>
        <w:t>נדרש</w:t>
      </w:r>
      <w:r w:rsidR="007D663C">
        <w:rPr>
          <w:rFonts w:hint="cs" w:ascii="Arial" w:hAnsi="Arial"/>
          <w:noProof w:val="0"/>
          <w:rtl/>
        </w:rPr>
        <w:t xml:space="preserve"> לבדוק את התובע, לעיין בחומר הרפואי שיועבר על ידי באי כוח הצדדים, </w:t>
      </w:r>
      <w:r w:rsidRPr="00DB738F" w:rsidR="007D663C">
        <w:rPr>
          <w:rFonts w:hint="cs" w:ascii="Arial" w:hAnsi="Arial"/>
          <w:noProof w:val="0"/>
          <w:u w:val="single"/>
          <w:rtl/>
        </w:rPr>
        <w:t>למעט</w:t>
      </w:r>
      <w:r w:rsidR="007D663C">
        <w:rPr>
          <w:rFonts w:hint="cs" w:ascii="Arial" w:hAnsi="Arial"/>
          <w:noProof w:val="0"/>
          <w:rtl/>
        </w:rPr>
        <w:t xml:space="preserve"> חוות דעת רפואיות שנערכו שלא במסגרת ה</w:t>
      </w:r>
      <w:r w:rsidR="00DB738F">
        <w:rPr>
          <w:rFonts w:hint="cs" w:ascii="Arial" w:hAnsi="Arial"/>
          <w:noProof w:val="0"/>
          <w:rtl/>
        </w:rPr>
        <w:t>ליך זה</w:t>
      </w:r>
      <w:r w:rsidR="007D663C">
        <w:rPr>
          <w:rFonts w:hint="cs" w:ascii="Arial" w:hAnsi="Arial"/>
          <w:noProof w:val="0"/>
          <w:rtl/>
        </w:rPr>
        <w:t>, כמו גם חוות דעת רפו</w:t>
      </w:r>
      <w:r w:rsidR="00DB738F">
        <w:rPr>
          <w:rFonts w:hint="cs" w:ascii="Arial" w:hAnsi="Arial"/>
          <w:noProof w:val="0"/>
          <w:rtl/>
        </w:rPr>
        <w:t>א</w:t>
      </w:r>
      <w:r w:rsidR="007D663C">
        <w:rPr>
          <w:rFonts w:hint="cs" w:ascii="Arial" w:hAnsi="Arial"/>
          <w:noProof w:val="0"/>
          <w:rtl/>
        </w:rPr>
        <w:t xml:space="preserve">יות שניתנו על ידי המומחים שמונו </w:t>
      </w:r>
      <w:r w:rsidR="00DB738F">
        <w:rPr>
          <w:rFonts w:hint="cs" w:ascii="Arial" w:hAnsi="Arial"/>
          <w:noProof w:val="0"/>
          <w:rtl/>
        </w:rPr>
        <w:t xml:space="preserve">בהליך זה </w:t>
      </w:r>
      <w:r w:rsidR="007D663C">
        <w:rPr>
          <w:rFonts w:hint="cs" w:ascii="Arial" w:hAnsi="Arial"/>
          <w:noProof w:val="0"/>
          <w:rtl/>
        </w:rPr>
        <w:t xml:space="preserve">ובהן קביעות בתחום הנפשי, כל זאת </w:t>
      </w:r>
      <w:r w:rsidR="00DB738F">
        <w:rPr>
          <w:rFonts w:hint="cs" w:ascii="Arial" w:hAnsi="Arial"/>
          <w:noProof w:val="0"/>
          <w:rtl/>
        </w:rPr>
        <w:t xml:space="preserve">על מנת </w:t>
      </w:r>
      <w:r w:rsidR="007D663C">
        <w:rPr>
          <w:rFonts w:hint="cs" w:ascii="Arial" w:hAnsi="Arial"/>
          <w:noProof w:val="0"/>
          <w:rtl/>
        </w:rPr>
        <w:t>שלא לגרוע או לפ</w:t>
      </w:r>
      <w:r w:rsidR="00DB738F">
        <w:rPr>
          <w:rFonts w:hint="cs" w:ascii="Arial" w:hAnsi="Arial"/>
          <w:noProof w:val="0"/>
          <w:rtl/>
        </w:rPr>
        <w:t>גוע בשיקול דעתו של המומחה.</w:t>
      </w:r>
    </w:p>
    <w:p w:rsidR="00DB738F" w:rsidP="00DB738F" w:rsidRDefault="00DB738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החלטת מינוי תינתן בנפרד.</w:t>
      </w:r>
    </w:p>
    <w:p w:rsidR="00DB738F" w:rsidP="00DB738F" w:rsidRDefault="00DB738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</w:p>
    <w:p w:rsidRPr="00512D61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12D61">
        <w:rPr>
          <w:rFonts w:ascii="Arial" w:hAnsi="Arial"/>
          <w:b/>
          <w:bCs/>
          <w:noProof w:val="0"/>
          <w:rtl/>
        </w:rPr>
        <w:t>נית</w:t>
      </w:r>
      <w:r w:rsidRPr="00512D61">
        <w:rPr>
          <w:rFonts w:hint="cs" w:ascii="Arial" w:hAnsi="Arial"/>
          <w:b/>
          <w:bCs/>
          <w:noProof w:val="0"/>
          <w:rtl/>
        </w:rPr>
        <w:t>נה</w:t>
      </w:r>
      <w:r w:rsidRPr="00512D61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512D61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="00512D61">
        <w:rPr>
          <w:rFonts w:ascii="Arial" w:hAnsi="Arial"/>
          <w:b/>
          <w:bCs/>
          <w:noProof w:val="0"/>
          <w:rtl/>
        </w:rPr>
        <w:t>, בהעדר הצדדים</w:t>
      </w:r>
    </w:p>
    <w:p w:rsidR="00C43648" w:rsidP="00BD6531" w:rsidRDefault="004061C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8196" cy="10881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eb2404fd1344c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196" cy="108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77B" w:rsidRDefault="00D2777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061CC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061CC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77B" w:rsidRDefault="00D277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77B" w:rsidRDefault="00D2777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2777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4061C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66735-03-15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עומר ואח' נ' גאנם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77B" w:rsidRDefault="00D277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B3B36"/>
    <w:rsid w:val="000C3B0F"/>
    <w:rsid w:val="000C3B60"/>
    <w:rsid w:val="000D0B57"/>
    <w:rsid w:val="000D5FF9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5468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061CC"/>
    <w:rsid w:val="00414F1F"/>
    <w:rsid w:val="0043125D"/>
    <w:rsid w:val="0043502B"/>
    <w:rsid w:val="004443AC"/>
    <w:rsid w:val="00447C9E"/>
    <w:rsid w:val="00451E28"/>
    <w:rsid w:val="00462C62"/>
    <w:rsid w:val="00465D36"/>
    <w:rsid w:val="004C17EE"/>
    <w:rsid w:val="004C4BDF"/>
    <w:rsid w:val="004D1187"/>
    <w:rsid w:val="004D3AA0"/>
    <w:rsid w:val="004D467F"/>
    <w:rsid w:val="004E1987"/>
    <w:rsid w:val="004E2E15"/>
    <w:rsid w:val="004E6E3C"/>
    <w:rsid w:val="00501893"/>
    <w:rsid w:val="00512D61"/>
    <w:rsid w:val="00520898"/>
    <w:rsid w:val="00523621"/>
    <w:rsid w:val="00524986"/>
    <w:rsid w:val="005268F6"/>
    <w:rsid w:val="00534284"/>
    <w:rsid w:val="00536C4C"/>
    <w:rsid w:val="0054494A"/>
    <w:rsid w:val="00547DB7"/>
    <w:rsid w:val="00553142"/>
    <w:rsid w:val="005D2A12"/>
    <w:rsid w:val="005E1A1F"/>
    <w:rsid w:val="005F32FF"/>
    <w:rsid w:val="005F4F09"/>
    <w:rsid w:val="0061431B"/>
    <w:rsid w:val="00617CEE"/>
    <w:rsid w:val="00622BAA"/>
    <w:rsid w:val="006306CF"/>
    <w:rsid w:val="006366F2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D663C"/>
    <w:rsid w:val="007E6115"/>
    <w:rsid w:val="007E7438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A1AA4"/>
    <w:rsid w:val="008A5696"/>
    <w:rsid w:val="008C197F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CF54BC"/>
    <w:rsid w:val="00D2777B"/>
    <w:rsid w:val="00D27982"/>
    <w:rsid w:val="00D33B86"/>
    <w:rsid w:val="00D53924"/>
    <w:rsid w:val="00D55D0C"/>
    <w:rsid w:val="00D627CF"/>
    <w:rsid w:val="00D74378"/>
    <w:rsid w:val="00D96D8C"/>
    <w:rsid w:val="00DA6649"/>
    <w:rsid w:val="00DB738F"/>
    <w:rsid w:val="00DC1259"/>
    <w:rsid w:val="00DC1BD2"/>
    <w:rsid w:val="00DC2571"/>
    <w:rsid w:val="00DC487C"/>
    <w:rsid w:val="00DE6BF6"/>
    <w:rsid w:val="00E1068A"/>
    <w:rsid w:val="00E14DAF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678771C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1eb2404fd1344c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602</Words>
  <Characters>3015</Characters>
  <Application>Microsoft Office Word</Application>
  <DocSecurity>0</DocSecurity>
  <Lines>25</Lines>
  <Paragraphs>7</Paragraphs>
  <ScaleCrop>false</ScaleCrop>
  <Company>Microsoft Corporation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שלומית יעקובוביץ</cp:lastModifiedBy>
  <cp:revision>142</cp:revision>
  <dcterms:created xsi:type="dcterms:W3CDTF">2012-08-06T05:16:00Z</dcterms:created>
  <dcterms:modified xsi:type="dcterms:W3CDTF">2018-04-11T09:24:00Z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