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מצא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603F" w:rsidP="00FC46E2" w:rsidRDefault="00FC46E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8D20F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D20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C46E2" w:rsidRDefault="008D20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C46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C46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D20F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אסעד פנאדכה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2603F" w:rsidRDefault="0012603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2603F" w:rsidRDefault="0012603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2603F" w:rsidRDefault="0012603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C46E2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bookmarkStart w:name="NGCSBookmark" w:id="0"/>
      <w:bookmarkEnd w:id="0"/>
      <w:r>
        <w:rPr>
          <w:rFonts w:hint="cs" w:ascii="Arial" w:hAnsi="Arial" w:eastAsia="Arial Unicode MS"/>
          <w:noProof w:val="0"/>
          <w:sz w:val="26"/>
          <w:szCs w:val="26"/>
          <w:rtl/>
        </w:rPr>
        <w:t>התביעה הועברה לדיון בפניי.</w:t>
      </w:r>
    </w:p>
    <w:p w:rsidR="00FC46E2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noProof w:val="0"/>
          <w:sz w:val="26"/>
          <w:szCs w:val="26"/>
          <w:rtl/>
        </w:rPr>
        <w:t>כתב הגנה הוגש ביום 9.4.2018.</w:t>
      </w:r>
    </w:p>
    <w:p w:rsidR="00FC46E2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 xml:space="preserve">הצדדים יפעלו בהתאם להוראות תקנה 214ט' לתקנות סדר הדין האזרחי התשמ"ד-1984. </w:t>
      </w:r>
      <w:r>
        <w:rPr>
          <w:rFonts w:hint="cs" w:ascii="Arial" w:hAnsi="Arial" w:eastAsia="Arial Unicode MS"/>
          <w:noProof w:val="0"/>
          <w:sz w:val="26"/>
          <w:szCs w:val="26"/>
          <w:rtl/>
        </w:rPr>
        <w:t>אין צורך להגיש תצהירי נהגים.</w:t>
      </w:r>
    </w:p>
    <w:p w:rsidR="00FC46E2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 xml:space="preserve">אני קובעת את התיק להוכחות וסיכומים בעל-פה </w:t>
      </w:r>
      <w:r>
        <w:rPr>
          <w:rFonts w:hint="cs" w:ascii="Arial" w:hAnsi="Arial" w:eastAsia="Arial Unicode MS"/>
          <w:b/>
          <w:bCs/>
          <w:sz w:val="26"/>
          <w:szCs w:val="26"/>
          <w:u w:val="single"/>
          <w:rtl/>
        </w:rPr>
        <w:t>ביום 11.10.2018 שעה 11:30.</w:t>
      </w:r>
    </w:p>
    <w:p w:rsidR="00FC46E2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>הצדדים ידאגו לזימון עדיהם. לא תישמע בקשה לביטול דיון בשל אי הופעתו של עד שלא זומן על-ידי בית המשפט. עד שאינו בשליטה, תוגש בקשה לזימונו ללא תצהיר.</w:t>
      </w:r>
    </w:p>
    <w:p w:rsidRPr="00FC46E2" w:rsidR="00694556" w:rsidP="00FC46E2" w:rsidRDefault="00FC46E2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 Unicode MS" w:hAnsi="Arial Unicode MS" w:eastAsia="Arial Unicode MS"/>
          <w:sz w:val="26"/>
          <w:szCs w:val="26"/>
          <w:rtl/>
        </w:rPr>
      </w:pPr>
      <w:r>
        <w:rPr>
          <w:rFonts w:hint="cs" w:ascii="Arial Unicode MS" w:hAnsi="Arial Unicode MS" w:eastAsia="Arial Unicode MS"/>
          <w:b/>
          <w:bCs/>
          <w:sz w:val="26"/>
          <w:szCs w:val="26"/>
          <w:u w:val="single"/>
          <w:rtl/>
        </w:rPr>
        <w:t>המזכירות תמציא החלטה זו לב"כ הצדדים בדואר רשום</w:t>
      </w:r>
      <w:r>
        <w:rPr>
          <w:rFonts w:hint="cs" w:ascii="Arial Unicode MS" w:hAnsi="Arial Unicode MS" w:eastAsia="Arial Unicode MS"/>
          <w:sz w:val="26"/>
          <w:szCs w:val="26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20F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fbce507c264e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FC46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2" w:rsidRDefault="00FC46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20F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20F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2" w:rsidRDefault="00FC46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2" w:rsidRDefault="00FC46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46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D20F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62301-12-17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הפניקס חברה לביטוח בע"מ נ' פנאדכה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2" w:rsidRDefault="00FC46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B58D5"/>
    <w:multiLevelType w:val="hybridMultilevel"/>
    <w:tmpl w:val="D2E0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603F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D20FC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46E2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805912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bfbce507c264eb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26AB" w:rsidP="00A026A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026AB" w:rsidP="00A026A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26AB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6A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26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026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</Words>
  <Characters>534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116</cp:revision>
  <dcterms:created xsi:type="dcterms:W3CDTF">2012-08-06T05:16:00Z</dcterms:created>
  <dcterms:modified xsi:type="dcterms:W3CDTF">2018-04-11T13:01:00Z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