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FA4EAF" w:rsidR="0094424E">
        <w:trPr>
          <w:jc w:val="center"/>
        </w:trPr>
        <w:tc>
          <w:tcPr>
            <w:tcW w:w="743" w:type="dxa"/>
          </w:tcPr>
          <w:p w:rsidRPr="00FA4EAF" w:rsidR="0094424E" w:rsidP="00E962E3" w:rsidRDefault="00D74378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FA4EAF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FA4EAF" w:rsidR="0094424E" w:rsidRDefault="000529D2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</w:t>
            </w:r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אביגיל כהן</w:t>
                </w:r>
              </w:sdtContent>
            </w:sdt>
          </w:p>
          <w:p w:rsidRPr="00FA4EAF" w:rsidR="0094424E" w:rsidRDefault="0094424E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FA4EAF" w:rsidR="0094424E" w:rsidTr="00465D36">
        <w:trPr>
          <w:jc w:val="center"/>
        </w:trPr>
        <w:tc>
          <w:tcPr>
            <w:tcW w:w="3249" w:type="dxa"/>
            <w:gridSpan w:val="2"/>
          </w:tcPr>
          <w:p w:rsidRPr="00FA4EAF"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346F2" w:rsidRDefault="000A4F04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D81E7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0A4F04" w:rsidR="0094424E" w:rsidP="000A4F04" w:rsidRDefault="00C85DC5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רוזה נינה בקרמן</w:t>
                </w:r>
              </w:sdtContent>
            </w:sdt>
          </w:p>
          <w:p w:rsidRPr="000A4F04" w:rsidR="0094424E" w:rsidP="000A4F04" w:rsidRDefault="00C85DC5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-1330363361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545142099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שלמה חריר</w:t>
                </w:r>
              </w:sdtContent>
            </w:sdt>
          </w:p>
          <w:p w:rsidR="003763AB" w:rsidRDefault="00C85DC5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605929267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Pr="00FA4EAF"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112640997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יסכה חריר</w:t>
                </w:r>
              </w:sdtContent>
            </w:sdt>
          </w:p>
          <w:p w:rsidRPr="000A4F04" w:rsidR="0094424E" w:rsidRDefault="001D3441">
            <w:pPr>
              <w:rPr>
                <w:noProof w:val="0"/>
                <w:sz w:val="26"/>
              </w:rPr>
            </w:pPr>
            <w:r w:rsidRPr="000A4F04">
              <w:rPr>
                <w:rFonts w:hint="cs"/>
                <w:sz w:val="26"/>
                <w:rtl/>
              </w:rPr>
              <w:t>ע"י ב"כ עו"ד</w:t>
            </w:r>
            <w:r w:rsidRPr="000A4F04" w:rsidR="000A4F04">
              <w:rPr>
                <w:rFonts w:hint="cs"/>
                <w:b/>
                <w:bCs/>
                <w:noProof w:val="0"/>
                <w:sz w:val="26"/>
                <w:rtl/>
              </w:rPr>
              <w:t xml:space="preserve"> </w:t>
            </w:r>
            <w:r w:rsidRPr="000A4F04" w:rsidR="000A4F04">
              <w:rPr>
                <w:rFonts w:hint="cs"/>
                <w:noProof w:val="0"/>
                <w:sz w:val="26"/>
                <w:rtl/>
              </w:rPr>
              <w:t>ניר יסלוביץ</w:t>
            </w:r>
          </w:p>
        </w:tc>
      </w:tr>
      <w:tr w:rsidRPr="00FA4EAF" w:rsidR="0094424E">
        <w:trPr>
          <w:jc w:val="center"/>
        </w:trPr>
        <w:tc>
          <w:tcPr>
            <w:tcW w:w="8820" w:type="dxa"/>
            <w:gridSpan w:val="3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P="000A4F04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</w:tc>
      </w:tr>
      <w:tr w:rsidRPr="00FA4EAF" w:rsidR="0094424E">
        <w:trPr>
          <w:jc w:val="center"/>
        </w:trPr>
        <w:tc>
          <w:tcPr>
            <w:tcW w:w="3249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RDefault="00C85DC5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0A4F0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Pr="000A4F04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rtl/>
              </w:rPr>
            </w:pPr>
          </w:p>
          <w:p w:rsidRPr="000A4F04" w:rsidR="003763AB" w:rsidRDefault="00C85DC5">
            <w:pPr>
              <w:rPr>
                <w:sz w:val="26"/>
                <w:rtl/>
              </w:rPr>
            </w:pPr>
            <w:sdt>
              <w:sdtPr>
                <w:rPr>
                  <w:sz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Pr="000A4F04" w:rsidR="00B95A71">
                  <w:rPr>
                    <w:rFonts w:ascii="Arial" w:hAnsi="Arial"/>
                    <w:b/>
                    <w:bCs/>
                    <w:noProof w:val="0"/>
                    <w:sz w:val="26"/>
                    <w:rtl/>
                  </w:rPr>
                  <w:t>1</w:t>
                </w:r>
              </w:sdtContent>
            </w:sdt>
            <w:r w:rsidRPr="000A4F04" w:rsidR="0094424E">
              <w:rPr>
                <w:rFonts w:ascii="Arial" w:hAnsi="Arial"/>
                <w:b/>
                <w:bCs/>
                <w:noProof w:val="0"/>
                <w:sz w:val="26"/>
                <w:rtl/>
              </w:rPr>
              <w:t>.</w:t>
            </w:r>
            <w:r w:rsidRPr="000A4F04" w:rsidR="0094424E">
              <w:rPr>
                <w:rFonts w:hint="cs" w:ascii="Arial" w:hAnsi="Arial"/>
                <w:b/>
                <w:bCs/>
                <w:noProof w:val="0"/>
                <w:sz w:val="26"/>
                <w:rtl/>
              </w:rPr>
              <w:t xml:space="preserve"> </w:t>
            </w:r>
            <w:sdt>
              <w:sdtPr>
                <w:rPr>
                  <w:sz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0A4F04" w:rsidR="00B95A71">
                  <w:rPr>
                    <w:rFonts w:ascii="Arial" w:hAnsi="Arial"/>
                    <w:b/>
                    <w:bCs/>
                    <w:noProof w:val="0"/>
                    <w:sz w:val="26"/>
                    <w:rtl/>
                  </w:rPr>
                  <w:t>מירה שוחט</w:t>
                </w:r>
              </w:sdtContent>
            </w:sdt>
          </w:p>
          <w:p w:rsidRPr="000A4F04" w:rsidR="0094424E" w:rsidRDefault="001D3441">
            <w:pPr>
              <w:rPr>
                <w:noProof w:val="0"/>
                <w:sz w:val="26"/>
                <w:rtl/>
              </w:rPr>
            </w:pPr>
            <w:r w:rsidRPr="000A4F04">
              <w:rPr>
                <w:rFonts w:hint="cs"/>
                <w:sz w:val="26"/>
                <w:rtl/>
              </w:rPr>
              <w:t>ע"י ב"כ עו"ד</w:t>
            </w:r>
            <w:r w:rsidRPr="000A4F04" w:rsidR="000A4F04">
              <w:rPr>
                <w:rFonts w:hint="cs"/>
                <w:b/>
                <w:bCs/>
                <w:noProof w:val="0"/>
                <w:sz w:val="26"/>
                <w:rtl/>
              </w:rPr>
              <w:t xml:space="preserve"> </w:t>
            </w:r>
            <w:r w:rsidRPr="000A4F04" w:rsidR="000A4F04">
              <w:rPr>
                <w:rFonts w:hint="cs"/>
                <w:noProof w:val="0"/>
                <w:sz w:val="26"/>
                <w:rtl/>
              </w:rPr>
              <w:t>צבי שוב</w:t>
            </w:r>
          </w:p>
          <w:p w:rsidRPr="000A4F04" w:rsidR="000A4F04" w:rsidRDefault="000A4F04">
            <w:pPr>
              <w:rPr>
                <w:noProof w:val="0"/>
                <w:sz w:val="26"/>
                <w:rtl/>
              </w:rPr>
            </w:pPr>
          </w:p>
          <w:p w:rsidRPr="000A4F04" w:rsidR="003763AB" w:rsidRDefault="00C85DC5">
            <w:pPr>
              <w:rPr>
                <w:sz w:val="26"/>
                <w:rtl/>
              </w:rPr>
            </w:pPr>
            <w:sdt>
              <w:sdtPr>
                <w:rPr>
                  <w:sz w:val="26"/>
                  <w:rtl/>
                </w:rPr>
                <w:alias w:val="1571"/>
                <w:tag w:val="1571"/>
                <w:id w:val="1508631908"/>
                <w:text w:multiLine="1"/>
              </w:sdtPr>
              <w:sdtEndPr/>
              <w:sdtContent>
                <w:r w:rsidRPr="000A4F04" w:rsidR="00B95A71">
                  <w:rPr>
                    <w:rFonts w:ascii="Arial" w:hAnsi="Arial"/>
                    <w:b/>
                    <w:bCs/>
                    <w:noProof w:val="0"/>
                    <w:sz w:val="26"/>
                    <w:rtl/>
                  </w:rPr>
                  <w:t>2</w:t>
                </w:r>
              </w:sdtContent>
            </w:sdt>
            <w:r w:rsidRPr="000A4F04" w:rsidR="0094424E">
              <w:rPr>
                <w:rFonts w:ascii="Arial" w:hAnsi="Arial"/>
                <w:b/>
                <w:bCs/>
                <w:noProof w:val="0"/>
                <w:sz w:val="26"/>
                <w:rtl/>
              </w:rPr>
              <w:t>.</w:t>
            </w:r>
            <w:r w:rsidRPr="000A4F04" w:rsidR="0094424E">
              <w:rPr>
                <w:rFonts w:hint="cs" w:ascii="Arial" w:hAnsi="Arial"/>
                <w:b/>
                <w:bCs/>
                <w:noProof w:val="0"/>
                <w:sz w:val="26"/>
                <w:rtl/>
              </w:rPr>
              <w:t xml:space="preserve"> </w:t>
            </w:r>
            <w:sdt>
              <w:sdtPr>
                <w:rPr>
                  <w:sz w:val="26"/>
                  <w:rtl/>
                </w:rPr>
                <w:alias w:val="1486"/>
                <w:tag w:val="1486"/>
                <w:id w:val="-1610728993"/>
                <w:text w:multiLine="1"/>
              </w:sdtPr>
              <w:sdtEndPr/>
              <w:sdtContent>
                <w:r w:rsidRPr="000A4F04" w:rsidR="00B95A71">
                  <w:rPr>
                    <w:rFonts w:ascii="Arial" w:hAnsi="Arial"/>
                    <w:b/>
                    <w:bCs/>
                    <w:noProof w:val="0"/>
                    <w:sz w:val="26"/>
                    <w:rtl/>
                  </w:rPr>
                  <w:t>סטרו בלימה</w:t>
                </w:r>
              </w:sdtContent>
            </w:sdt>
          </w:p>
          <w:p w:rsidRPr="000A4F04" w:rsidR="000A4F04" w:rsidRDefault="00C85DC5">
            <w:pPr>
              <w:rPr>
                <w:rFonts w:ascii="Arial" w:hAnsi="Arial"/>
                <w:b/>
                <w:bCs/>
                <w:noProof w:val="0"/>
                <w:sz w:val="26"/>
                <w:rtl/>
              </w:rPr>
            </w:pPr>
            <w:sdt>
              <w:sdtPr>
                <w:rPr>
                  <w:sz w:val="26"/>
                  <w:rtl/>
                </w:rPr>
                <w:alias w:val="1571"/>
                <w:tag w:val="1571"/>
                <w:id w:val="1712999356"/>
                <w:text w:multiLine="1"/>
              </w:sdtPr>
              <w:sdtEndPr/>
              <w:sdtContent>
                <w:r w:rsidRPr="000A4F04" w:rsidR="00B95A71">
                  <w:rPr>
                    <w:rFonts w:ascii="Arial" w:hAnsi="Arial"/>
                    <w:b/>
                    <w:bCs/>
                    <w:noProof w:val="0"/>
                    <w:sz w:val="26"/>
                    <w:rtl/>
                  </w:rPr>
                  <w:t>3</w:t>
                </w:r>
              </w:sdtContent>
            </w:sdt>
            <w:r w:rsidRPr="000A4F04" w:rsidR="0094424E">
              <w:rPr>
                <w:rFonts w:ascii="Arial" w:hAnsi="Arial"/>
                <w:b/>
                <w:bCs/>
                <w:noProof w:val="0"/>
                <w:sz w:val="26"/>
                <w:rtl/>
              </w:rPr>
              <w:t>.</w:t>
            </w:r>
            <w:r w:rsidRPr="000A4F04" w:rsidR="0094424E">
              <w:rPr>
                <w:rFonts w:hint="cs" w:ascii="Arial" w:hAnsi="Arial"/>
                <w:b/>
                <w:bCs/>
                <w:noProof w:val="0"/>
                <w:sz w:val="26"/>
                <w:rtl/>
              </w:rPr>
              <w:t xml:space="preserve"> </w:t>
            </w:r>
            <w:r w:rsidRPr="000A4F04" w:rsidR="000A4F04">
              <w:rPr>
                <w:rFonts w:hint="cs" w:ascii="Arial" w:hAnsi="Arial"/>
                <w:b/>
                <w:bCs/>
                <w:noProof w:val="0"/>
                <w:sz w:val="26"/>
                <w:rtl/>
              </w:rPr>
              <w:t>יורשי המנוחה חנה רסלר ז"ל</w:t>
            </w:r>
          </w:p>
          <w:p w:rsidRPr="000A4F04" w:rsidR="000A4F04" w:rsidRDefault="000A4F04">
            <w:pPr>
              <w:rPr>
                <w:rFonts w:ascii="Arial" w:hAnsi="Arial"/>
                <w:noProof w:val="0"/>
                <w:sz w:val="26"/>
                <w:rtl/>
              </w:rPr>
            </w:pPr>
            <w:r w:rsidRPr="000A4F04">
              <w:rPr>
                <w:rFonts w:hint="cs" w:ascii="Arial" w:hAnsi="Arial"/>
                <w:noProof w:val="0"/>
                <w:sz w:val="26"/>
                <w:rtl/>
              </w:rPr>
              <w:t>ע"י עו"ד דוד איזקסון</w:t>
            </w:r>
          </w:p>
          <w:p w:rsidRPr="000A4F04" w:rsidR="000A4F04" w:rsidRDefault="000A4F04">
            <w:pPr>
              <w:rPr>
                <w:rFonts w:ascii="Arial" w:hAnsi="Arial"/>
                <w:b/>
                <w:bCs/>
                <w:noProof w:val="0"/>
                <w:sz w:val="26"/>
                <w:rtl/>
              </w:rPr>
            </w:pPr>
          </w:p>
          <w:p w:rsidRPr="000A4F04" w:rsidR="000A4F04" w:rsidRDefault="000A4F04">
            <w:pPr>
              <w:rPr>
                <w:rFonts w:ascii="Arial" w:hAnsi="Arial"/>
                <w:b/>
                <w:bCs/>
                <w:noProof w:val="0"/>
                <w:sz w:val="26"/>
                <w:rtl/>
              </w:rPr>
            </w:pPr>
            <w:r w:rsidRPr="000A4F04">
              <w:rPr>
                <w:rFonts w:hint="cs" w:ascii="Arial" w:hAnsi="Arial"/>
                <w:b/>
                <w:bCs/>
                <w:noProof w:val="0"/>
                <w:sz w:val="26"/>
                <w:rtl/>
              </w:rPr>
              <w:t>4. שלמה חריר</w:t>
            </w:r>
          </w:p>
          <w:p w:rsidRPr="000A4F04" w:rsidR="000A4F04" w:rsidRDefault="000A4F04">
            <w:pPr>
              <w:rPr>
                <w:rFonts w:ascii="Arial" w:hAnsi="Arial"/>
                <w:b/>
                <w:bCs/>
                <w:noProof w:val="0"/>
                <w:sz w:val="26"/>
                <w:rtl/>
              </w:rPr>
            </w:pPr>
            <w:r w:rsidRPr="000A4F04">
              <w:rPr>
                <w:rFonts w:hint="cs" w:ascii="Arial" w:hAnsi="Arial"/>
                <w:b/>
                <w:bCs/>
                <w:noProof w:val="0"/>
                <w:sz w:val="26"/>
                <w:rtl/>
              </w:rPr>
              <w:t>5. יסכה חריר</w:t>
            </w:r>
          </w:p>
          <w:p w:rsidRPr="000A4F04" w:rsidR="000A4F04" w:rsidRDefault="000A4F04">
            <w:pPr>
              <w:rPr>
                <w:rFonts w:ascii="Arial" w:hAnsi="Arial"/>
                <w:noProof w:val="0"/>
                <w:sz w:val="26"/>
                <w:rtl/>
              </w:rPr>
            </w:pPr>
            <w:r w:rsidRPr="000A4F04">
              <w:rPr>
                <w:rFonts w:hint="cs" w:ascii="Arial" w:hAnsi="Arial"/>
                <w:noProof w:val="0"/>
                <w:sz w:val="26"/>
                <w:rtl/>
              </w:rPr>
              <w:t>ע"י ב"כ עו"ד דוד איזקסון</w:t>
            </w:r>
          </w:p>
          <w:p w:rsidRPr="000A4F04" w:rsidR="0094424E" w:rsidP="000A4F04" w:rsidRDefault="00C85DC5">
            <w:pPr>
              <w:rPr>
                <w:sz w:val="26"/>
                <w:rtl/>
              </w:rPr>
            </w:pPr>
            <w:sdt>
              <w:sdtPr>
                <w:rPr>
                  <w:sz w:val="26"/>
                  <w:rtl/>
                </w:rPr>
                <w:alias w:val="1486"/>
                <w:tag w:val="1486"/>
                <w:id w:val="1573231706"/>
                <w:text w:multiLine="1"/>
              </w:sdtPr>
              <w:sdtEndPr/>
              <w:sdtContent>
                <w:r w:rsidRPr="000A4F04" w:rsidR="000A4F04">
                  <w:rPr>
                    <w:sz w:val="26"/>
                    <w:rtl/>
                  </w:rPr>
                  <w:br/>
                </w:r>
                <w:r w:rsidRPr="000A4F04" w:rsidR="000A4F04">
                  <w:rPr>
                    <w:rFonts w:hint="cs" w:ascii="Arial" w:hAnsi="Arial"/>
                    <w:b/>
                    <w:bCs/>
                    <w:noProof w:val="0"/>
                    <w:sz w:val="26"/>
                    <w:rtl/>
                  </w:rPr>
                  <w:t xml:space="preserve">6. </w:t>
                </w:r>
                <w:r w:rsidRPr="000A4F04" w:rsidR="00B95A71">
                  <w:rPr>
                    <w:rFonts w:ascii="Arial" w:hAnsi="Arial"/>
                    <w:b/>
                    <w:bCs/>
                    <w:noProof w:val="0"/>
                    <w:sz w:val="26"/>
                    <w:rtl/>
                  </w:rPr>
                  <w:t>המשרד לאיכות הסביבה ירושלים קרן קיימת לישראל הלשכה המשפטית</w:t>
                </w:r>
              </w:sdtContent>
            </w:sdt>
          </w:p>
          <w:p w:rsidRPr="000A4F04" w:rsidR="0094424E" w:rsidP="000A4F04" w:rsidRDefault="00C85DC5">
            <w:pPr>
              <w:rPr>
                <w:sz w:val="26"/>
                <w:rtl/>
              </w:rPr>
            </w:pPr>
            <w:sdt>
              <w:sdtPr>
                <w:rPr>
                  <w:sz w:val="26"/>
                  <w:rtl/>
                </w:rPr>
                <w:alias w:val="1571"/>
                <w:tag w:val="1571"/>
                <w:id w:val="-2039336717"/>
                <w:text w:multiLine="1"/>
              </w:sdtPr>
              <w:sdtEndPr/>
              <w:sdtContent>
                <w:r w:rsidRPr="000A4F04" w:rsidR="000A4F04">
                  <w:rPr>
                    <w:rFonts w:hint="cs"/>
                    <w:sz w:val="26"/>
                    <w:rtl/>
                  </w:rPr>
                  <w:t>7</w:t>
                </w:r>
              </w:sdtContent>
            </w:sdt>
            <w:r w:rsidRPr="000A4F04" w:rsidR="0094424E">
              <w:rPr>
                <w:rFonts w:ascii="Arial" w:hAnsi="Arial"/>
                <w:b/>
                <w:bCs/>
                <w:noProof w:val="0"/>
                <w:sz w:val="26"/>
                <w:rtl/>
              </w:rPr>
              <w:t>.</w:t>
            </w:r>
            <w:r w:rsidRPr="000A4F04" w:rsidR="0094424E">
              <w:rPr>
                <w:rFonts w:hint="cs" w:ascii="Arial" w:hAnsi="Arial"/>
                <w:b/>
                <w:bCs/>
                <w:noProof w:val="0"/>
                <w:sz w:val="26"/>
                <w:rtl/>
              </w:rPr>
              <w:t xml:space="preserve"> </w:t>
            </w:r>
            <w:sdt>
              <w:sdtPr>
                <w:rPr>
                  <w:sz w:val="26"/>
                  <w:rtl/>
                </w:rPr>
                <w:alias w:val="1486"/>
                <w:tag w:val="1486"/>
                <w:id w:val="-1024163001"/>
                <w:text w:multiLine="1"/>
              </w:sdtPr>
              <w:sdtEndPr/>
              <w:sdtContent>
                <w:r w:rsidRPr="000A4F04" w:rsidR="00B95A71">
                  <w:rPr>
                    <w:rFonts w:ascii="Arial" w:hAnsi="Arial"/>
                    <w:b/>
                    <w:bCs/>
                    <w:noProof w:val="0"/>
                    <w:sz w:val="26"/>
                    <w:rtl/>
                  </w:rPr>
                  <w:t>שכונת הפועלים א' בבני-ברק אגודה שיתופית בע"מ</w:t>
                </w:r>
                <w:r w:rsidR="000A4F04">
                  <w:rPr>
                    <w:rFonts w:ascii="Arial" w:hAnsi="Arial"/>
                    <w:b/>
                    <w:bCs/>
                    <w:noProof w:val="0"/>
                    <w:sz w:val="26"/>
                    <w:rtl/>
                  </w:rPr>
                  <w:br/>
                </w:r>
              </w:sdtContent>
            </w:sdt>
          </w:p>
          <w:p w:rsidRPr="000A4F04" w:rsidR="003763AB" w:rsidRDefault="00C85DC5">
            <w:pPr>
              <w:rPr>
                <w:sz w:val="26"/>
                <w:rtl/>
              </w:rPr>
            </w:pPr>
            <w:sdt>
              <w:sdtPr>
                <w:rPr>
                  <w:sz w:val="26"/>
                  <w:rtl/>
                </w:rPr>
                <w:alias w:val="1571"/>
                <w:tag w:val="1571"/>
                <w:id w:val="1049026470"/>
                <w:text w:multiLine="1"/>
              </w:sdtPr>
              <w:sdtEndPr/>
              <w:sdtContent>
                <w:r w:rsidRPr="000A4F04" w:rsidR="00B95A71">
                  <w:rPr>
                    <w:rFonts w:ascii="Arial" w:hAnsi="Arial"/>
                    <w:b/>
                    <w:bCs/>
                    <w:noProof w:val="0"/>
                    <w:sz w:val="26"/>
                    <w:rtl/>
                  </w:rPr>
                  <w:t>5</w:t>
                </w:r>
              </w:sdtContent>
            </w:sdt>
            <w:r w:rsidRPr="000A4F04" w:rsidR="0094424E">
              <w:rPr>
                <w:rFonts w:ascii="Arial" w:hAnsi="Arial"/>
                <w:b/>
                <w:bCs/>
                <w:noProof w:val="0"/>
                <w:sz w:val="26"/>
                <w:rtl/>
              </w:rPr>
              <w:t>.</w:t>
            </w:r>
            <w:r w:rsidRPr="000A4F04" w:rsidR="0094424E">
              <w:rPr>
                <w:rFonts w:hint="cs" w:ascii="Arial" w:hAnsi="Arial"/>
                <w:b/>
                <w:bCs/>
                <w:noProof w:val="0"/>
                <w:sz w:val="26"/>
                <w:rtl/>
              </w:rPr>
              <w:t xml:space="preserve"> </w:t>
            </w:r>
            <w:sdt>
              <w:sdtPr>
                <w:rPr>
                  <w:sz w:val="26"/>
                  <w:rtl/>
                </w:rPr>
                <w:alias w:val="1486"/>
                <w:tag w:val="1486"/>
                <w:id w:val="1037786187"/>
                <w:text w:multiLine="1"/>
              </w:sdtPr>
              <w:sdtEndPr/>
              <w:sdtContent>
                <w:r w:rsidRPr="000A4F04" w:rsidR="00B95A71">
                  <w:rPr>
                    <w:rFonts w:ascii="Arial" w:hAnsi="Arial"/>
                    <w:b/>
                    <w:bCs/>
                    <w:noProof w:val="0"/>
                    <w:sz w:val="26"/>
                    <w:rtl/>
                  </w:rPr>
                  <w:t>שמעון גרינהוט</w:t>
                </w:r>
              </w:sdtContent>
            </w:sdt>
          </w:p>
          <w:p w:rsidRPr="000A4F04" w:rsidR="003763AB" w:rsidRDefault="00C85DC5">
            <w:pPr>
              <w:rPr>
                <w:sz w:val="26"/>
                <w:rtl/>
              </w:rPr>
            </w:pPr>
            <w:sdt>
              <w:sdtPr>
                <w:rPr>
                  <w:sz w:val="26"/>
                  <w:rtl/>
                </w:rPr>
                <w:alias w:val="1571"/>
                <w:tag w:val="1571"/>
                <w:id w:val="-840232602"/>
                <w:text w:multiLine="1"/>
              </w:sdtPr>
              <w:sdtEndPr/>
              <w:sdtContent>
                <w:r w:rsidRPr="000A4F04" w:rsidR="00B95A71">
                  <w:rPr>
                    <w:rFonts w:ascii="Arial" w:hAnsi="Arial"/>
                    <w:b/>
                    <w:bCs/>
                    <w:noProof w:val="0"/>
                    <w:sz w:val="26"/>
                    <w:rtl/>
                  </w:rPr>
                  <w:t>6</w:t>
                </w:r>
              </w:sdtContent>
            </w:sdt>
            <w:r w:rsidRPr="000A4F04" w:rsidR="0094424E">
              <w:rPr>
                <w:rFonts w:ascii="Arial" w:hAnsi="Arial"/>
                <w:b/>
                <w:bCs/>
                <w:noProof w:val="0"/>
                <w:sz w:val="26"/>
                <w:rtl/>
              </w:rPr>
              <w:t>.</w:t>
            </w:r>
            <w:r w:rsidRPr="000A4F04" w:rsidR="0094424E">
              <w:rPr>
                <w:rFonts w:hint="cs" w:ascii="Arial" w:hAnsi="Arial"/>
                <w:b/>
                <w:bCs/>
                <w:noProof w:val="0"/>
                <w:sz w:val="26"/>
                <w:rtl/>
              </w:rPr>
              <w:t xml:space="preserve"> </w:t>
            </w:r>
            <w:sdt>
              <w:sdtPr>
                <w:rPr>
                  <w:sz w:val="26"/>
                  <w:rtl/>
                </w:rPr>
                <w:alias w:val="1486"/>
                <w:tag w:val="1486"/>
                <w:id w:val="141617653"/>
                <w:text w:multiLine="1"/>
              </w:sdtPr>
              <w:sdtEndPr/>
              <w:sdtContent>
                <w:r w:rsidRPr="000A4F04" w:rsidR="00B95A71">
                  <w:rPr>
                    <w:rFonts w:ascii="Arial" w:hAnsi="Arial"/>
                    <w:b/>
                    <w:bCs/>
                    <w:noProof w:val="0"/>
                    <w:sz w:val="26"/>
                    <w:rtl/>
                  </w:rPr>
                  <w:t>הדסה (רחל) גרינהוט אוגרודניק</w:t>
                </w:r>
              </w:sdtContent>
            </w:sdt>
          </w:p>
          <w:p w:rsidRPr="000A4F04" w:rsidR="0094424E" w:rsidRDefault="001D3441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0A4F04">
              <w:rPr>
                <w:rFonts w:hint="cs"/>
                <w:sz w:val="26"/>
                <w:rtl/>
              </w:rPr>
              <w:t>ע"י ב"כ עו"ד</w:t>
            </w:r>
            <w:r w:rsidRPr="000A4F04" w:rsidR="000A4F04">
              <w:rPr>
                <w:rFonts w:hint="cs"/>
                <w:sz w:val="26"/>
                <w:rtl/>
              </w:rPr>
              <w:t xml:space="preserve"> צבי יונגרייז</w:t>
            </w:r>
          </w:p>
        </w:tc>
      </w:tr>
      <w:tr w:rsidRPr="00FA4EAF" w:rsidR="004C17EE" w:rsidTr="00D620FD">
        <w:trPr>
          <w:jc w:val="center"/>
        </w:trPr>
        <w:tc>
          <w:tcPr>
            <w:tcW w:w="8820" w:type="dxa"/>
            <w:gridSpan w:val="3"/>
          </w:tcPr>
          <w:p w:rsidR="00F346F2" w:rsidRDefault="00F346F2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0A4F04" w:rsidRDefault="000A4F04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noProof w:val="0"/>
          <w:rtl/>
        </w:rPr>
        <w:tab/>
        <w:t>לפני בקשת רשות ערעור על החלטת בית משפט השלום בתל אביב (כב' השופטת כרמלה האפט) מיום 26/7/17 בת.א. 44899-06-12.</w:t>
      </w:r>
    </w:p>
    <w:p w:rsidR="000A4F04" w:rsidP="000A4F04" w:rsidRDefault="000A4F04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החלטת בית המשפט נושאת את הכותרת "</w:t>
      </w:r>
      <w:r w:rsidRPr="000A4F04">
        <w:rPr>
          <w:rFonts w:hint="cs" w:ascii="Arial" w:hAnsi="Arial"/>
          <w:b/>
          <w:bCs/>
          <w:noProof w:val="0"/>
          <w:rtl/>
        </w:rPr>
        <w:t>פסק דין".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81E7D" w:rsidRDefault="00D81E7D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81E7D" w:rsidRDefault="00D81E7D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A4F04" w:rsidP="00D81E7D" w:rsidRDefault="000A4F04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lastRenderedPageBreak/>
        <w:t>2.</w:t>
      </w:r>
      <w:r>
        <w:rPr>
          <w:rFonts w:hint="cs" w:ascii="Arial" w:hAnsi="Arial"/>
          <w:noProof w:val="0"/>
          <w:rtl/>
        </w:rPr>
        <w:tab/>
        <w:t>בבית משפט קמא נדונה תביעת המשיבה 1 לפירוק שיתוף בדרך של רישום בית משותף, תוך הצמדת הרכוש המשותף אל הבתים נשוא התביעה.</w:t>
      </w:r>
      <w:r>
        <w:rPr>
          <w:rFonts w:hint="cs" w:ascii="Arial" w:hAnsi="Arial"/>
          <w:noProof w:val="0"/>
        </w:rPr>
        <w:t xml:space="preserve"> </w:t>
      </w:r>
      <w:r>
        <w:rPr>
          <w:rFonts w:hint="cs" w:ascii="Arial" w:hAnsi="Arial"/>
          <w:noProof w:val="0"/>
          <w:rtl/>
        </w:rPr>
        <w:t>(בת</w:t>
      </w:r>
      <w:r w:rsidR="00D81E7D">
        <w:rPr>
          <w:rFonts w:hint="cs" w:ascii="Arial" w:hAnsi="Arial"/>
          <w:noProof w:val="0"/>
          <w:rtl/>
        </w:rPr>
        <w:t>ים ברחוב אנילביץ בבני ברק כפי שהוגדרו בסעיף 1 להחלטה).</w:t>
      </w:r>
    </w:p>
    <w:p w:rsidR="00D81E7D" w:rsidRDefault="00D81E7D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81E7D" w:rsidP="00D81E7D" w:rsidRDefault="00D81E7D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בית המשפט השלום הורה על פירוק השיתוף בדרך של רישום הבתים כבית משותף ובו 4 דירות, תוך הצמדת החצרות והמובלעות (כהגדרתן בהחלטה / פסה"ד) על פי קביעת המומחה מטעם התובעים בחוות דעתו (ת/1).</w:t>
      </w:r>
    </w:p>
    <w:p w:rsidR="00D81E7D" w:rsidP="00D81E7D" w:rsidRDefault="00D81E7D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בית המשפט מינה כונס נכסים לצורך ביצוע פירוק השיתוף.</w:t>
      </w:r>
    </w:p>
    <w:p w:rsidR="00D81E7D" w:rsidRDefault="00D81E7D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81E7D" w:rsidRDefault="00D81E7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3.</w:t>
      </w:r>
      <w:r>
        <w:rPr>
          <w:rFonts w:hint="cs" w:ascii="Arial" w:hAnsi="Arial"/>
          <w:noProof w:val="0"/>
          <w:rtl/>
        </w:rPr>
        <w:tab/>
        <w:t>על ההחלטה מיום 26/7/17 הגישו המבקשים ערעור בזכות במסגרת תיק 50154-10-17.</w:t>
      </w:r>
    </w:p>
    <w:p w:rsidR="00D81E7D" w:rsidP="00D81E7D" w:rsidRDefault="00D81E7D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המשיבה 1 הגישה בקשה לסילוק הערעור על הסף, שכן עסקינן בהחלטה אחרת ולא בפסק דין ואין זכות ערעור על ההחלטה.</w:t>
      </w:r>
    </w:p>
    <w:p w:rsidR="00D81E7D" w:rsidRDefault="00D81E7D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81E7D" w:rsidP="00D81E7D" w:rsidRDefault="00D81E7D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כב' השופטת יעל בלכר (בתפקידה כרש</w:t>
      </w:r>
      <w:r w:rsidR="009607AF">
        <w:rPr>
          <w:rFonts w:hint="cs" w:ascii="Arial" w:hAnsi="Arial"/>
          <w:noProof w:val="0"/>
          <w:rtl/>
        </w:rPr>
        <w:t>מת) קבעה כי עסקינן ב"החלטה אחרת"</w:t>
      </w:r>
      <w:r>
        <w:rPr>
          <w:rFonts w:hint="cs" w:ascii="Arial" w:hAnsi="Arial"/>
          <w:noProof w:val="0"/>
          <w:rtl/>
        </w:rPr>
        <w:t xml:space="preserve"> שהערעור לגביה הוא ברשות ולא בזכות. ניתנה ארכה להגשת בקשת רשות לערער על ההחלטה, בין היתר, מהנימוק ולפיו גוברת הנטייה ליתן רשות לערער על החלטה בדבר פירוק שיתוף.</w:t>
      </w:r>
    </w:p>
    <w:p w:rsidR="00D81E7D" w:rsidRDefault="00D81E7D">
      <w:pPr>
        <w:spacing w:line="360" w:lineRule="auto"/>
        <w:jc w:val="both"/>
        <w:rPr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 xml:space="preserve">רע"א 17669-10-17 </w:t>
      </w:r>
      <w:r>
        <w:rPr>
          <w:rFonts w:hint="cs" w:ascii="Arial" w:hAnsi="Arial"/>
          <w:b/>
          <w:bCs/>
          <w:noProof w:val="0"/>
          <w:u w:val="single"/>
          <w:rtl/>
        </w:rPr>
        <w:t>אהרוני (המנוח) נ' עופר מרכזים בע"מ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>(20/11/17).</w:t>
      </w:r>
    </w:p>
    <w:p w:rsidR="00D81E7D" w:rsidRDefault="00D81E7D">
      <w:pPr>
        <w:spacing w:line="360" w:lineRule="auto"/>
        <w:jc w:val="both"/>
        <w:rPr>
          <w:rtl/>
        </w:rPr>
      </w:pPr>
    </w:p>
    <w:p w:rsidR="00D81E7D" w:rsidRDefault="00D81E7D">
      <w:pPr>
        <w:spacing w:line="360" w:lineRule="auto"/>
        <w:jc w:val="both"/>
        <w:rPr>
          <w:rtl/>
        </w:rPr>
      </w:pPr>
      <w:r>
        <w:rPr>
          <w:rFonts w:hint="cs"/>
          <w:rtl/>
        </w:rPr>
        <w:t>4.</w:t>
      </w:r>
      <w:r>
        <w:rPr>
          <w:rFonts w:hint="cs"/>
          <w:rtl/>
        </w:rPr>
        <w:tab/>
        <w:t xml:space="preserve">המבקשים אכן </w:t>
      </w:r>
      <w:r w:rsidR="007F6292">
        <w:rPr>
          <w:rFonts w:hint="cs"/>
          <w:rtl/>
        </w:rPr>
        <w:t>הגישו בקשת רשות ערעור על ההחלטה במסגרת ההליך דנן.</w:t>
      </w:r>
    </w:p>
    <w:p w:rsidR="007F6292" w:rsidP="009607AF" w:rsidRDefault="007F6292">
      <w:pPr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 xml:space="preserve">כמו כן </w:t>
      </w:r>
      <w:r w:rsidR="009607AF">
        <w:rPr>
          <w:rFonts w:hint="cs"/>
          <w:rtl/>
        </w:rPr>
        <w:t>ביקשו</w:t>
      </w:r>
      <w:r>
        <w:rPr>
          <w:rFonts w:hint="cs"/>
          <w:rtl/>
        </w:rPr>
        <w:t xml:space="preserve"> להתיר ל</w:t>
      </w:r>
      <w:r w:rsidR="009607AF">
        <w:rPr>
          <w:rFonts w:hint="cs"/>
          <w:rtl/>
        </w:rPr>
        <w:t>ה</w:t>
      </w:r>
      <w:r>
        <w:rPr>
          <w:rFonts w:hint="cs"/>
          <w:rtl/>
        </w:rPr>
        <w:t xml:space="preserve">ם לצרף ראיה חדשה </w:t>
      </w:r>
      <w:r>
        <w:rPr>
          <w:rtl/>
        </w:rPr>
        <w:t>–</w:t>
      </w:r>
      <w:r>
        <w:rPr>
          <w:rFonts w:hint="cs"/>
          <w:rtl/>
        </w:rPr>
        <w:t xml:space="preserve"> תצהיר הגב' וולף דבורה. בקשה לה מתנגדת המשיבה 1.</w:t>
      </w:r>
    </w:p>
    <w:p w:rsidR="00D81E7D" w:rsidRDefault="00D81E7D">
      <w:pPr>
        <w:spacing w:line="360" w:lineRule="auto"/>
        <w:jc w:val="both"/>
        <w:rPr>
          <w:rtl/>
        </w:rPr>
      </w:pPr>
    </w:p>
    <w:p w:rsidR="007F6292" w:rsidRDefault="007F6292">
      <w:pPr>
        <w:spacing w:line="360" w:lineRule="auto"/>
        <w:jc w:val="both"/>
        <w:rPr>
          <w:rtl/>
        </w:rPr>
      </w:pPr>
      <w:r>
        <w:rPr>
          <w:rFonts w:hint="cs"/>
          <w:rtl/>
        </w:rPr>
        <w:t>5.</w:t>
      </w:r>
      <w:r>
        <w:rPr>
          <w:rFonts w:hint="cs"/>
          <w:rtl/>
        </w:rPr>
        <w:tab/>
        <w:t>המשיבה 1 מתנגדת למתן רשות ערעור.</w:t>
      </w:r>
    </w:p>
    <w:p w:rsidR="007F6292" w:rsidRDefault="007F6292">
      <w:pPr>
        <w:spacing w:line="360" w:lineRule="auto"/>
        <w:jc w:val="both"/>
        <w:rPr>
          <w:rtl/>
        </w:rPr>
      </w:pPr>
      <w:r>
        <w:rPr>
          <w:rtl/>
        </w:rPr>
        <w:tab/>
      </w:r>
      <w:r>
        <w:rPr>
          <w:rFonts w:hint="cs"/>
          <w:rtl/>
        </w:rPr>
        <w:t>נטען כי אין עסקינן בהחלטת ביניים שיש לאפשר השגה ערעורית עליה בטרם ניתן פסק דין.</w:t>
      </w:r>
    </w:p>
    <w:p w:rsidR="007F6292" w:rsidRDefault="007F6292">
      <w:pPr>
        <w:spacing w:line="360" w:lineRule="auto"/>
        <w:jc w:val="both"/>
        <w:rPr>
          <w:rtl/>
        </w:rPr>
      </w:pPr>
      <w:r>
        <w:rPr>
          <w:rtl/>
        </w:rPr>
        <w:tab/>
      </w:r>
      <w:r>
        <w:rPr>
          <w:rFonts w:hint="cs"/>
          <w:rtl/>
        </w:rPr>
        <w:t>המשך ניהול ההליך בתיק קמא לא יוביל למצב בלתי הפיך וודאי לא לניהול הליך שגוי.</w:t>
      </w:r>
    </w:p>
    <w:p w:rsidR="007F6292" w:rsidP="009607AF" w:rsidRDefault="007F6292">
      <w:pPr>
        <w:spacing w:line="360" w:lineRule="auto"/>
        <w:jc w:val="both"/>
        <w:rPr>
          <w:rtl/>
        </w:rPr>
      </w:pPr>
      <w:r>
        <w:rPr>
          <w:rtl/>
        </w:rPr>
        <w:tab/>
      </w:r>
      <w:r w:rsidR="009607AF">
        <w:rPr>
          <w:rFonts w:hint="cs"/>
          <w:rtl/>
        </w:rPr>
        <w:t>נטען כי אין</w:t>
      </w:r>
      <w:r>
        <w:rPr>
          <w:rFonts w:hint="cs"/>
          <w:rtl/>
        </w:rPr>
        <w:t xml:space="preserve"> ממש בטענה כי בית משפט שלום היה חסר סמכות עניינית.</w:t>
      </w:r>
    </w:p>
    <w:p w:rsidR="0012109B" w:rsidRDefault="0012109B">
      <w:pPr>
        <w:spacing w:line="360" w:lineRule="auto"/>
        <w:jc w:val="both"/>
        <w:rPr>
          <w:rtl/>
        </w:rPr>
      </w:pPr>
    </w:p>
    <w:p w:rsidR="0012109B" w:rsidRDefault="0012109B">
      <w:pPr>
        <w:spacing w:line="360" w:lineRule="auto"/>
        <w:jc w:val="both"/>
        <w:rPr>
          <w:rtl/>
        </w:rPr>
      </w:pPr>
    </w:p>
    <w:p w:rsidR="0012109B" w:rsidRDefault="0012109B">
      <w:pPr>
        <w:spacing w:line="360" w:lineRule="auto"/>
        <w:jc w:val="both"/>
        <w:rPr>
          <w:rtl/>
        </w:rPr>
      </w:pPr>
    </w:p>
    <w:p w:rsidR="0012109B" w:rsidRDefault="0012109B">
      <w:pPr>
        <w:spacing w:line="360" w:lineRule="auto"/>
        <w:jc w:val="both"/>
        <w:rPr>
          <w:rtl/>
        </w:rPr>
      </w:pPr>
    </w:p>
    <w:p w:rsidR="0012109B" w:rsidRDefault="0012109B">
      <w:pPr>
        <w:spacing w:line="360" w:lineRule="auto"/>
        <w:jc w:val="both"/>
        <w:rPr>
          <w:rtl/>
        </w:rPr>
      </w:pPr>
    </w:p>
    <w:p w:rsidR="0012109B" w:rsidP="0012109B" w:rsidRDefault="0012109B">
      <w:pPr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lastRenderedPageBreak/>
        <w:t>המשיבה 1 בתגובתה אינה מתנגדת לכך שהבקשה תידון כבערעור, ככל שבכל זאת ימצא בית משפט לנכון ליתן רשות לערער וזאת כפוף לכך שתישמר לה הזכות להגיש ערעור שכנגד.</w:t>
      </w:r>
    </w:p>
    <w:p w:rsidR="009607AF" w:rsidP="00F56783" w:rsidRDefault="0012109B">
      <w:pPr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>המשיבה מותירה לשיקול דעת בית</w:t>
      </w:r>
      <w:r w:rsidR="009607AF">
        <w:rPr>
          <w:rFonts w:hint="cs"/>
          <w:rtl/>
        </w:rPr>
        <w:t xml:space="preserve"> </w:t>
      </w:r>
      <w:r>
        <w:rPr>
          <w:rFonts w:hint="cs"/>
          <w:rtl/>
        </w:rPr>
        <w:t xml:space="preserve">משפט </w:t>
      </w:r>
      <w:r w:rsidR="009607AF">
        <w:rPr>
          <w:rFonts w:hint="cs"/>
          <w:rtl/>
        </w:rPr>
        <w:t xml:space="preserve">את הרכב המותב שידון בערעור (דן יחיד או מותב </w:t>
      </w:r>
    </w:p>
    <w:p w:rsidR="0012109B" w:rsidP="009607AF" w:rsidRDefault="009607AF">
      <w:pPr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>תלתא).</w:t>
      </w:r>
    </w:p>
    <w:p w:rsidR="009607AF" w:rsidP="009607AF" w:rsidRDefault="009607AF">
      <w:pPr>
        <w:spacing w:line="360" w:lineRule="auto"/>
        <w:ind w:left="720"/>
        <w:jc w:val="both"/>
        <w:rPr>
          <w:rtl/>
        </w:rPr>
      </w:pPr>
    </w:p>
    <w:p w:rsidRPr="0012109B" w:rsidR="0012109B" w:rsidRDefault="0012109B">
      <w:pPr>
        <w:spacing w:line="360" w:lineRule="auto"/>
        <w:jc w:val="both"/>
        <w:rPr>
          <w:b/>
          <w:bCs/>
          <w:u w:val="single"/>
          <w:rtl/>
        </w:rPr>
      </w:pPr>
      <w:r>
        <w:rPr>
          <w:rFonts w:hint="cs"/>
          <w:rtl/>
        </w:rPr>
        <w:t>6.</w:t>
      </w:r>
      <w:r>
        <w:rPr>
          <w:rFonts w:hint="cs"/>
          <w:rtl/>
        </w:rPr>
        <w:tab/>
      </w:r>
      <w:r>
        <w:rPr>
          <w:rFonts w:hint="cs"/>
          <w:b/>
          <w:bCs/>
          <w:u w:val="single"/>
          <w:rtl/>
        </w:rPr>
        <w:t>לאחר שעיינתי בטענות הצדדים מצאתי לנכון ליתן רשות לערער על ההחלטה מיום 26/7/17:</w:t>
      </w:r>
    </w:p>
    <w:p w:rsidR="0012109B" w:rsidP="009607AF" w:rsidRDefault="0012109B">
      <w:pPr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>לא בכדי הכתיר בית משפט קמא את החלט</w:t>
      </w:r>
      <w:r w:rsidR="009607AF">
        <w:rPr>
          <w:rFonts w:hint="cs"/>
          <w:rtl/>
        </w:rPr>
        <w:t>תו</w:t>
      </w:r>
      <w:r>
        <w:rPr>
          <w:rFonts w:hint="cs"/>
          <w:rtl/>
        </w:rPr>
        <w:t xml:space="preserve"> בכותרת "פסק דין". החלט</w:t>
      </w:r>
      <w:r w:rsidR="009607AF">
        <w:rPr>
          <w:rFonts w:hint="cs"/>
          <w:rtl/>
        </w:rPr>
        <w:t>ה</w:t>
      </w:r>
      <w:r>
        <w:rPr>
          <w:rFonts w:hint="cs"/>
          <w:rtl/>
        </w:rPr>
        <w:t xml:space="preserve"> זו היא מעין פסק דין בסוגיית אחריות, אשר כל שנותר הוא ליישמו. </w:t>
      </w:r>
      <w:r w:rsidR="009607AF">
        <w:rPr>
          <w:rFonts w:hint="cs"/>
          <w:rtl/>
        </w:rPr>
        <w:t>מדובר בפסק דין חלקי שייש</w:t>
      </w:r>
      <w:r w:rsidR="00F56783">
        <w:rPr>
          <w:rFonts w:hint="cs"/>
          <w:rtl/>
        </w:rPr>
        <w:t>ו</w:t>
      </w:r>
      <w:r w:rsidR="009607AF">
        <w:rPr>
          <w:rFonts w:hint="cs"/>
          <w:rtl/>
        </w:rPr>
        <w:t>מו נעשה על ידי כונס נכסים ולכן מבוצע תחת פיקוח בית משפט.</w:t>
      </w:r>
    </w:p>
    <w:p w:rsidR="009607AF" w:rsidP="009607AF" w:rsidRDefault="009607AF">
      <w:pPr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>בית משפט לא יצטרך יותר להכריע בשאלות המשפטיות שעמדו על הפרק.</w:t>
      </w:r>
    </w:p>
    <w:p w:rsidR="0012109B" w:rsidP="0012109B" w:rsidRDefault="0012109B">
      <w:pPr>
        <w:spacing w:line="360" w:lineRule="auto"/>
        <w:ind w:firstLine="720"/>
        <w:jc w:val="both"/>
        <w:rPr>
          <w:rtl/>
        </w:rPr>
      </w:pPr>
      <w:r>
        <w:rPr>
          <w:rFonts w:hint="cs"/>
          <w:rtl/>
        </w:rPr>
        <w:t>יוער, כי בבית משפט קמא ממשיך התיק ל</w:t>
      </w:r>
      <w:r w:rsidR="009607AF">
        <w:rPr>
          <w:rFonts w:hint="cs"/>
          <w:rtl/>
        </w:rPr>
        <w:t>הת</w:t>
      </w:r>
      <w:r>
        <w:rPr>
          <w:rFonts w:hint="cs"/>
          <w:rtl/>
        </w:rPr>
        <w:t>נהל כ"תיק סגור".</w:t>
      </w:r>
    </w:p>
    <w:p w:rsidR="0012109B" w:rsidP="009607AF" w:rsidRDefault="0012109B">
      <w:pPr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>יש מקום לאפשר הכרעת ערכאת ערעור בסוגיית המהותיות שעמדו בבסיס ההחלטה מיום 26/7/</w:t>
      </w:r>
      <w:r w:rsidR="009607AF">
        <w:rPr>
          <w:rFonts w:hint="cs"/>
          <w:rtl/>
        </w:rPr>
        <w:t>17, ובכלל זה שאלת סמכות עניינית, בטרם ייושם פסק הדין החלקי.</w:t>
      </w:r>
      <w:r>
        <w:rPr>
          <w:rFonts w:hint="cs"/>
          <w:rtl/>
        </w:rPr>
        <w:t xml:space="preserve"> אין מקום שאחווה דעתי בנוגע לסיכויי ההליך לגופו, שכן לא סיכויי ההליך הם המכריעים בהחלטתי זו.</w:t>
      </w:r>
    </w:p>
    <w:p w:rsidR="0012109B" w:rsidP="009607AF" w:rsidRDefault="0012109B">
      <w:pPr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 xml:space="preserve">מן הראוי להוציא את ההוצאות </w:t>
      </w:r>
      <w:r w:rsidR="009607AF">
        <w:rPr>
          <w:rFonts w:hint="cs"/>
          <w:rtl/>
        </w:rPr>
        <w:t>הכרוכות במינוי כונס נכסים וביצוע רישום</w:t>
      </w:r>
      <w:r>
        <w:rPr>
          <w:rFonts w:hint="cs"/>
          <w:rtl/>
        </w:rPr>
        <w:t xml:space="preserve"> לפי פסק הדין </w:t>
      </w:r>
      <w:r w:rsidR="009607AF">
        <w:rPr>
          <w:rFonts w:hint="cs"/>
          <w:rtl/>
        </w:rPr>
        <w:t xml:space="preserve">החלקי רק </w:t>
      </w:r>
      <w:r>
        <w:rPr>
          <w:rFonts w:hint="cs"/>
          <w:rtl/>
        </w:rPr>
        <w:t>לאחר שערכאת ערעור תאמ</w:t>
      </w:r>
      <w:r w:rsidR="009607AF">
        <w:rPr>
          <w:rFonts w:hint="cs"/>
          <w:rtl/>
        </w:rPr>
        <w:t>ר</w:t>
      </w:r>
      <w:r>
        <w:rPr>
          <w:rFonts w:hint="cs"/>
          <w:rtl/>
        </w:rPr>
        <w:t xml:space="preserve"> דברה </w:t>
      </w:r>
      <w:r w:rsidR="00F56783">
        <w:rPr>
          <w:rFonts w:hint="cs"/>
          <w:rtl/>
        </w:rPr>
        <w:t xml:space="preserve"> </w:t>
      </w:r>
      <w:r>
        <w:rPr>
          <w:rFonts w:hint="cs"/>
          <w:rtl/>
        </w:rPr>
        <w:t>ופסק הדין</w:t>
      </w:r>
      <w:r w:rsidR="009607AF">
        <w:rPr>
          <w:rFonts w:hint="cs"/>
          <w:rtl/>
        </w:rPr>
        <w:t xml:space="preserve"> החלקי</w:t>
      </w:r>
      <w:r>
        <w:rPr>
          <w:rFonts w:hint="cs"/>
          <w:rtl/>
        </w:rPr>
        <w:t xml:space="preserve"> בנוגע לפירוק השיתוף (אשר הסטטוס המשפטי שלו הוא "החלטה" בלבד)</w:t>
      </w:r>
      <w:r w:rsidR="009607AF">
        <w:rPr>
          <w:rFonts w:hint="cs"/>
          <w:rtl/>
        </w:rPr>
        <w:t xml:space="preserve"> י</w:t>
      </w:r>
      <w:r>
        <w:rPr>
          <w:rFonts w:hint="cs"/>
          <w:rtl/>
        </w:rPr>
        <w:t>ה</w:t>
      </w:r>
      <w:r w:rsidR="009607AF">
        <w:rPr>
          <w:rFonts w:hint="cs"/>
          <w:rtl/>
        </w:rPr>
        <w:t>פוך</w:t>
      </w:r>
      <w:r>
        <w:rPr>
          <w:rFonts w:hint="cs"/>
          <w:rtl/>
        </w:rPr>
        <w:t xml:space="preserve"> </w:t>
      </w:r>
      <w:r w:rsidR="009607AF">
        <w:rPr>
          <w:rFonts w:hint="cs"/>
          <w:rtl/>
        </w:rPr>
        <w:t>ל</w:t>
      </w:r>
      <w:r>
        <w:rPr>
          <w:rFonts w:hint="cs"/>
          <w:rtl/>
        </w:rPr>
        <w:t>חלוט.</w:t>
      </w:r>
    </w:p>
    <w:p w:rsidRPr="001C3A55" w:rsidR="0012109B" w:rsidP="0012109B" w:rsidRDefault="0012109B">
      <w:pPr>
        <w:spacing w:line="360" w:lineRule="auto"/>
        <w:jc w:val="both"/>
        <w:rPr>
          <w:sz w:val="14"/>
          <w:szCs w:val="14"/>
          <w:rtl/>
        </w:rPr>
      </w:pPr>
    </w:p>
    <w:p w:rsidR="0012109B" w:rsidP="0012109B" w:rsidRDefault="009607AF">
      <w:pPr>
        <w:spacing w:line="360" w:lineRule="auto"/>
        <w:jc w:val="both"/>
        <w:rPr>
          <w:rtl/>
        </w:rPr>
      </w:pPr>
      <w:r>
        <w:rPr>
          <w:rFonts w:hint="cs"/>
          <w:rtl/>
        </w:rPr>
        <w:t>7.</w:t>
      </w:r>
      <w:r w:rsidR="0012109B">
        <w:rPr>
          <w:rtl/>
        </w:rPr>
        <w:tab/>
      </w:r>
      <w:r w:rsidR="0012109B">
        <w:rPr>
          <w:rFonts w:hint="cs"/>
          <w:rtl/>
        </w:rPr>
        <w:t>על כן, ניתנת רשות ערעור.</w:t>
      </w:r>
    </w:p>
    <w:p w:rsidRPr="0012109B" w:rsidR="0012109B" w:rsidP="0012109B" w:rsidRDefault="0012109B">
      <w:pPr>
        <w:spacing w:line="360" w:lineRule="auto"/>
        <w:jc w:val="both"/>
        <w:rPr>
          <w:sz w:val="14"/>
          <w:szCs w:val="14"/>
          <w:rtl/>
        </w:rPr>
      </w:pPr>
    </w:p>
    <w:p w:rsidR="0012109B" w:rsidP="0012109B" w:rsidRDefault="0012109B">
      <w:pPr>
        <w:spacing w:line="360" w:lineRule="auto"/>
        <w:jc w:val="both"/>
        <w:rPr>
          <w:rtl/>
        </w:rPr>
      </w:pPr>
      <w:r>
        <w:rPr>
          <w:rtl/>
        </w:rPr>
        <w:tab/>
      </w:r>
      <w:r>
        <w:rPr>
          <w:rFonts w:hint="cs"/>
          <w:rtl/>
        </w:rPr>
        <w:t>המזכירות תשנה סיווג התיק לע"א.</w:t>
      </w:r>
    </w:p>
    <w:p w:rsidRPr="0012109B" w:rsidR="0012109B" w:rsidP="0012109B" w:rsidRDefault="0012109B">
      <w:pPr>
        <w:spacing w:line="360" w:lineRule="auto"/>
        <w:ind w:firstLine="720"/>
        <w:jc w:val="both"/>
        <w:rPr>
          <w:sz w:val="14"/>
          <w:szCs w:val="14"/>
          <w:rtl/>
        </w:rPr>
      </w:pPr>
    </w:p>
    <w:p w:rsidR="0012109B" w:rsidP="0012109B" w:rsidRDefault="0012109B">
      <w:pPr>
        <w:spacing w:line="360" w:lineRule="auto"/>
        <w:ind w:firstLine="720"/>
        <w:jc w:val="both"/>
        <w:rPr>
          <w:rtl/>
        </w:rPr>
      </w:pPr>
      <w:r>
        <w:rPr>
          <w:rFonts w:hint="cs"/>
          <w:rtl/>
        </w:rPr>
        <w:t>ערבון כבר הופקד (</w:t>
      </w:r>
      <w:r w:rsidR="009607AF">
        <w:rPr>
          <w:rFonts w:hint="cs"/>
          <w:rtl/>
        </w:rPr>
        <w:t>ראה החלט</w:t>
      </w:r>
      <w:r>
        <w:rPr>
          <w:rFonts w:hint="cs"/>
          <w:rtl/>
        </w:rPr>
        <w:t>תי מיום 28/12/17).</w:t>
      </w:r>
    </w:p>
    <w:p w:rsidRPr="0012109B" w:rsidR="0012109B" w:rsidP="0012109B" w:rsidRDefault="0012109B">
      <w:pPr>
        <w:spacing w:line="360" w:lineRule="auto"/>
        <w:ind w:firstLine="720"/>
        <w:jc w:val="both"/>
        <w:rPr>
          <w:sz w:val="14"/>
          <w:szCs w:val="14"/>
          <w:rtl/>
        </w:rPr>
      </w:pPr>
    </w:p>
    <w:p w:rsidRPr="009607AF" w:rsidR="0012109B" w:rsidP="0012109B" w:rsidRDefault="0012109B">
      <w:pPr>
        <w:spacing w:line="360" w:lineRule="auto"/>
        <w:ind w:firstLine="720"/>
        <w:jc w:val="both"/>
        <w:rPr>
          <w:u w:val="single"/>
          <w:rtl/>
        </w:rPr>
      </w:pPr>
      <w:r w:rsidRPr="009607AF">
        <w:rPr>
          <w:rFonts w:hint="cs"/>
          <w:u w:val="single"/>
          <w:rtl/>
        </w:rPr>
        <w:t>התיק ייקבע לדיון בפני מותב תלתא.</w:t>
      </w:r>
    </w:p>
    <w:p w:rsidRPr="0012109B" w:rsidR="0012109B" w:rsidP="0012109B" w:rsidRDefault="0012109B">
      <w:pPr>
        <w:spacing w:line="360" w:lineRule="auto"/>
        <w:ind w:left="720"/>
        <w:jc w:val="both"/>
        <w:rPr>
          <w:sz w:val="14"/>
          <w:szCs w:val="14"/>
          <w:rtl/>
        </w:rPr>
      </w:pPr>
    </w:p>
    <w:p w:rsidR="0012109B" w:rsidP="00F56783" w:rsidRDefault="0012109B">
      <w:pPr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 xml:space="preserve">המותב ידון בשאלת צירוף הראיה במועד שייקבע </w:t>
      </w:r>
      <w:r w:rsidR="00F56783">
        <w:rPr>
          <w:rFonts w:hint="cs"/>
          <w:rtl/>
        </w:rPr>
        <w:t xml:space="preserve"> לדיון ב</w:t>
      </w:r>
      <w:bookmarkStart w:name="_GoBack" w:id="1"/>
      <w:bookmarkEnd w:id="1"/>
      <w:r>
        <w:rPr>
          <w:rFonts w:hint="cs"/>
          <w:rtl/>
        </w:rPr>
        <w:t>ערעור (אלא אם כן ייתן המותב החלטה אחרת בעניין).</w:t>
      </w:r>
    </w:p>
    <w:p w:rsidRPr="001C3A55" w:rsidR="0012109B" w:rsidP="0012109B" w:rsidRDefault="0012109B">
      <w:pPr>
        <w:spacing w:line="360" w:lineRule="auto"/>
        <w:ind w:firstLine="720"/>
        <w:jc w:val="both"/>
        <w:rPr>
          <w:sz w:val="14"/>
          <w:szCs w:val="14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85DC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43000" cy="44805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5ae068549134d5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448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85DC5">
      <w:rPr>
        <w:rStyle w:val="ab"/>
        <w:rFonts w:cs="Times New Roman"/>
        <w:rtl/>
      </w:rPr>
      <w:t>3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85DC5">
      <w:rPr>
        <w:rStyle w:val="ab"/>
        <w:rtl/>
      </w:rPr>
      <w:t>3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85DC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76D65C67" wp14:editId="18A3E1E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B95A71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 בשבתו כבית-משפט לערעורים אזרחיים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FA4EAF" w:rsidR="00694556">
      <w:trPr>
        <w:trHeight w:val="337"/>
        <w:jc w:val="center"/>
      </w:trPr>
      <w:tc>
        <w:tcPr>
          <w:tcW w:w="8721" w:type="dxa"/>
          <w:gridSpan w:val="2"/>
        </w:tcPr>
        <w:p w:rsidRPr="00FA4EAF" w:rsidR="007D45E3" w:rsidP="007D45E3" w:rsidRDefault="00C85DC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רע"א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45009-12-17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בקרמן ואח' נ' שוחט ואח'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1490"/>
    <o:shapelayout v:ext="edit">
      <o:idmap v:ext="edit" data="18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A4F04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2109B"/>
    <w:rsid w:val="001367BC"/>
    <w:rsid w:val="00144D2A"/>
    <w:rsid w:val="0014653E"/>
    <w:rsid w:val="00180519"/>
    <w:rsid w:val="00191C82"/>
    <w:rsid w:val="001C3A55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63AB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7F6292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6889"/>
    <w:rsid w:val="008C5714"/>
    <w:rsid w:val="008D10B2"/>
    <w:rsid w:val="00903896"/>
    <w:rsid w:val="00906F3D"/>
    <w:rsid w:val="0094424E"/>
    <w:rsid w:val="00955642"/>
    <w:rsid w:val="009607AF"/>
    <w:rsid w:val="009622DF"/>
    <w:rsid w:val="00967DFF"/>
    <w:rsid w:val="00994341"/>
    <w:rsid w:val="009B4939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D00A6"/>
    <w:rsid w:val="00AE729E"/>
    <w:rsid w:val="00AE7752"/>
    <w:rsid w:val="00AF7FDA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85DC5"/>
    <w:rsid w:val="00CC7622"/>
    <w:rsid w:val="00CD608F"/>
    <w:rsid w:val="00D27982"/>
    <w:rsid w:val="00D33B86"/>
    <w:rsid w:val="00D53924"/>
    <w:rsid w:val="00D55D0C"/>
    <w:rsid w:val="00D627CF"/>
    <w:rsid w:val="00D74378"/>
    <w:rsid w:val="00D81E7D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962E3"/>
    <w:rsid w:val="00EB6C79"/>
    <w:rsid w:val="00EC37E9"/>
    <w:rsid w:val="00F06995"/>
    <w:rsid w:val="00F13623"/>
    <w:rsid w:val="00F346F2"/>
    <w:rsid w:val="00F44D1D"/>
    <w:rsid w:val="00F56783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  <w14:docId w14:val="0E930D6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f5ae068549134d5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E1A82" w:rsidP="003E1A82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E734C"/>
    <w:rsid w:val="00334638"/>
    <w:rsid w:val="00345C9D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A8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566</Words>
  <Characters>2833</Characters>
  <Application>Microsoft Office Word</Application>
  <DocSecurity>0</DocSecurity>
  <Lines>23</Lines>
  <Paragraphs>6</Paragraphs>
  <ScaleCrop>false</ScaleCrop>
  <Company>Microsoft Corporation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אביגיל כהן</cp:lastModifiedBy>
  <cp:revision>126</cp:revision>
  <cp:lastPrinted>2018-04-11T10:53:00Z</cp:lastPrinted>
  <dcterms:created xsi:type="dcterms:W3CDTF">2012-08-06T05:16:00Z</dcterms:created>
  <dcterms:modified xsi:type="dcterms:W3CDTF">2018-04-11T10:59:00Z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