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1</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שרית קריספין</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960C6E"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מבקש</w:t>
                </w:r>
              </w:sdtContent>
            </w:sdt>
            <w:r>
              <w:rPr>
                <w:rFonts w:hint="cs" w:ascii="Arial" w:hAnsi="Arial"/>
                <w:b/>
                <w:bCs/>
                <w:noProof w:val="0"/>
                <w:sz w:val="26"/>
                <w:szCs w:val="26"/>
                <w:rtl/>
              </w:rPr>
              <w:t>:</w:t>
            </w:r>
          </w:p>
        </w:tc>
        <w:tc>
          <w:tcPr>
            <w:tcW w:w="5362" w:type="dxa"/>
            <w:gridSpan w:val="2"/>
          </w:tcPr>
          <w:p w:rsidRPr="003A2359" w:rsidR="00B02C76" w:rsidP="00960C6E" w:rsidRDefault="001D0DC5">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שגיא גבעול</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960C6E" w:rsidRDefault="00B02C76">
            <w:pPr>
              <w:rPr>
                <w:rFonts w:ascii="Arial" w:hAnsi="Arial"/>
                <w:b/>
                <w:bCs/>
                <w:noProof w:val="0"/>
                <w:sz w:val="26"/>
                <w:szCs w:val="26"/>
              </w:rPr>
            </w:pPr>
            <w:r w:rsidRPr="00960C6E">
              <w:rPr>
                <w:rFonts w:hint="cs"/>
                <w:b/>
                <w:bCs/>
                <w:rtl/>
              </w:rPr>
              <w:t>ה</w:t>
            </w:r>
            <w:sdt>
              <w:sdtPr>
                <w:rPr>
                  <w:b/>
                  <w:bCs/>
                  <w:rtl/>
                </w:rPr>
                <w:alias w:val="1184"/>
                <w:tag w:val="1184"/>
                <w:id w:val="-340621022"/>
                <w:text w:multiLine="1"/>
              </w:sdtPr>
              <w:sdtEndPr/>
              <w:sdtContent>
                <w:r w:rsidRPr="00960C6E">
                  <w:rPr>
                    <w:rFonts w:ascii="Arial" w:hAnsi="Arial"/>
                    <w:b/>
                    <w:bCs/>
                    <w:noProof w:val="0"/>
                    <w:rtl/>
                  </w:rPr>
                  <w:t>משיב</w:t>
                </w:r>
                <w:r w:rsidRPr="00960C6E" w:rsidR="00960C6E">
                  <w:rPr>
                    <w:rFonts w:hint="cs"/>
                    <w:b/>
                    <w:bCs/>
                    <w:rtl/>
                  </w:rPr>
                  <w:t>ה</w:t>
                </w:r>
              </w:sdtContent>
            </w:sdt>
            <w:r>
              <w:rPr>
                <w:rFonts w:hint="cs" w:ascii="Arial" w:hAnsi="Arial"/>
                <w:b/>
                <w:bCs/>
                <w:noProof w:val="0"/>
                <w:sz w:val="26"/>
                <w:szCs w:val="26"/>
                <w:rtl/>
              </w:rPr>
              <w:t>:</w:t>
            </w:r>
          </w:p>
        </w:tc>
        <w:tc>
          <w:tcPr>
            <w:tcW w:w="5362" w:type="dxa"/>
            <w:gridSpan w:val="2"/>
          </w:tcPr>
          <w:p w:rsidRPr="003A2359" w:rsidR="00B02C76" w:rsidP="00B02C76" w:rsidRDefault="001D0DC5">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מדינת ישראל</w:t>
                </w:r>
              </w:sdtContent>
            </w:sdt>
          </w:p>
        </w:tc>
      </w:tr>
      <w:tr w:rsidRPr="00FA4EAF" w:rsidR="00B02C76" w:rsidTr="008924AB">
        <w:tc>
          <w:tcPr>
            <w:tcW w:w="8505" w:type="dxa"/>
            <w:gridSpan w:val="3"/>
          </w:tcPr>
          <w:p w:rsidR="00F97166" w:rsidRDefault="00F97166">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00960C6E" w:rsidP="0009531C" w:rsidRDefault="00960C6E">
      <w:pPr>
        <w:autoSpaceDE w:val="0"/>
        <w:autoSpaceDN w:val="0"/>
        <w:adjustRightInd w:val="0"/>
        <w:spacing w:line="360" w:lineRule="auto"/>
        <w:rPr>
          <w:rFonts w:ascii="Tahoma" w:hAnsi="Tahoma"/>
        </w:rPr>
      </w:pPr>
      <w:r>
        <w:rPr>
          <w:rFonts w:hint="cs" w:ascii="Tahoma" w:hAnsi="Tahoma"/>
          <w:rtl/>
        </w:rPr>
        <w:t>בניגוד לנטען בבקשה, המבקש זומן כדין ואם לא דרש את דבר הדואר הרשום, אין לו להלין אלא על עצמו – ראה ר</w:t>
      </w:r>
      <w:r>
        <w:rPr>
          <w:rFonts w:hint="cs" w:ascii="Tahoma" w:hAnsi="Tahoma"/>
          <w:b/>
          <w:bCs/>
          <w:u w:val="single"/>
          <w:rtl/>
        </w:rPr>
        <w:t>ע"פ 8427/17 מדינת ישראל נגד סאלם</w:t>
      </w:r>
      <w:r>
        <w:rPr>
          <w:rFonts w:hint="cs" w:ascii="Tahoma" w:hAnsi="Tahoma"/>
          <w:rtl/>
        </w:rPr>
        <w:t>, שם נקבע:"</w:t>
      </w:r>
      <w:r>
        <w:rPr>
          <w:rFonts w:hint="cs"/>
          <w:rtl/>
        </w:rPr>
        <w:t xml:space="preserve"> </w:t>
      </w:r>
      <w:r>
        <w:rPr>
          <w:rFonts w:hint="cs"/>
          <w:b/>
          <w:bCs/>
          <w:rtl/>
        </w:rPr>
        <w:t>מדוגמאות אלה ועוד רבות אחרות, נלמדים הכללים הבאים: כאשר דו"ח העבירה, ההזמנה לדיון, או כתב האישום נשלחים בדואר רשום לכתובתו של המבקש במשרד הפנים, לא תעמוד לו, ככלל, טענה לקיומה של סיבה מוצדקת לאי התייצבות</w:t>
      </w:r>
      <w:r>
        <w:rPr>
          <w:rFonts w:hint="cs" w:ascii="Tahoma" w:hAnsi="Tahoma"/>
          <w:rtl/>
        </w:rPr>
        <w:t>".</w:t>
      </w:r>
    </w:p>
    <w:p w:rsidR="00960C6E" w:rsidP="00960C6E" w:rsidRDefault="00960C6E">
      <w:pPr>
        <w:pStyle w:val="Ruller4"/>
        <w:rPr>
          <w:rFonts w:cs="David"/>
          <w:b/>
          <w:bCs/>
          <w:sz w:val="24"/>
          <w:szCs w:val="24"/>
          <w:rtl/>
        </w:rPr>
      </w:pPr>
      <w:r>
        <w:rPr>
          <w:rFonts w:hint="cs" w:ascii="Tahoma" w:hAnsi="Tahoma" w:cs="David"/>
          <w:sz w:val="24"/>
          <w:szCs w:val="24"/>
          <w:rtl/>
        </w:rPr>
        <w:t>בגזר הדין לא נגרם למבקש כל עיוות דין, עת הושת עליו קנס בגובה ברירת הקנס וממילא, לא פירט המבקש את טיעוניו כנגד האישום</w:t>
      </w:r>
      <w:r>
        <w:rPr>
          <w:rFonts w:hint="cs" w:ascii="Tahoma" w:hAnsi="Tahoma"/>
          <w:rtl/>
        </w:rPr>
        <w:t xml:space="preserve"> </w:t>
      </w:r>
      <w:r>
        <w:rPr>
          <w:rFonts w:hint="cs" w:ascii="Tahoma" w:hAnsi="Tahoma" w:cs="David"/>
          <w:rtl/>
        </w:rPr>
        <w:t>–</w:t>
      </w:r>
      <w:r>
        <w:rPr>
          <w:rFonts w:hint="cs" w:ascii="Tahoma" w:hAnsi="Tahoma"/>
          <w:rtl/>
        </w:rPr>
        <w:t xml:space="preserve"> </w:t>
      </w:r>
      <w:r>
        <w:rPr>
          <w:rFonts w:hint="cs" w:ascii="Tahoma" w:hAnsi="Tahoma" w:cs="David"/>
          <w:sz w:val="24"/>
          <w:szCs w:val="24"/>
          <w:rtl/>
        </w:rPr>
        <w:t>ראה ענין סאלם לעיל, בו נקבע</w:t>
      </w:r>
      <w:r>
        <w:rPr>
          <w:rFonts w:hint="cs" w:ascii="Tahoma" w:hAnsi="Tahoma"/>
          <w:rtl/>
        </w:rPr>
        <w:t>:"</w:t>
      </w:r>
      <w:r>
        <w:rPr>
          <w:rFonts w:hint="cs"/>
          <w:rtl/>
        </w:rPr>
        <w:t xml:space="preserve"> </w:t>
      </w:r>
      <w:r>
        <w:rPr>
          <w:rFonts w:hint="cs" w:cs="David"/>
          <w:b/>
          <w:bCs/>
          <w:sz w:val="24"/>
          <w:szCs w:val="24"/>
          <w:rtl/>
        </w:rPr>
        <w:t>ניתן אם כן לקבוע, בשינויים המחויבים, כי גם כאשר מדובר בבקשה לביטול פסק דין שניתן בהיעדר, יש להצביע על שיקולים כבדי משקל, שיש בהם פוטנציאל ממשי לשינוי התוצאה, על מנת שיבוטל פסק הדין בעילה של חשש לעיוות דין. וכפי שהובהר ב</w:t>
      </w:r>
      <w:hyperlink w:history="1" r:id="rId9">
        <w:r>
          <w:rPr>
            <w:rStyle w:val="Hyperlink"/>
            <w:rFonts w:hint="cs" w:cs="David"/>
            <w:b/>
            <w:bCs/>
            <w:sz w:val="24"/>
            <w:szCs w:val="24"/>
            <w:rtl/>
          </w:rPr>
          <w:t>ע"פ 6920/07</w:t>
        </w:r>
      </w:hyperlink>
      <w:r>
        <w:rPr>
          <w:rFonts w:hint="cs" w:cs="David"/>
          <w:b/>
          <w:bCs/>
          <w:sz w:val="24"/>
          <w:szCs w:val="24"/>
          <w:rtl/>
        </w:rPr>
        <w:t xml:space="preserve"> </w:t>
      </w:r>
      <w:r>
        <w:rPr>
          <w:rFonts w:hint="cs" w:ascii="Times New Roman" w:hAnsi="Times New Roman" w:cs="David"/>
          <w:b/>
          <w:bCs/>
          <w:spacing w:val="0"/>
          <w:sz w:val="24"/>
          <w:szCs w:val="24"/>
          <w:rtl/>
        </w:rPr>
        <w:t>חסון נ' מדינת ישראל</w:t>
      </w:r>
      <w:r>
        <w:rPr>
          <w:rFonts w:hint="cs" w:cs="David"/>
          <w:b/>
          <w:bCs/>
          <w:sz w:val="24"/>
          <w:szCs w:val="24"/>
          <w:rtl/>
        </w:rPr>
        <w:t xml:space="preserve"> (4.9.2007):</w:t>
      </w:r>
    </w:p>
    <w:p w:rsidR="00960C6E" w:rsidP="0009531C" w:rsidRDefault="00960C6E">
      <w:pPr>
        <w:pStyle w:val="Ruller5"/>
        <w:rPr>
          <w:rFonts w:cs="David"/>
          <w:b/>
          <w:bCs/>
          <w:sz w:val="24"/>
          <w:szCs w:val="24"/>
        </w:rPr>
      </w:pPr>
      <w:r>
        <w:rPr>
          <w:rFonts w:hint="cs" w:cs="David"/>
          <w:b/>
          <w:bCs/>
          <w:sz w:val="24"/>
          <w:szCs w:val="24"/>
          <w:rtl/>
        </w:rPr>
        <w:t>"המונח 'עיוות דין' פורש בפסיקתו של בית משפט זה כמקרה שבו תוצאת המשפט היתה יכולה להיות שונה עקב פגם מסוים שנפל בהליך... או כמקרה שבו נפל בהליך פגם פרוצדוראלי כה חמור היורד לשורשו של עניין עד שקמה חזקה שנגרם עיוות דין ללא צורך בהצבעה על קשר סיבתי בין הפגם לתוצאה" (שם, בפסקה 7).</w:t>
      </w:r>
    </w:p>
    <w:p w:rsidR="00960C6E" w:rsidP="0009531C" w:rsidRDefault="00960C6E">
      <w:pPr>
        <w:pStyle w:val="Ruller4"/>
        <w:rPr>
          <w:rFonts w:cs="David"/>
          <w:b/>
          <w:bCs/>
          <w:sz w:val="24"/>
          <w:szCs w:val="24"/>
          <w:rtl/>
        </w:rPr>
      </w:pPr>
    </w:p>
    <w:p w:rsidR="00960C6E" w:rsidP="0009531C" w:rsidRDefault="00960C6E">
      <w:pPr>
        <w:pStyle w:val="Ruller4"/>
        <w:rPr>
          <w:rFonts w:cs="David"/>
          <w:b/>
          <w:bCs/>
          <w:sz w:val="24"/>
          <w:szCs w:val="24"/>
          <w:rtl/>
        </w:rPr>
      </w:pPr>
      <w:r>
        <w:rPr>
          <w:rFonts w:hint="cs" w:cs="David"/>
          <w:b/>
          <w:bCs/>
          <w:sz w:val="24"/>
          <w:szCs w:val="24"/>
          <w:rtl/>
        </w:rPr>
        <w:t>כפי שנַרְאֵה להלן, טענות כלליות וסתמיות בדבר קיומו של עיוות דין, מבלי להניח תשתית ראייתית בעלת משקל לתמיכה בטענה, לא יובילו, ככלל, לבטלותו של פסק הדין, בעילה זו".</w:t>
      </w:r>
    </w:p>
    <w:p w:rsidR="00960C6E" w:rsidP="0009531C" w:rsidRDefault="00960C6E">
      <w:pPr>
        <w:pStyle w:val="Ruller4"/>
        <w:rPr>
          <w:rFonts w:cs="David"/>
          <w:b/>
          <w:bCs/>
          <w:sz w:val="24"/>
          <w:szCs w:val="24"/>
          <w:rtl/>
        </w:rPr>
      </w:pPr>
    </w:p>
    <w:p w:rsidR="00960C6E" w:rsidP="0009531C" w:rsidRDefault="00960C6E">
      <w:pPr>
        <w:pStyle w:val="Ruller4"/>
        <w:rPr>
          <w:rFonts w:cs="David"/>
          <w:b/>
          <w:bCs/>
          <w:sz w:val="24"/>
          <w:szCs w:val="24"/>
          <w:rtl/>
        </w:rPr>
      </w:pPr>
    </w:p>
    <w:p w:rsidR="00960C6E" w:rsidP="0009531C" w:rsidRDefault="00960C6E">
      <w:pPr>
        <w:pStyle w:val="Ruller4"/>
        <w:rPr>
          <w:rFonts w:cs="David"/>
          <w:b/>
          <w:bCs/>
          <w:sz w:val="24"/>
          <w:szCs w:val="24"/>
          <w:rtl/>
        </w:rPr>
      </w:pPr>
      <w:bookmarkStart w:name="_GoBack" w:id="1"/>
      <w:bookmarkEnd w:id="1"/>
    </w:p>
    <w:p w:rsidR="00960C6E" w:rsidP="0009531C" w:rsidRDefault="00960C6E">
      <w:pPr>
        <w:autoSpaceDE w:val="0"/>
        <w:autoSpaceDN w:val="0"/>
        <w:adjustRightInd w:val="0"/>
        <w:spacing w:line="360" w:lineRule="auto"/>
        <w:rPr>
          <w:rFonts w:ascii="Tahoma" w:hAnsi="Tahoma"/>
          <w:rtl/>
        </w:rPr>
      </w:pPr>
      <w:r>
        <w:rPr>
          <w:rFonts w:hint="cs" w:ascii="Tahoma" w:hAnsi="Tahoma"/>
          <w:rtl/>
        </w:rPr>
        <w:lastRenderedPageBreak/>
        <w:t>מכל האמור, הבקשה נדחית.</w:t>
      </w:r>
    </w:p>
    <w:p w:rsidR="00960C6E" w:rsidRDefault="00960C6E"/>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1D0DC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478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2460c953c624f62" cstate="print">
                            <a:extLst>
                              <a:ext uri="{28A0092B-C50C-407E-A947-70E740481C1C}"/>
                            </a:extLst>
                          </a:blip>
                          <a:stretch>
                            <a:fillRect/>
                          </a:stretch>
                        </pic:blipFill>
                        <pic:spPr>
                          <a:xfrm>
                            <a:off x="0" y="0"/>
                            <a:ext cx="1447800" cy="581025"/>
                          </a:xfrm>
                          <a:prstGeom prst="rect">
                            <a:avLst/>
                          </a:prstGeom>
                        </pic:spPr>
                      </pic:pic>
                    </a:graphicData>
                  </a:graphic>
                </wp:inline>
              </w:drawing>
            </w:r>
          </w:p>
        </w:sdtContent>
      </w:sdt>
    </w:p>
    <w:sectPr w:rsidR="00694556" w:rsidSect="00954A70">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1D0DC5">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1D0DC5">
      <w:rPr>
        <w:rStyle w:val="ab"/>
        <w:rtl/>
      </w:rPr>
      <w:t>2</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60C6E">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לתעבורה בתל אביב - יפו</w:t>
              </w:r>
            </w:p>
          </w:tc>
        </w:sdtContent>
      </w:sdt>
    </w:tr>
    <w:tr w:rsidRPr="00FA4EAF" w:rsidR="00694556" w:rsidTr="00BB52D6">
      <w:trPr>
        <w:trHeight w:val="337"/>
        <w:jc w:val="center"/>
      </w:trPr>
      <w:tc>
        <w:tcPr>
          <w:tcW w:w="8505" w:type="dxa"/>
        </w:tcPr>
        <w:p w:rsidRPr="00FA4EAF" w:rsidR="007D45E3" w:rsidP="00314311" w:rsidRDefault="001D0DC5">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תת"ע</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5997-02-18</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מדינת ישראל נ' שגיא גבעול</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0DC5"/>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0C6E"/>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4D1D"/>
    <w:rsid w:val="00F84B6D"/>
    <w:rsid w:val="00F97166"/>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6A68354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unhideWhenUsed/>
    <w:rsid w:val="00960C6E"/>
    <w:rPr>
      <w:color w:val="0000FF"/>
      <w:u w:val="single"/>
    </w:rPr>
  </w:style>
  <w:style w:type="paragraph" w:customStyle="1" w:styleId="Ruller4">
    <w:name w:val="Ruller4"/>
    <w:basedOn w:val="a"/>
    <w:rsid w:val="00960C6E"/>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Ruller5">
    <w:name w:val="Ruller5"/>
    <w:basedOn w:val="a"/>
    <w:rsid w:val="00960C6E"/>
    <w:pPr>
      <w:overflowPunct w:val="0"/>
      <w:autoSpaceDE w:val="0"/>
      <w:autoSpaceDN w:val="0"/>
      <w:adjustRightInd w:val="0"/>
      <w:ind w:left="1642" w:right="1282"/>
      <w:jc w:val="both"/>
    </w:pPr>
    <w:rPr>
      <w:rFonts w:ascii="Arial TUR"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case/6089811" TargetMode="External" Id="rId9" /><Relationship Type="http://schemas.openxmlformats.org/officeDocument/2006/relationships/header" Target="header3.xml" Id="rId14" /><Relationship Type="http://schemas.openxmlformats.org/officeDocument/2006/relationships/image" Target="/media/image2.jpg" Id="R12460c953c624f6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249</Words>
  <Characters>1248</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NGCS</cp:lastModifiedBy>
  <cp:revision>152</cp:revision>
  <dcterms:created xsi:type="dcterms:W3CDTF">2012-08-06T05:16:00Z</dcterms:created>
  <dcterms:modified xsi:type="dcterms:W3CDTF">2018-04-12T05:54:00Z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