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8B6C9A" w:rsidR="00F62388" w:rsidP="00F62388" w:rsidRDefault="009116B2">
      <w:pPr>
        <w:spacing w:line="360" w:lineRule="auto"/>
        <w:jc w:val="both"/>
      </w:pPr>
    </w:p>
    <w:tbl>
      <w:tblPr>
        <w:bidiVisual/>
        <w:tblW w:w="0" w:type="auto"/>
        <w:jc w:val="center"/>
        <w:tblLook w:val="04A0" w:firstRow="1" w:lastRow="0" w:firstColumn="1" w:lastColumn="0" w:noHBand="0" w:noVBand="1"/>
      </w:tblPr>
      <w:tblGrid>
        <w:gridCol w:w="3807"/>
        <w:gridCol w:w="1017"/>
        <w:gridCol w:w="3455"/>
      </w:tblGrid>
      <w:tr w:rsidRPr="008B6C9A" w:rsidR="00F62388" w:rsidTr="00F62388">
        <w:trPr>
          <w:trHeight w:val="337"/>
          <w:jc w:val="center"/>
        </w:trPr>
        <w:tc>
          <w:tcPr>
            <w:tcW w:w="3973" w:type="dxa"/>
            <w:hideMark/>
          </w:tcPr>
          <w:p w:rsidRPr="008B6C9A" w:rsidR="00F62388" w:rsidRDefault="009116B2">
            <w:pPr>
              <w:jc w:val="both"/>
              <w:rPr>
                <w:b/>
                <w:bCs/>
                <w:sz w:val="26"/>
                <w:szCs w:val="26"/>
                <w:rtl/>
              </w:rPr>
            </w:pPr>
            <w:r w:rsidRPr="008B6C9A">
              <w:rPr>
                <w:rFonts w:hint="cs"/>
                <w:b/>
                <w:bCs/>
                <w:sz w:val="26"/>
                <w:szCs w:val="26"/>
                <w:rtl/>
              </w:rPr>
              <w:t>בפני כב' השופטת ר. למלשטריך- לטר</w:t>
            </w:r>
          </w:p>
        </w:tc>
        <w:tc>
          <w:tcPr>
            <w:tcW w:w="1071" w:type="dxa"/>
          </w:tcPr>
          <w:p w:rsidRPr="008B6C9A" w:rsidR="00F62388" w:rsidRDefault="009116B2">
            <w:pPr>
              <w:pStyle w:val="a3"/>
              <w:jc w:val="both"/>
              <w:rPr>
                <w:b/>
                <w:bCs/>
                <w:sz w:val="26"/>
                <w:szCs w:val="26"/>
                <w:rtl/>
              </w:rPr>
            </w:pPr>
          </w:p>
        </w:tc>
        <w:tc>
          <w:tcPr>
            <w:tcW w:w="3676" w:type="dxa"/>
          </w:tcPr>
          <w:p w:rsidRPr="008B6C9A" w:rsidR="00F62388" w:rsidRDefault="009116B2">
            <w:pPr>
              <w:pStyle w:val="a3"/>
              <w:jc w:val="both"/>
              <w:rPr>
                <w:b/>
                <w:bCs/>
                <w:sz w:val="26"/>
                <w:szCs w:val="26"/>
                <w:rtl/>
              </w:rPr>
            </w:pPr>
          </w:p>
        </w:tc>
      </w:tr>
    </w:tbl>
    <w:tbl>
      <w:tblPr>
        <w:tblStyle w:val="a6"/>
        <w:bidiVisual/>
        <w:tblW w:w="8805"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1E0" w:firstRow="1" w:lastRow="1" w:firstColumn="1" w:lastColumn="1" w:noHBand="0" w:noVBand="0"/>
      </w:tblPr>
      <w:tblGrid>
        <w:gridCol w:w="3241"/>
        <w:gridCol w:w="5564"/>
      </w:tblGrid>
      <w:tr w:rsidRPr="008B6C9A" w:rsidR="00F62388" w:rsidTr="00F62388">
        <w:tc>
          <w:tcPr>
            <w:tcW w:w="3240" w:type="dxa"/>
            <w:hideMark/>
          </w:tcPr>
          <w:p w:rsidRPr="008B6C9A" w:rsidR="00F62388" w:rsidRDefault="009116B2">
            <w:pPr>
              <w:ind w:left="26"/>
              <w:rPr>
                <w:b/>
                <w:bCs/>
                <w:sz w:val="26"/>
                <w:szCs w:val="26"/>
                <w:rtl/>
              </w:rPr>
            </w:pPr>
            <w:r w:rsidRPr="008B6C9A">
              <w:rPr>
                <w:rFonts w:hint="cs"/>
                <w:b/>
                <w:bCs/>
                <w:sz w:val="26"/>
                <w:szCs w:val="26"/>
                <w:rtl/>
              </w:rPr>
              <w:t>ה</w:t>
            </w:r>
            <w:sdt>
              <w:sdtPr>
                <w:rPr>
                  <w:rtl/>
                </w:rPr>
                <w:alias w:val="1264"/>
                <w:tag w:val="1264"/>
                <w:id w:val="1971866312"/>
                <w:text w:multiLine="1"/>
              </w:sdtPr>
              <w:sdtEndPr/>
              <w:sdtContent>
                <w:r w:rsidRPr="008B6C9A">
                  <w:rPr>
                    <w:rFonts w:hint="cs"/>
                    <w:b/>
                    <w:bCs/>
                    <w:sz w:val="26"/>
                    <w:szCs w:val="26"/>
                    <w:rtl/>
                  </w:rPr>
                  <w:t>תובעים</w:t>
                </w:r>
              </w:sdtContent>
            </w:sdt>
          </w:p>
        </w:tc>
        <w:tc>
          <w:tcPr>
            <w:tcW w:w="5562" w:type="dxa"/>
            <w:hideMark/>
          </w:tcPr>
          <w:p w:rsidRPr="008B6C9A" w:rsidR="00F62388" w:rsidRDefault="009116B2">
            <w:pPr>
              <w:rPr>
                <w:b/>
                <w:bCs/>
                <w:sz w:val="26"/>
                <w:szCs w:val="26"/>
                <w:rtl/>
              </w:rPr>
            </w:pPr>
            <w:sdt>
              <w:sdtPr>
                <w:rPr>
                  <w:rtl/>
                </w:rPr>
                <w:alias w:val="828"/>
                <w:tag w:val="828"/>
                <w:id w:val="514187574"/>
                <w:text w:multiLine="1"/>
              </w:sdtPr>
              <w:sdtEndPr/>
              <w:sdtContent/>
            </w:sdt>
            <w:r w:rsidRPr="008B6C9A">
              <w:rPr>
                <w:rFonts w:hint="cs"/>
                <w:b/>
                <w:bCs/>
                <w:sz w:val="26"/>
                <w:szCs w:val="26"/>
                <w:rtl/>
              </w:rPr>
              <w:t xml:space="preserve"> </w:t>
            </w:r>
            <w:sdt>
              <w:sdtPr>
                <w:rPr>
                  <w:rFonts w:hint="cs"/>
                  <w:b/>
                  <w:bCs/>
                  <w:sz w:val="26"/>
                  <w:szCs w:val="26"/>
                  <w:rtl/>
                </w:rPr>
                <w:alias w:val="825"/>
                <w:tag w:val="825"/>
                <w:id w:val="1022757237"/>
                <w:text w:multiLine="1"/>
              </w:sdtPr>
              <w:sdtEndPr/>
              <w:sdtContent>
                <w:r w:rsidRPr="008B6C9A">
                  <w:rPr>
                    <w:rFonts w:hint="cs"/>
                    <w:b/>
                    <w:bCs/>
                    <w:sz w:val="26"/>
                    <w:szCs w:val="26"/>
                    <w:rtl/>
                  </w:rPr>
                  <w:t>עירית עכו ח.פ. 500276001</w:t>
                </w:r>
              </w:sdtContent>
            </w:sdt>
          </w:p>
        </w:tc>
      </w:tr>
      <w:tr w:rsidRPr="008B6C9A" w:rsidR="00F62388" w:rsidTr="00F62388">
        <w:tc>
          <w:tcPr>
            <w:tcW w:w="8802" w:type="dxa"/>
            <w:gridSpan w:val="2"/>
          </w:tcPr>
          <w:p w:rsidRPr="008B6C9A" w:rsidR="00F62388" w:rsidRDefault="009116B2">
            <w:pPr>
              <w:jc w:val="both"/>
              <w:rPr>
                <w:rFonts w:ascii="Arial" w:hAnsi="Arial"/>
                <w:b/>
                <w:bCs/>
                <w:sz w:val="26"/>
                <w:szCs w:val="26"/>
                <w:rtl/>
              </w:rPr>
            </w:pPr>
          </w:p>
          <w:p w:rsidRPr="008B6C9A" w:rsidR="00F62388" w:rsidRDefault="009116B2">
            <w:pPr>
              <w:jc w:val="center"/>
              <w:rPr>
                <w:rFonts w:ascii="Arial" w:hAnsi="Arial"/>
                <w:b/>
                <w:bCs/>
                <w:sz w:val="26"/>
                <w:szCs w:val="26"/>
                <w:rtl/>
              </w:rPr>
            </w:pPr>
            <w:r w:rsidRPr="008B6C9A">
              <w:rPr>
                <w:rFonts w:hint="cs" w:ascii="Arial" w:hAnsi="Arial"/>
                <w:b/>
                <w:bCs/>
                <w:sz w:val="26"/>
                <w:szCs w:val="26"/>
                <w:rtl/>
              </w:rPr>
              <w:t>נגד</w:t>
            </w:r>
          </w:p>
          <w:p w:rsidRPr="008B6C9A" w:rsidR="00F62388" w:rsidRDefault="009116B2">
            <w:pPr>
              <w:jc w:val="center"/>
              <w:rPr>
                <w:rFonts w:ascii="Arial" w:hAnsi="Arial"/>
                <w:b/>
                <w:bCs/>
                <w:sz w:val="26"/>
                <w:szCs w:val="26"/>
                <w:rtl/>
              </w:rPr>
            </w:pPr>
          </w:p>
        </w:tc>
      </w:tr>
      <w:tr w:rsidRPr="008B6C9A" w:rsidR="00F62388" w:rsidTr="00F62388">
        <w:tc>
          <w:tcPr>
            <w:tcW w:w="3240" w:type="dxa"/>
            <w:hideMark/>
          </w:tcPr>
          <w:p w:rsidRPr="008B6C9A" w:rsidR="00F62388" w:rsidRDefault="009116B2">
            <w:pPr>
              <w:ind w:left="26"/>
              <w:rPr>
                <w:b/>
                <w:bCs/>
                <w:sz w:val="26"/>
                <w:szCs w:val="26"/>
              </w:rPr>
            </w:pPr>
            <w:r w:rsidRPr="008B6C9A">
              <w:rPr>
                <w:rFonts w:hint="cs"/>
                <w:b/>
                <w:bCs/>
                <w:sz w:val="26"/>
                <w:szCs w:val="26"/>
                <w:rtl/>
              </w:rPr>
              <w:t>ה</w:t>
            </w:r>
            <w:sdt>
              <w:sdtPr>
                <w:rPr>
                  <w:rtl/>
                </w:rPr>
                <w:alias w:val="1265"/>
                <w:tag w:val="1265"/>
                <w:id w:val="-1546986308"/>
                <w:text w:multiLine="1"/>
              </w:sdtPr>
              <w:sdtEndPr/>
              <w:sdtContent>
                <w:r w:rsidRPr="008B6C9A">
                  <w:rPr>
                    <w:rFonts w:hint="cs"/>
                    <w:b/>
                    <w:bCs/>
                    <w:sz w:val="26"/>
                    <w:szCs w:val="26"/>
                    <w:rtl/>
                  </w:rPr>
                  <w:t>נתבעים</w:t>
                </w:r>
              </w:sdtContent>
            </w:sdt>
          </w:p>
        </w:tc>
        <w:tc>
          <w:tcPr>
            <w:tcW w:w="5562" w:type="dxa"/>
            <w:hideMark/>
          </w:tcPr>
          <w:p w:rsidRPr="008B6C9A" w:rsidR="00F62388" w:rsidRDefault="009116B2">
            <w:pPr>
              <w:rPr>
                <w:b/>
                <w:bCs/>
                <w:sz w:val="26"/>
                <w:szCs w:val="26"/>
                <w:rtl/>
              </w:rPr>
            </w:pPr>
            <w:sdt>
              <w:sdtPr>
                <w:rPr>
                  <w:rtl/>
                </w:rPr>
                <w:alias w:val="829"/>
                <w:tag w:val="829"/>
                <w:id w:val="1973862755"/>
                <w:text w:multiLine="1"/>
              </w:sdtPr>
              <w:sdtEndPr/>
              <w:sdtContent>
                <w:r w:rsidRPr="008B6C9A">
                  <w:rPr>
                    <w:b/>
                    <w:bCs/>
                    <w:sz w:val="26"/>
                    <w:szCs w:val="26"/>
                  </w:rPr>
                  <w:t>.1</w:t>
                </w:r>
              </w:sdtContent>
            </w:sdt>
            <w:r w:rsidRPr="008B6C9A">
              <w:rPr>
                <w:rFonts w:hint="cs"/>
                <w:b/>
                <w:bCs/>
                <w:sz w:val="26"/>
                <w:szCs w:val="26"/>
                <w:rtl/>
              </w:rPr>
              <w:t xml:space="preserve"> </w:t>
            </w:r>
            <w:sdt>
              <w:sdtPr>
                <w:rPr>
                  <w:rtl/>
                </w:rPr>
                <w:alias w:val="1266"/>
                <w:tag w:val="1266"/>
                <w:id w:val="1195582025"/>
                <w:text w:multiLine="1"/>
              </w:sdtPr>
              <w:sdtEndPr/>
              <w:sdtContent>
                <w:r w:rsidRPr="008B6C9A">
                  <w:rPr>
                    <w:rFonts w:hint="cs"/>
                    <w:b/>
                    <w:bCs/>
                    <w:sz w:val="26"/>
                    <w:szCs w:val="26"/>
                    <w:rtl/>
                  </w:rPr>
                  <w:t>איילון חברה לביטוח בע"מ ח.פ. 500276001</w:t>
                </w:r>
              </w:sdtContent>
            </w:sdt>
          </w:p>
          <w:p w:rsidRPr="008B6C9A" w:rsidR="00F62388" w:rsidRDefault="009116B2">
            <w:pPr>
              <w:rPr>
                <w:b/>
                <w:bCs/>
                <w:sz w:val="26"/>
                <w:szCs w:val="26"/>
                <w:rtl/>
              </w:rPr>
            </w:pPr>
          </w:p>
        </w:tc>
      </w:tr>
    </w:tbl>
    <w:p w:rsidRPr="008B6C9A" w:rsidR="00F62388" w:rsidP="00F62388" w:rsidRDefault="009116B2">
      <w:pPr>
        <w:spacing w:line="360" w:lineRule="auto"/>
        <w:jc w:val="both"/>
        <w:rPr>
          <w:rFonts w:ascii="David" w:hAnsi="David"/>
          <w:rtl/>
        </w:rPr>
      </w:pPr>
    </w:p>
    <w:p w:rsidRPr="008B6C9A" w:rsidR="001434F7" w:rsidRDefault="009116B2"/>
    <w:tbl>
      <w:tblPr>
        <w:tblStyle w:val="a6"/>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D516FE">
        <w:trPr>
          <w:jc w:val="center"/>
        </w:trPr>
        <w:tc>
          <w:tcPr>
            <w:tcW w:w="8820" w:type="dxa"/>
          </w:tcPr>
          <w:p w:rsidR="00D516FE" w:rsidRDefault="00B4791E">
            <w:pPr>
              <w:bidi w:val="0"/>
              <w:jc w:val="center"/>
              <w:rPr>
                <w:rFonts w:ascii="Arial" w:hAnsi="Arial"/>
                <w:b/>
                <w:bCs/>
                <w:u w:val="single"/>
              </w:rPr>
            </w:pPr>
            <w:r>
              <w:rPr>
                <w:rFonts w:ascii="Arial" w:hAnsi="Arial"/>
                <w:b/>
                <w:bCs/>
                <w:sz w:val="30"/>
                <w:szCs w:val="30"/>
                <w:u w:val="single"/>
                <w:rtl/>
              </w:rPr>
              <w:t>החלטה</w:t>
            </w:r>
          </w:p>
        </w:tc>
      </w:tr>
    </w:tbl>
    <w:p w:rsidR="00D516FE" w:rsidRDefault="00D516FE">
      <w:pPr>
        <w:rPr>
          <w:rFonts w:ascii="Arial" w:hAnsi="Arial"/>
          <w:rtl/>
        </w:rPr>
      </w:pPr>
    </w:p>
    <w:p w:rsidR="00D516FE" w:rsidRDefault="00D516FE">
      <w:pPr>
        <w:spacing w:line="360" w:lineRule="auto"/>
        <w:jc w:val="both"/>
        <w:rPr>
          <w:rFonts w:ascii="Arial" w:hAnsi="Arial"/>
          <w:rtl/>
        </w:rPr>
      </w:pPr>
    </w:p>
    <w:p w:rsidR="006F5617" w:rsidP="00A623B5" w:rsidRDefault="00A623B5">
      <w:pPr>
        <w:spacing w:line="360" w:lineRule="auto"/>
        <w:jc w:val="both"/>
        <w:rPr>
          <w:rFonts w:ascii="Arial" w:hAnsi="Arial"/>
          <w:rtl/>
        </w:rPr>
      </w:pPr>
      <w:r>
        <w:rPr>
          <w:rFonts w:hint="cs" w:ascii="Arial" w:hAnsi="Arial"/>
          <w:rtl/>
        </w:rPr>
        <w:t xml:space="preserve">1. התובעת הגישה בקשה לפסילת המומחה השמאי שמונה על ידי בית המשפט בתביעה זו. </w:t>
      </w:r>
    </w:p>
    <w:p w:rsidR="00A623B5" w:rsidP="00A623B5" w:rsidRDefault="00A623B5">
      <w:pPr>
        <w:spacing w:line="360" w:lineRule="auto"/>
        <w:jc w:val="both"/>
        <w:rPr>
          <w:rFonts w:ascii="Arial" w:hAnsi="Arial"/>
          <w:rtl/>
        </w:rPr>
      </w:pPr>
    </w:p>
    <w:p w:rsidR="00A623B5" w:rsidP="00A623B5" w:rsidRDefault="00A623B5">
      <w:pPr>
        <w:spacing w:line="360" w:lineRule="auto"/>
        <w:jc w:val="both"/>
        <w:rPr>
          <w:rFonts w:ascii="Arial" w:hAnsi="Arial"/>
          <w:rtl/>
        </w:rPr>
      </w:pPr>
      <w:r>
        <w:rPr>
          <w:rFonts w:hint="cs" w:ascii="Arial" w:hAnsi="Arial"/>
          <w:rtl/>
        </w:rPr>
        <w:t xml:space="preserve">2. </w:t>
      </w:r>
      <w:r>
        <w:rPr>
          <w:rFonts w:hint="cs" w:ascii="Arial" w:hAnsi="Arial"/>
          <w:u w:val="single"/>
          <w:rtl/>
        </w:rPr>
        <w:t xml:space="preserve">הרקע לדיון </w:t>
      </w:r>
    </w:p>
    <w:p w:rsidR="00A623B5" w:rsidP="00A154F4" w:rsidRDefault="00A623B5">
      <w:pPr>
        <w:spacing w:line="360" w:lineRule="auto"/>
        <w:ind w:left="624"/>
        <w:jc w:val="both"/>
        <w:rPr>
          <w:rFonts w:ascii="Arial" w:hAnsi="Arial"/>
          <w:rtl/>
        </w:rPr>
      </w:pPr>
      <w:r>
        <w:rPr>
          <w:rFonts w:hint="cs" w:ascii="Arial" w:hAnsi="Arial"/>
          <w:rtl/>
        </w:rPr>
        <w:t>2.1 התובעת הגישה תביעה כספית כנגד חברת הביטוח הנתבעת בסכום של 2.98 מיליון ₪ בגין נזק שנגרם לה בשריפה בבית הספר שזר שבעכו</w:t>
      </w:r>
      <w:r w:rsidR="00914954">
        <w:rPr>
          <w:rFonts w:hint="cs" w:ascii="Arial" w:hAnsi="Arial"/>
          <w:rtl/>
        </w:rPr>
        <w:t>,</w:t>
      </w:r>
      <w:r>
        <w:rPr>
          <w:rFonts w:hint="cs" w:ascii="Arial" w:hAnsi="Arial"/>
          <w:rtl/>
        </w:rPr>
        <w:t xml:space="preserve"> ביום 2.3.12. התובעת צרפה לתביעתה את חוות הדעת של שמאי ממשרד כ פתורי את דבי בע"מ</w:t>
      </w:r>
      <w:r w:rsidR="00A27DB0">
        <w:rPr>
          <w:rFonts w:hint="cs" w:ascii="Arial" w:hAnsi="Arial"/>
          <w:rtl/>
        </w:rPr>
        <w:t xml:space="preserve"> </w:t>
      </w:r>
      <w:r w:rsidR="00593326">
        <w:rPr>
          <w:rFonts w:hint="cs" w:ascii="Arial" w:hAnsi="Arial"/>
          <w:rtl/>
        </w:rPr>
        <w:t>.</w:t>
      </w:r>
      <w:r w:rsidR="00A27DB0">
        <w:rPr>
          <w:rFonts w:hint="cs" w:ascii="Arial" w:hAnsi="Arial"/>
          <w:rtl/>
        </w:rPr>
        <w:t xml:space="preserve"> הנתבעת ציינה בכתב הגנתה כי נשאה בתשלומי ביניים  ישירים לתובעת וכן בתשלומים לחברת שיקום חיצונית ובסה"כ מיליוני שקלים. סכום הנזק </w:t>
      </w:r>
      <w:r w:rsidR="00914954">
        <w:rPr>
          <w:rFonts w:hint="cs" w:ascii="Arial" w:hAnsi="Arial"/>
          <w:rtl/>
        </w:rPr>
        <w:t xml:space="preserve">הנוסף </w:t>
      </w:r>
      <w:r w:rsidR="00A27DB0">
        <w:rPr>
          <w:rFonts w:hint="cs" w:ascii="Arial" w:hAnsi="Arial"/>
          <w:rtl/>
        </w:rPr>
        <w:t xml:space="preserve">הוכחש ונטען כי התביעה הוגשה 3 ימים לפני תקופת ההתיישנות, דבר המדבר בעד עצמו. </w:t>
      </w:r>
      <w:r w:rsidR="00EE0731">
        <w:rPr>
          <w:rFonts w:hint="cs" w:ascii="Arial" w:hAnsi="Arial"/>
          <w:rtl/>
        </w:rPr>
        <w:t xml:space="preserve">הנתבעת הסתמכה על חוות דעת שמאי מטעמה, מר וידר. </w:t>
      </w:r>
    </w:p>
    <w:p w:rsidR="00EE0731" w:rsidP="00A154F4" w:rsidRDefault="00EE0731">
      <w:pPr>
        <w:spacing w:line="360" w:lineRule="auto"/>
        <w:ind w:left="624"/>
        <w:jc w:val="both"/>
        <w:rPr>
          <w:rFonts w:ascii="Arial" w:hAnsi="Arial"/>
          <w:rtl/>
        </w:rPr>
      </w:pPr>
    </w:p>
    <w:p w:rsidR="00EE0731" w:rsidP="00A154F4" w:rsidRDefault="00EE0731">
      <w:pPr>
        <w:spacing w:line="360" w:lineRule="auto"/>
        <w:ind w:left="624"/>
        <w:jc w:val="both"/>
        <w:rPr>
          <w:rFonts w:ascii="Arial" w:hAnsi="Arial"/>
          <w:rtl/>
        </w:rPr>
      </w:pPr>
      <w:r>
        <w:rPr>
          <w:rFonts w:hint="cs" w:ascii="Arial" w:hAnsi="Arial"/>
          <w:rtl/>
        </w:rPr>
        <w:t xml:space="preserve">2.2 הצדדים ניסו הליך של גישור </w:t>
      </w:r>
      <w:r>
        <w:rPr>
          <w:rFonts w:ascii="Arial" w:hAnsi="Arial"/>
          <w:rtl/>
        </w:rPr>
        <w:t>–</w:t>
      </w:r>
      <w:r>
        <w:rPr>
          <w:rFonts w:hint="cs" w:ascii="Arial" w:hAnsi="Arial"/>
          <w:rtl/>
        </w:rPr>
        <w:t xml:space="preserve"> שכשל. </w:t>
      </w:r>
    </w:p>
    <w:p w:rsidR="00EE0731" w:rsidP="00A154F4" w:rsidRDefault="00EE0731">
      <w:pPr>
        <w:spacing w:line="360" w:lineRule="auto"/>
        <w:ind w:left="624"/>
        <w:jc w:val="both"/>
        <w:rPr>
          <w:rFonts w:ascii="Arial" w:hAnsi="Arial"/>
          <w:rtl/>
        </w:rPr>
      </w:pPr>
    </w:p>
    <w:p w:rsidR="00A31B28" w:rsidP="00A154F4" w:rsidRDefault="00EE0731">
      <w:pPr>
        <w:spacing w:line="360" w:lineRule="auto"/>
        <w:ind w:left="624"/>
        <w:jc w:val="both"/>
        <w:rPr>
          <w:rFonts w:ascii="Arial" w:hAnsi="Arial"/>
          <w:rtl/>
        </w:rPr>
      </w:pPr>
      <w:r>
        <w:rPr>
          <w:rFonts w:hint="cs" w:ascii="Arial" w:hAnsi="Arial"/>
          <w:rtl/>
        </w:rPr>
        <w:t>2.3 לפיכך, ה</w:t>
      </w:r>
      <w:r w:rsidR="00914954">
        <w:rPr>
          <w:rFonts w:hint="cs" w:ascii="Arial" w:hAnsi="Arial"/>
          <w:rtl/>
        </w:rPr>
        <w:t>צעתי</w:t>
      </w:r>
      <w:r>
        <w:rPr>
          <w:rFonts w:hint="cs" w:ascii="Arial" w:hAnsi="Arial"/>
          <w:rtl/>
        </w:rPr>
        <w:t xml:space="preserve"> לצדדים שתי דרכים אפשריות להתקדם בתיק </w:t>
      </w:r>
      <w:r>
        <w:rPr>
          <w:rFonts w:ascii="Arial" w:hAnsi="Arial"/>
          <w:rtl/>
        </w:rPr>
        <w:t>–</w:t>
      </w:r>
      <w:r>
        <w:rPr>
          <w:rFonts w:hint="cs" w:ascii="Arial" w:hAnsi="Arial"/>
          <w:rtl/>
        </w:rPr>
        <w:t xml:space="preserve"> הכנת תצהירי עדות ראשית תחילה</w:t>
      </w:r>
      <w:r w:rsidR="00914954">
        <w:rPr>
          <w:rFonts w:hint="cs" w:ascii="Arial" w:hAnsi="Arial"/>
          <w:rtl/>
        </w:rPr>
        <w:t>,</w:t>
      </w:r>
      <w:r>
        <w:rPr>
          <w:rFonts w:hint="cs" w:ascii="Arial" w:hAnsi="Arial"/>
          <w:rtl/>
        </w:rPr>
        <w:t xml:space="preserve"> או להקדים ולמנות מומחה שמאי מטעם בית המשפט (חוות דעת הצדדים תשמרנה) על מנת שיתן חוות דעת בסוגיות השנויות במחלוקת. ביום </w:t>
      </w:r>
      <w:r w:rsidRPr="00914954">
        <w:rPr>
          <w:rFonts w:hint="cs" w:ascii="Arial" w:hAnsi="Arial"/>
          <w:b/>
          <w:bCs/>
          <w:rtl/>
        </w:rPr>
        <w:t>23.2.17</w:t>
      </w:r>
      <w:r>
        <w:rPr>
          <w:rFonts w:hint="cs" w:ascii="Arial" w:hAnsi="Arial"/>
          <w:rtl/>
        </w:rPr>
        <w:t xml:space="preserve"> התבקשו ב"כ הצדדים למסור הודעתם בתוך 7 ימים וכן זהות מוסכמת של מומחה שמאי, אם בחרו בדרך זו. </w:t>
      </w:r>
    </w:p>
    <w:p w:rsidR="00A31B28" w:rsidP="00A154F4" w:rsidRDefault="00A31B28">
      <w:pPr>
        <w:spacing w:line="360" w:lineRule="auto"/>
        <w:ind w:left="624"/>
        <w:jc w:val="both"/>
        <w:rPr>
          <w:rFonts w:ascii="Arial" w:hAnsi="Arial"/>
          <w:rtl/>
        </w:rPr>
      </w:pPr>
    </w:p>
    <w:p w:rsidR="00A31B28" w:rsidP="00A154F4" w:rsidRDefault="00A31B28">
      <w:pPr>
        <w:spacing w:line="360" w:lineRule="auto"/>
        <w:ind w:left="624"/>
        <w:jc w:val="both"/>
        <w:rPr>
          <w:rFonts w:ascii="Arial" w:hAnsi="Arial"/>
          <w:rtl/>
        </w:rPr>
      </w:pPr>
      <w:r>
        <w:rPr>
          <w:rFonts w:hint="cs" w:ascii="Arial" w:hAnsi="Arial"/>
          <w:rtl/>
        </w:rPr>
        <w:t xml:space="preserve">2.4 משלא הגיבו הצדדים, על אף החלטות ביניים, ניתנה ביום 26.3.17 התראה על מחיקת התביעה מחוסר מעש. </w:t>
      </w:r>
    </w:p>
    <w:p w:rsidR="00A31B28" w:rsidP="00A154F4" w:rsidRDefault="00A31B28">
      <w:pPr>
        <w:spacing w:line="360" w:lineRule="auto"/>
        <w:ind w:left="624"/>
        <w:jc w:val="both"/>
        <w:rPr>
          <w:rFonts w:ascii="Arial" w:hAnsi="Arial"/>
          <w:rtl/>
        </w:rPr>
      </w:pPr>
    </w:p>
    <w:p w:rsidR="00A31B28" w:rsidP="00A154F4" w:rsidRDefault="00A31B28">
      <w:pPr>
        <w:spacing w:line="360" w:lineRule="auto"/>
        <w:ind w:left="766"/>
        <w:jc w:val="both"/>
        <w:rPr>
          <w:rFonts w:hint="cs" w:ascii="Arial" w:hAnsi="Arial"/>
          <w:rtl/>
        </w:rPr>
      </w:pPr>
      <w:r>
        <w:rPr>
          <w:rFonts w:hint="cs" w:ascii="Arial" w:hAnsi="Arial"/>
          <w:rtl/>
        </w:rPr>
        <w:lastRenderedPageBreak/>
        <w:t xml:space="preserve">2.5 לבקשת ב"כ התובעת ניתנה אורכה להגשת זהות מוסכמת של השמאי, אך על אף שחלף המועד ועד ליום 10.4.17 לא ניתנה כל הודעה מאת הצדדים. שוב ניתנה החלטה על התראה למחיקה מחוסר מעש.  רק ביום 4.5.18 הודיע ב"כ הצדדים כי השמאי המוסכם עליהם הוא מר אורי נס. </w:t>
      </w:r>
    </w:p>
    <w:p w:rsidR="00A31B28" w:rsidP="005A3ECE" w:rsidRDefault="00A31B28">
      <w:pPr>
        <w:spacing w:line="360" w:lineRule="auto"/>
        <w:ind w:left="766"/>
        <w:jc w:val="both"/>
        <w:rPr>
          <w:rFonts w:ascii="Arial" w:hAnsi="Arial"/>
          <w:rtl/>
        </w:rPr>
      </w:pPr>
    </w:p>
    <w:p w:rsidR="00EE0731" w:rsidP="005C5428" w:rsidRDefault="00A31B28">
      <w:pPr>
        <w:spacing w:line="360" w:lineRule="auto"/>
        <w:ind w:left="766"/>
        <w:jc w:val="both"/>
        <w:rPr>
          <w:rFonts w:ascii="Arial" w:hAnsi="Arial"/>
          <w:rtl/>
        </w:rPr>
      </w:pPr>
      <w:r>
        <w:rPr>
          <w:rFonts w:hint="cs" w:ascii="Arial" w:hAnsi="Arial"/>
          <w:rtl/>
        </w:rPr>
        <w:t xml:space="preserve">2.6 לפיכך, באותו יום ממש, </w:t>
      </w:r>
      <w:r w:rsidRPr="008C1E15">
        <w:rPr>
          <w:rFonts w:hint="cs" w:ascii="Arial" w:hAnsi="Arial"/>
          <w:b/>
          <w:bCs/>
          <w:rtl/>
        </w:rPr>
        <w:t xml:space="preserve">4.5.17 </w:t>
      </w:r>
      <w:r>
        <w:rPr>
          <w:rFonts w:hint="cs" w:ascii="Arial" w:hAnsi="Arial"/>
          <w:rtl/>
        </w:rPr>
        <w:t>יצאה החלטת מינוי לשמאי מר נס</w:t>
      </w:r>
      <w:r w:rsidR="00EE0731">
        <w:rPr>
          <w:rFonts w:hint="cs" w:ascii="Arial" w:hAnsi="Arial"/>
          <w:rtl/>
        </w:rPr>
        <w:t xml:space="preserve"> </w:t>
      </w:r>
      <w:r>
        <w:rPr>
          <w:rFonts w:hint="cs" w:ascii="Arial" w:hAnsi="Arial"/>
          <w:rtl/>
        </w:rPr>
        <w:t xml:space="preserve">, </w:t>
      </w:r>
      <w:r w:rsidR="005C5428">
        <w:rPr>
          <w:rFonts w:hint="cs" w:ascii="Arial" w:hAnsi="Arial"/>
          <w:rtl/>
        </w:rPr>
        <w:t xml:space="preserve">עם הוראה </w:t>
      </w:r>
      <w:r>
        <w:rPr>
          <w:rFonts w:hint="cs" w:ascii="Arial" w:hAnsi="Arial"/>
          <w:rtl/>
        </w:rPr>
        <w:t xml:space="preserve"> לצדדים להעביר אליו את החומר הרלוונטי, לרבות חוות דעת השמאים בתוך 15 יום </w:t>
      </w:r>
      <w:r w:rsidR="00E5284A">
        <w:rPr>
          <w:rFonts w:hint="cs" w:ascii="Arial" w:hAnsi="Arial"/>
          <w:rtl/>
        </w:rPr>
        <w:t xml:space="preserve">, ועוד נכתב בהחלטה כי במידת הצורך יזמן השמאי פגישה בנוכחות שני הצדדים. </w:t>
      </w:r>
    </w:p>
    <w:p w:rsidR="00EE0731" w:rsidP="005A3ECE" w:rsidRDefault="00EE0731">
      <w:pPr>
        <w:spacing w:line="360" w:lineRule="auto"/>
        <w:ind w:left="766"/>
        <w:jc w:val="both"/>
        <w:rPr>
          <w:rFonts w:ascii="Arial" w:hAnsi="Arial"/>
          <w:rtl/>
        </w:rPr>
      </w:pPr>
    </w:p>
    <w:p w:rsidR="00510A12" w:rsidP="005A3ECE" w:rsidRDefault="00EE0731">
      <w:pPr>
        <w:spacing w:line="360" w:lineRule="auto"/>
        <w:ind w:left="766"/>
        <w:jc w:val="both"/>
        <w:rPr>
          <w:rFonts w:ascii="Arial" w:hAnsi="Arial"/>
          <w:rtl/>
        </w:rPr>
      </w:pPr>
      <w:r>
        <w:rPr>
          <w:rFonts w:hint="cs" w:ascii="Arial" w:hAnsi="Arial"/>
          <w:rtl/>
        </w:rPr>
        <w:t>2.</w:t>
      </w:r>
      <w:r w:rsidR="00E5284A">
        <w:rPr>
          <w:rFonts w:hint="cs" w:ascii="Arial" w:hAnsi="Arial"/>
          <w:rtl/>
        </w:rPr>
        <w:t>7</w:t>
      </w:r>
      <w:r>
        <w:rPr>
          <w:rFonts w:hint="cs" w:ascii="Arial" w:hAnsi="Arial"/>
          <w:rtl/>
        </w:rPr>
        <w:t xml:space="preserve"> </w:t>
      </w:r>
      <w:r w:rsidR="00E5284A">
        <w:rPr>
          <w:rFonts w:hint="cs" w:ascii="Arial" w:hAnsi="Arial"/>
          <w:rtl/>
        </w:rPr>
        <w:t xml:space="preserve">החומר מאת הנתבעת נשלח למומחה השמאי ביולי 2017. החומר מאת התובעת נשלח אליו רק </w:t>
      </w:r>
      <w:r w:rsidR="00510A12">
        <w:rPr>
          <w:rFonts w:hint="cs" w:ascii="Arial" w:hAnsi="Arial"/>
          <w:rtl/>
        </w:rPr>
        <w:t>ביום 22.11.17</w:t>
      </w:r>
      <w:r w:rsidR="00E5284A">
        <w:rPr>
          <w:rFonts w:hint="cs" w:ascii="Arial" w:hAnsi="Arial"/>
          <w:rtl/>
        </w:rPr>
        <w:t>, כאשר בית המשפט דוחק כל העת בצדדים לקדם את</w:t>
      </w:r>
      <w:r w:rsidR="00510A12">
        <w:rPr>
          <w:rFonts w:hint="cs" w:ascii="Arial" w:hAnsi="Arial"/>
          <w:rtl/>
        </w:rPr>
        <w:t xml:space="preserve"> מתן חוות דעת המומחה.</w:t>
      </w:r>
    </w:p>
    <w:p w:rsidR="00510A12" w:rsidP="00510A12" w:rsidRDefault="00510A12">
      <w:pPr>
        <w:spacing w:line="360" w:lineRule="auto"/>
        <w:jc w:val="both"/>
        <w:rPr>
          <w:rFonts w:ascii="Arial" w:hAnsi="Arial"/>
          <w:rtl/>
        </w:rPr>
      </w:pPr>
    </w:p>
    <w:p w:rsidR="00EE0731" w:rsidP="00510A12" w:rsidRDefault="00510A12">
      <w:pPr>
        <w:spacing w:line="360" w:lineRule="auto"/>
        <w:jc w:val="both"/>
        <w:rPr>
          <w:rFonts w:ascii="Arial" w:hAnsi="Arial"/>
          <w:rtl/>
        </w:rPr>
      </w:pPr>
      <w:r>
        <w:rPr>
          <w:rFonts w:hint="cs" w:ascii="Arial" w:hAnsi="Arial"/>
          <w:rtl/>
        </w:rPr>
        <w:t xml:space="preserve">3. </w:t>
      </w:r>
      <w:r>
        <w:rPr>
          <w:rFonts w:hint="cs" w:ascii="Arial" w:hAnsi="Arial"/>
          <w:u w:val="single"/>
          <w:rtl/>
        </w:rPr>
        <w:t xml:space="preserve">פעילות המומחה </w:t>
      </w:r>
    </w:p>
    <w:p w:rsidR="00510A12" w:rsidP="005A3ECE" w:rsidRDefault="00510A12">
      <w:pPr>
        <w:spacing w:line="360" w:lineRule="auto"/>
        <w:ind w:left="766"/>
        <w:jc w:val="both"/>
        <w:rPr>
          <w:rFonts w:ascii="Arial" w:hAnsi="Arial"/>
          <w:rtl/>
        </w:rPr>
      </w:pPr>
      <w:r>
        <w:rPr>
          <w:rFonts w:hint="cs" w:ascii="Arial" w:hAnsi="Arial"/>
          <w:rtl/>
        </w:rPr>
        <w:t xml:space="preserve">3.1 כפי שעלה ממכתב המומחה מיום 21.1.18 ששוגר לבית המשפט ולצדדים, </w:t>
      </w:r>
      <w:r w:rsidR="005C5428">
        <w:rPr>
          <w:rFonts w:hint="cs" w:ascii="Arial" w:hAnsi="Arial"/>
          <w:rtl/>
        </w:rPr>
        <w:t xml:space="preserve">הוא </w:t>
      </w:r>
      <w:r>
        <w:rPr>
          <w:rFonts w:hint="cs" w:ascii="Arial" w:hAnsi="Arial"/>
          <w:rtl/>
        </w:rPr>
        <w:t>למד את החומר שקבל מהנתבעת ונפגש עם  השמאי מטעם הנתבעת מר וידר. ביום 20.1.18 קיים המומחה פגישה עם מהנדס הנתבעת מר אביעד כרמלי וקבל את עמדתו לתביעה שהוגשה.</w:t>
      </w:r>
    </w:p>
    <w:p w:rsidR="00510A12" w:rsidP="005A3ECE" w:rsidRDefault="00510A12">
      <w:pPr>
        <w:spacing w:line="360" w:lineRule="auto"/>
        <w:ind w:left="766"/>
        <w:jc w:val="both"/>
        <w:rPr>
          <w:rFonts w:ascii="Arial" w:hAnsi="Arial"/>
          <w:rtl/>
        </w:rPr>
      </w:pPr>
    </w:p>
    <w:p w:rsidR="00510A12" w:rsidP="005A3ECE" w:rsidRDefault="00510A12">
      <w:pPr>
        <w:spacing w:line="360" w:lineRule="auto"/>
        <w:ind w:left="766"/>
        <w:jc w:val="both"/>
        <w:rPr>
          <w:rFonts w:ascii="Arial" w:hAnsi="Arial"/>
          <w:rtl/>
        </w:rPr>
      </w:pPr>
      <w:r>
        <w:rPr>
          <w:rFonts w:hint="cs" w:ascii="Arial" w:hAnsi="Arial"/>
          <w:rtl/>
        </w:rPr>
        <w:t xml:space="preserve">3.2 ביום 25.11.17, שלושה ימים לאחר שקבל המומחה את החומר מאת התובעת, ערך סיור בבית הספר בו היתה השריפה ביחד עם </w:t>
      </w:r>
      <w:r w:rsidR="00593326">
        <w:rPr>
          <w:rFonts w:hint="cs" w:ascii="Arial" w:hAnsi="Arial"/>
          <w:rtl/>
        </w:rPr>
        <w:t xml:space="preserve">מנהלת בית הספר הנוכחית. </w:t>
      </w:r>
    </w:p>
    <w:p w:rsidR="00593326" w:rsidP="005A3ECE" w:rsidRDefault="00593326">
      <w:pPr>
        <w:spacing w:line="360" w:lineRule="auto"/>
        <w:ind w:left="766"/>
        <w:jc w:val="both"/>
        <w:rPr>
          <w:rFonts w:ascii="Arial" w:hAnsi="Arial"/>
          <w:rtl/>
        </w:rPr>
      </w:pPr>
    </w:p>
    <w:p w:rsidR="00593326" w:rsidP="005A3ECE" w:rsidRDefault="00593326">
      <w:pPr>
        <w:spacing w:line="360" w:lineRule="auto"/>
        <w:ind w:left="766"/>
        <w:jc w:val="both"/>
        <w:rPr>
          <w:rFonts w:hint="cs" w:ascii="Arial" w:hAnsi="Arial"/>
          <w:rtl/>
        </w:rPr>
      </w:pPr>
      <w:r>
        <w:rPr>
          <w:rFonts w:hint="cs" w:ascii="Arial" w:hAnsi="Arial"/>
          <w:rtl/>
        </w:rPr>
        <w:t xml:space="preserve">3.3 ביום 15.1.18 נפגש המומחה  עם שמאי התובעת  מר כפתורי והמהנדס מר סיגורה וביחד עברו על המסמכים ועל סעיפי התביעה. מאחר וחסרו למומחה מסמכים מטעם התביעה, סכם עמם שיעבירו לו המסמכים לאחר הפגישה במהלך הימים הקרובים. </w:t>
      </w:r>
    </w:p>
    <w:p w:rsidR="00593326" w:rsidP="005A3ECE" w:rsidRDefault="00593326">
      <w:pPr>
        <w:spacing w:line="360" w:lineRule="auto"/>
        <w:ind w:left="766"/>
        <w:jc w:val="both"/>
        <w:rPr>
          <w:rFonts w:ascii="Arial" w:hAnsi="Arial"/>
          <w:rtl/>
        </w:rPr>
      </w:pPr>
    </w:p>
    <w:p w:rsidR="006B3261" w:rsidP="005A3ECE" w:rsidRDefault="00593326">
      <w:pPr>
        <w:spacing w:line="360" w:lineRule="auto"/>
        <w:ind w:left="766"/>
        <w:jc w:val="both"/>
        <w:rPr>
          <w:rFonts w:hint="cs" w:ascii="Arial" w:hAnsi="Arial"/>
          <w:rtl/>
        </w:rPr>
      </w:pPr>
      <w:r>
        <w:rPr>
          <w:rFonts w:hint="cs" w:ascii="Arial" w:hAnsi="Arial"/>
          <w:rtl/>
        </w:rPr>
        <w:t xml:space="preserve">3.4 במכתבו מיום 21.1.18 הודיע המומחה שיקציב לצדדים עוד 28 יום לקבלת המסמכים החסרים. </w:t>
      </w:r>
      <w:r w:rsidRPr="00B80246" w:rsidR="006B3261">
        <w:rPr>
          <w:rFonts w:hint="cs" w:ascii="Arial" w:hAnsi="Arial"/>
          <w:b/>
          <w:bCs/>
          <w:rtl/>
        </w:rPr>
        <w:t>לפיכך, קבעתי את התיק לקדם משפט ליום 10.4.18, מועד בו תהיה מונחת בפני חוות דעת המומחה.</w:t>
      </w:r>
      <w:r w:rsidR="006B3261">
        <w:rPr>
          <w:rFonts w:hint="cs" w:ascii="Arial" w:hAnsi="Arial"/>
          <w:rtl/>
        </w:rPr>
        <w:t xml:space="preserve"> </w:t>
      </w:r>
    </w:p>
    <w:p w:rsidR="006B3261" w:rsidP="005A3ECE" w:rsidRDefault="006B3261">
      <w:pPr>
        <w:spacing w:line="360" w:lineRule="auto"/>
        <w:ind w:left="766"/>
        <w:jc w:val="both"/>
        <w:rPr>
          <w:rFonts w:ascii="Arial" w:hAnsi="Arial"/>
          <w:rtl/>
        </w:rPr>
      </w:pPr>
    </w:p>
    <w:p w:rsidR="006B3261" w:rsidP="005A3ECE" w:rsidRDefault="006B3261">
      <w:pPr>
        <w:spacing w:line="360" w:lineRule="auto"/>
        <w:ind w:left="766"/>
        <w:jc w:val="both"/>
        <w:rPr>
          <w:rFonts w:ascii="Arial" w:hAnsi="Arial"/>
          <w:rtl/>
        </w:rPr>
      </w:pPr>
      <w:r>
        <w:rPr>
          <w:rFonts w:hint="cs" w:ascii="Arial" w:hAnsi="Arial"/>
          <w:rtl/>
        </w:rPr>
        <w:t xml:space="preserve">3.5 ביום 22.1.18 התקשר ב"כ התובעת למומחה והלין על כך שנפגש עם אנשי המקצוע מטעם </w:t>
      </w:r>
      <w:r w:rsidRPr="006B3261">
        <w:rPr>
          <w:rFonts w:hint="cs" w:ascii="Arial" w:hAnsi="Arial"/>
          <w:b/>
          <w:bCs/>
          <w:rtl/>
        </w:rPr>
        <w:t>התובעת</w:t>
      </w:r>
      <w:r>
        <w:rPr>
          <w:rFonts w:hint="cs" w:ascii="Arial" w:hAnsi="Arial"/>
          <w:rtl/>
        </w:rPr>
        <w:t>, מבלי שהעני</w:t>
      </w:r>
      <w:r w:rsidR="00B80246">
        <w:rPr>
          <w:rFonts w:hint="cs" w:ascii="Arial" w:hAnsi="Arial"/>
          <w:rtl/>
        </w:rPr>
        <w:t>י</w:t>
      </w:r>
      <w:r>
        <w:rPr>
          <w:rFonts w:hint="cs" w:ascii="Arial" w:hAnsi="Arial"/>
          <w:rtl/>
        </w:rPr>
        <w:t>ן קבל את אישורו. לפיכך נקבע בשיחתם כי המומחה י</w:t>
      </w:r>
      <w:r w:rsidR="00B80246">
        <w:rPr>
          <w:rFonts w:hint="cs" w:ascii="Arial" w:hAnsi="Arial"/>
          <w:rtl/>
        </w:rPr>
        <w:t>י</w:t>
      </w:r>
      <w:r>
        <w:rPr>
          <w:rFonts w:hint="cs" w:ascii="Arial" w:hAnsi="Arial"/>
          <w:rtl/>
        </w:rPr>
        <w:t xml:space="preserve">פגש גם עם ב"כ התובעת במועד שהאחרון יהיה בתל אביב. </w:t>
      </w:r>
    </w:p>
    <w:p w:rsidR="006B3261" w:rsidP="00593326" w:rsidRDefault="006B3261">
      <w:pPr>
        <w:spacing w:line="360" w:lineRule="auto"/>
        <w:jc w:val="both"/>
        <w:rPr>
          <w:rFonts w:ascii="Arial" w:hAnsi="Arial"/>
          <w:rtl/>
        </w:rPr>
      </w:pPr>
    </w:p>
    <w:p w:rsidR="006B3261" w:rsidP="005A3ECE" w:rsidRDefault="006B3261">
      <w:pPr>
        <w:spacing w:line="360" w:lineRule="auto"/>
        <w:ind w:left="766"/>
        <w:jc w:val="both"/>
        <w:rPr>
          <w:rFonts w:ascii="Arial" w:hAnsi="Arial"/>
          <w:rtl/>
        </w:rPr>
      </w:pPr>
      <w:r>
        <w:rPr>
          <w:rFonts w:hint="cs" w:ascii="Arial" w:hAnsi="Arial"/>
          <w:rtl/>
        </w:rPr>
        <w:t xml:space="preserve">3.6 הפגישה עם ב"כ התובעת התקיימה לבסוף ביום  </w:t>
      </w:r>
      <w:r w:rsidR="00B80246">
        <w:rPr>
          <w:rFonts w:hint="cs" w:ascii="Arial" w:hAnsi="Arial"/>
          <w:rtl/>
        </w:rPr>
        <w:t>28.3.18,</w:t>
      </w:r>
      <w:r>
        <w:rPr>
          <w:rFonts w:hint="cs" w:ascii="Arial" w:hAnsi="Arial"/>
          <w:rtl/>
        </w:rPr>
        <w:t xml:space="preserve">   כשעד למועד זה סרב ב"כ התובעת לשלוח למומחה את המסמכים שבקש. </w:t>
      </w:r>
    </w:p>
    <w:p w:rsidR="005C5428" w:rsidP="005A3ECE" w:rsidRDefault="005C5428">
      <w:pPr>
        <w:spacing w:line="360" w:lineRule="auto"/>
        <w:ind w:left="766"/>
        <w:jc w:val="both"/>
        <w:rPr>
          <w:rFonts w:ascii="Arial" w:hAnsi="Arial"/>
          <w:rtl/>
        </w:rPr>
      </w:pPr>
    </w:p>
    <w:p w:rsidR="00B80246" w:rsidP="00EF361B" w:rsidRDefault="00B80246">
      <w:pPr>
        <w:spacing w:line="360" w:lineRule="auto"/>
        <w:jc w:val="both"/>
        <w:rPr>
          <w:rFonts w:ascii="Arial" w:hAnsi="Arial"/>
          <w:rtl/>
        </w:rPr>
      </w:pPr>
      <w:r>
        <w:rPr>
          <w:rFonts w:hint="cs" w:ascii="Arial" w:hAnsi="Arial"/>
          <w:rtl/>
        </w:rPr>
        <w:t xml:space="preserve">4. </w:t>
      </w:r>
      <w:r w:rsidR="00EF361B">
        <w:rPr>
          <w:rFonts w:hint="cs" w:ascii="Arial" w:hAnsi="Arial"/>
          <w:u w:val="single"/>
          <w:rtl/>
        </w:rPr>
        <w:t xml:space="preserve">בקשת התובעת </w:t>
      </w:r>
      <w:r>
        <w:rPr>
          <w:rFonts w:hint="cs" w:ascii="Arial" w:hAnsi="Arial"/>
          <w:u w:val="single"/>
          <w:rtl/>
        </w:rPr>
        <w:t xml:space="preserve"> לפסילת המומחה</w:t>
      </w:r>
      <w:r w:rsidR="00EF361B">
        <w:rPr>
          <w:rFonts w:hint="cs" w:ascii="Arial" w:hAnsi="Arial"/>
          <w:u w:val="single"/>
          <w:rtl/>
        </w:rPr>
        <w:t xml:space="preserve"> ומינוי מומחה אחר </w:t>
      </w:r>
      <w:r>
        <w:rPr>
          <w:rFonts w:hint="cs" w:ascii="Arial" w:hAnsi="Arial"/>
          <w:u w:val="single"/>
          <w:rtl/>
        </w:rPr>
        <w:t xml:space="preserve"> </w:t>
      </w:r>
    </w:p>
    <w:p w:rsidR="00B80246" w:rsidP="00EA11D5" w:rsidRDefault="00B80246">
      <w:pPr>
        <w:spacing w:line="360" w:lineRule="auto"/>
        <w:ind w:left="766"/>
        <w:jc w:val="both"/>
        <w:rPr>
          <w:rFonts w:hint="cs" w:ascii="Arial" w:hAnsi="Arial"/>
          <w:rtl/>
        </w:rPr>
      </w:pPr>
      <w:r>
        <w:rPr>
          <w:rFonts w:hint="cs" w:ascii="Arial" w:hAnsi="Arial"/>
          <w:rtl/>
        </w:rPr>
        <w:t xml:space="preserve">4.1 </w:t>
      </w:r>
      <w:r w:rsidR="00EA11D5">
        <w:rPr>
          <w:rFonts w:hint="cs" w:ascii="Arial" w:hAnsi="Arial"/>
          <w:rtl/>
        </w:rPr>
        <w:t xml:space="preserve"> </w:t>
      </w:r>
      <w:r w:rsidR="00EF361B">
        <w:rPr>
          <w:rFonts w:hint="cs" w:ascii="Arial" w:hAnsi="Arial"/>
          <w:rtl/>
        </w:rPr>
        <w:t>לאחר פגישת ב"כ התובעת, עו"ד דניאל בכר, עם המומחה ביום 28.3.18, הגיש ב"כ התובעת בקשה לפסילת המומחה מהטעם ש</w:t>
      </w:r>
      <w:r w:rsidR="005C5428">
        <w:rPr>
          <w:rFonts w:hint="cs" w:ascii="Arial" w:hAnsi="Arial"/>
          <w:rtl/>
        </w:rPr>
        <w:t xml:space="preserve">המומחה </w:t>
      </w:r>
      <w:r w:rsidR="00EF361B">
        <w:rPr>
          <w:rFonts w:hint="cs" w:ascii="Arial" w:hAnsi="Arial"/>
          <w:rtl/>
        </w:rPr>
        <w:t>נפגש לראשונה לבדו עם ב"כ הנתבעת ושמאי הנתבעת , שלא לפי "התקנות" ובניגוד להחלטת המינוי של בית המשפט. נטען שבכך נוצר מצב "אל חזור" כי המומחה גבש לעצמו דעה ראשונית בכך. נטען כי בשיחת הטלפון מיום 22.1.18 דבר המומחה "בזלזול ובגנות השמאי מטעם התובעת"</w:t>
      </w:r>
      <w:r>
        <w:rPr>
          <w:rFonts w:hint="cs" w:ascii="Arial" w:hAnsi="Arial"/>
          <w:rtl/>
        </w:rPr>
        <w:t xml:space="preserve"> </w:t>
      </w:r>
      <w:r w:rsidR="00EF361B">
        <w:rPr>
          <w:rFonts w:hint="cs" w:ascii="Arial" w:hAnsi="Arial"/>
          <w:rtl/>
        </w:rPr>
        <w:t xml:space="preserve">אך ב"כ התובעת החליט להבליג על כך.  ב"כ התובעת טען כי המומחה הסביר לו בפגישתם </w:t>
      </w:r>
      <w:r w:rsidR="008D349B">
        <w:rPr>
          <w:rFonts w:hint="cs" w:ascii="Arial" w:hAnsi="Arial"/>
          <w:rtl/>
        </w:rPr>
        <w:t>מהם המסמכים החסרים לו, אך ב"כ התובעת הבהיר כי הנתונים נמסרו כבר לפני מספר חודשים והתרשם כי המומחה גמר בדעתו לאיזה צד הוא נוטה. לטענת עו"ד בכר, נוצר לו משבר אמון עמוק עם המומחה ואף הוסיף כי המומחה "פועל במשוא פנים מוחלט".</w:t>
      </w:r>
    </w:p>
    <w:p w:rsidR="008D349B" w:rsidP="00EA11D5" w:rsidRDefault="008D349B">
      <w:pPr>
        <w:spacing w:line="360" w:lineRule="auto"/>
        <w:ind w:left="766"/>
        <w:jc w:val="both"/>
        <w:rPr>
          <w:rFonts w:ascii="Arial" w:hAnsi="Arial"/>
          <w:rtl/>
        </w:rPr>
      </w:pPr>
    </w:p>
    <w:p w:rsidR="008D349B" w:rsidP="00EA11D5" w:rsidRDefault="008D349B">
      <w:pPr>
        <w:spacing w:line="360" w:lineRule="auto"/>
        <w:ind w:left="766"/>
        <w:jc w:val="both"/>
        <w:rPr>
          <w:rFonts w:ascii="Arial" w:hAnsi="Arial"/>
          <w:rtl/>
        </w:rPr>
      </w:pPr>
      <w:r>
        <w:rPr>
          <w:rFonts w:hint="cs" w:ascii="Arial" w:hAnsi="Arial"/>
          <w:rtl/>
        </w:rPr>
        <w:t>4.2</w:t>
      </w:r>
      <w:r w:rsidR="00EA11D5">
        <w:rPr>
          <w:rFonts w:hint="cs" w:ascii="Arial" w:hAnsi="Arial"/>
          <w:rtl/>
        </w:rPr>
        <w:t xml:space="preserve">  </w:t>
      </w:r>
      <w:r>
        <w:rPr>
          <w:rFonts w:hint="cs" w:ascii="Arial" w:hAnsi="Arial"/>
          <w:rtl/>
        </w:rPr>
        <w:t>הנתבעת טוענת כי התובעת לא הביאה בדל ראיה כלשהי המצדיק את פסילת המומחה, וזאת לאחר גרירת רגליים מצדה במהלך שנה קודם לכן. נטען כי זהות המומחה גובשה בהסכמה. בית המשפט הציע בפרוטוקול הדיון שקדם להחלטת המי</w:t>
      </w:r>
      <w:r w:rsidR="00E93E92">
        <w:rPr>
          <w:rFonts w:hint="cs" w:ascii="Arial" w:hAnsi="Arial"/>
          <w:rtl/>
        </w:rPr>
        <w:t>נו</w:t>
      </w:r>
      <w:r>
        <w:rPr>
          <w:rFonts w:hint="cs" w:ascii="Arial" w:hAnsi="Arial"/>
          <w:rtl/>
        </w:rPr>
        <w:t xml:space="preserve">י כי במידת הצורך </w:t>
      </w:r>
      <w:r w:rsidR="00E93E92">
        <w:rPr>
          <w:rFonts w:hint="cs" w:ascii="Arial" w:hAnsi="Arial"/>
          <w:rtl/>
        </w:rPr>
        <w:t>י</w:t>
      </w:r>
      <w:r>
        <w:rPr>
          <w:rFonts w:hint="cs" w:ascii="Arial" w:hAnsi="Arial"/>
          <w:rtl/>
        </w:rPr>
        <w:t xml:space="preserve">יפגש המומחה עם השמאים. נטען כי בית משפט פוסל מומחה רק אם קיימת פגיעה בכללי הצדק הטבעי או נמצא פגם היורד לשורשו של עניין, חוסר תום לב או משוא פנים. אך בבקשה לא עולה כל בדל של הוכחה להתקיימות אחת מאלו. נטען כי "משבר באמון" כביכול נוצר רק לאחר שהמומחה פעל בצורה מקצועית לעריכת חוות דעתו. </w:t>
      </w:r>
      <w:r w:rsidR="00E93E92">
        <w:rPr>
          <w:rFonts w:hint="cs" w:ascii="Arial" w:hAnsi="Arial"/>
          <w:rtl/>
        </w:rPr>
        <w:t xml:space="preserve">הנתבעת טוענת כי יש להורות על מחיקת התביעה מחוסר מעש. </w:t>
      </w:r>
    </w:p>
    <w:p w:rsidR="00E93E92" w:rsidP="00EA11D5" w:rsidRDefault="00E93E92">
      <w:pPr>
        <w:spacing w:line="360" w:lineRule="auto"/>
        <w:ind w:left="766"/>
        <w:jc w:val="both"/>
        <w:rPr>
          <w:rFonts w:ascii="Arial" w:hAnsi="Arial"/>
          <w:rtl/>
        </w:rPr>
      </w:pPr>
    </w:p>
    <w:p w:rsidR="008970F2" w:rsidP="00EA11D5" w:rsidRDefault="00E93E92">
      <w:pPr>
        <w:spacing w:line="360" w:lineRule="auto"/>
        <w:ind w:left="766"/>
        <w:jc w:val="both"/>
        <w:rPr>
          <w:rFonts w:hint="cs" w:ascii="Arial" w:hAnsi="Arial"/>
          <w:rtl/>
        </w:rPr>
      </w:pPr>
      <w:r>
        <w:rPr>
          <w:rFonts w:hint="cs" w:ascii="Arial" w:hAnsi="Arial"/>
          <w:rtl/>
        </w:rPr>
        <w:t xml:space="preserve">4.3 </w:t>
      </w:r>
      <w:r w:rsidR="00EA11D5">
        <w:rPr>
          <w:rFonts w:hint="cs" w:ascii="Arial" w:hAnsi="Arial"/>
          <w:rtl/>
        </w:rPr>
        <w:t xml:space="preserve"> </w:t>
      </w:r>
      <w:r>
        <w:rPr>
          <w:rFonts w:hint="cs" w:ascii="Arial" w:hAnsi="Arial"/>
          <w:rtl/>
        </w:rPr>
        <w:t>בקשתי גם את תגובת המומחה. המומחה  השיב כי איננו מוצא מקום להתנצח אך הוא דוחה מכל וכל את ההאשמות בדבר "הטיה" "משוא פנים" או "חוסר תום לב". המומחה מבהיר כי הפגישה עם שמאי הצדדים והמהנדסים מטעמם היתה לצורך גיבוש דעתו המקצועית, כפי שנתבקש. המומחה רואה עצמו כמי שפעל בדרך של שגרה כפי שפועלים שמאים לצורך גיבוש חוות דעתם. כמו כן ציין כי חסרו לו מסמכים כדי לעגן נתונים מסוימים בחוות דעת שמאי התובעת, לכן בקש מהתובעת השלמת מסמכים לצורך קבלת הבהרות, שהמומחה אומר שעדין חסרים לו.</w:t>
      </w:r>
      <w:r w:rsidR="008970F2">
        <w:rPr>
          <w:rFonts w:hint="cs" w:ascii="Arial" w:hAnsi="Arial"/>
          <w:rtl/>
        </w:rPr>
        <w:t xml:space="preserve"> </w:t>
      </w:r>
    </w:p>
    <w:p w:rsidR="00EA11D5" w:rsidP="005C5428" w:rsidRDefault="008970F2">
      <w:pPr>
        <w:spacing w:line="360" w:lineRule="auto"/>
        <w:ind w:left="766"/>
        <w:jc w:val="both"/>
        <w:rPr>
          <w:rFonts w:ascii="Arial" w:hAnsi="Arial"/>
          <w:rtl/>
        </w:rPr>
      </w:pPr>
      <w:r>
        <w:rPr>
          <w:rFonts w:hint="cs" w:ascii="Arial" w:hAnsi="Arial"/>
          <w:rtl/>
        </w:rPr>
        <w:lastRenderedPageBreak/>
        <w:t>המומחה הודיע כי הוא מוכן וערוך נאמנה להשלים את חוות דעתו, חוזר שוב על כך שדרושים לו המסמכים החסרים מהתובעת והוא נכון להשלים את חוות הדעת לפי הוראות בית המשפט.</w:t>
      </w:r>
      <w:r w:rsidR="005C5428">
        <w:rPr>
          <w:rFonts w:hint="cs" w:ascii="Arial" w:hAnsi="Arial"/>
          <w:rtl/>
        </w:rPr>
        <w:t xml:space="preserve"> </w:t>
      </w:r>
    </w:p>
    <w:p w:rsidR="00EA11D5" w:rsidP="00E93E92" w:rsidRDefault="00EA11D5">
      <w:pPr>
        <w:spacing w:line="360" w:lineRule="auto"/>
        <w:jc w:val="both"/>
        <w:rPr>
          <w:rFonts w:ascii="Arial" w:hAnsi="Arial"/>
          <w:rtl/>
        </w:rPr>
      </w:pPr>
    </w:p>
    <w:p w:rsidR="008970F2" w:rsidP="00E93E92" w:rsidRDefault="008970F2">
      <w:pPr>
        <w:spacing w:line="360" w:lineRule="auto"/>
        <w:jc w:val="both"/>
        <w:rPr>
          <w:rFonts w:ascii="Arial" w:hAnsi="Arial"/>
          <w:rtl/>
        </w:rPr>
      </w:pPr>
      <w:r>
        <w:rPr>
          <w:rFonts w:hint="cs" w:ascii="Arial" w:hAnsi="Arial"/>
          <w:rtl/>
        </w:rPr>
        <w:t xml:space="preserve">5. </w:t>
      </w:r>
      <w:r>
        <w:rPr>
          <w:rFonts w:hint="cs" w:ascii="Arial" w:hAnsi="Arial"/>
          <w:u w:val="single"/>
          <w:rtl/>
        </w:rPr>
        <w:t xml:space="preserve">דיון והכרעה </w:t>
      </w:r>
    </w:p>
    <w:p w:rsidR="00564F0F" w:rsidP="00EA11D5" w:rsidRDefault="008970F2">
      <w:pPr>
        <w:tabs>
          <w:tab w:val="left" w:pos="288"/>
          <w:tab w:val="left" w:pos="720"/>
          <w:tab w:val="left" w:pos="1296"/>
          <w:tab w:val="left" w:pos="2016"/>
        </w:tabs>
        <w:autoSpaceDE w:val="0"/>
        <w:autoSpaceDN w:val="0"/>
        <w:adjustRightInd w:val="0"/>
        <w:spacing w:after="80" w:line="360" w:lineRule="auto"/>
        <w:ind w:left="624"/>
        <w:jc w:val="both"/>
        <w:rPr>
          <w:sz w:val="22"/>
          <w:rtl/>
        </w:rPr>
      </w:pPr>
      <w:r>
        <w:rPr>
          <w:rFonts w:hint="cs" w:ascii="Arial" w:hAnsi="Arial"/>
          <w:rtl/>
        </w:rPr>
        <w:t xml:space="preserve">5.1 </w:t>
      </w:r>
      <w:r w:rsidR="00E93E92">
        <w:rPr>
          <w:rFonts w:hint="cs" w:ascii="Arial" w:hAnsi="Arial"/>
          <w:rtl/>
        </w:rPr>
        <w:t xml:space="preserve"> </w:t>
      </w:r>
      <w:r>
        <w:rPr>
          <w:rFonts w:hint="cs" w:ascii="Arial" w:hAnsi="Arial"/>
          <w:rtl/>
        </w:rPr>
        <w:t>נקודת המוצא בדיון לפסילת מומחה היא שהמומחה פועל בהגינות בתום לב, ואף אם יצאה שגגה מ</w:t>
      </w:r>
      <w:r w:rsidR="00564F0F">
        <w:rPr>
          <w:rFonts w:hint="cs" w:ascii="Arial" w:hAnsi="Arial"/>
          <w:rtl/>
        </w:rPr>
        <w:t>לפ</w:t>
      </w:r>
      <w:r>
        <w:rPr>
          <w:rFonts w:hint="cs" w:ascii="Arial" w:hAnsi="Arial"/>
          <w:rtl/>
        </w:rPr>
        <w:t xml:space="preserve">ניו, אין הדבר צריך בהכרח להביא לפסילתו (רעא 6116/97 </w:t>
      </w:r>
      <w:r w:rsidRPr="00564F0F">
        <w:rPr>
          <w:rFonts w:hint="cs" w:ascii="Arial" w:hAnsi="Arial"/>
          <w:b/>
          <w:bCs/>
          <w:rtl/>
        </w:rPr>
        <w:t>שוחט נ. ציון חב' לביטוח בע"מ</w:t>
      </w:r>
      <w:r>
        <w:rPr>
          <w:rFonts w:hint="cs" w:ascii="Arial" w:hAnsi="Arial"/>
          <w:rtl/>
        </w:rPr>
        <w:t xml:space="preserve"> (28.11.97) רעא 3011/94 </w:t>
      </w:r>
      <w:r w:rsidRPr="00564F0F">
        <w:rPr>
          <w:rFonts w:hint="cs" w:ascii="Arial" w:hAnsi="Arial"/>
          <w:b/>
          <w:bCs/>
          <w:rtl/>
        </w:rPr>
        <w:t>אלפסי נ. הדר חב' לביטוח בע"מ</w:t>
      </w:r>
      <w:r>
        <w:rPr>
          <w:rFonts w:hint="cs" w:ascii="Arial" w:hAnsi="Arial"/>
          <w:rtl/>
        </w:rPr>
        <w:t xml:space="preserve"> (11.7.94) .</w:t>
      </w:r>
      <w:r w:rsidRPr="00564F0F" w:rsidR="00564F0F">
        <w:rPr>
          <w:sz w:val="22"/>
          <w:rtl/>
        </w:rPr>
        <w:t xml:space="preserve"> ההחלטה אם לפ</w:t>
      </w:r>
      <w:r w:rsidR="00564F0F">
        <w:rPr>
          <w:rFonts w:hint="cs"/>
          <w:sz w:val="22"/>
          <w:rtl/>
        </w:rPr>
        <w:t>סול את המומחה</w:t>
      </w:r>
      <w:r w:rsidRPr="00564F0F" w:rsidR="00564F0F">
        <w:rPr>
          <w:sz w:val="22"/>
          <w:rtl/>
        </w:rPr>
        <w:t xml:space="preserve"> אם לאו, תלויה בנסיבותיו של כל מקרה, ובין היתר, בשאלה אם פעל בתום לב, ובשאלה אם השגגה ניתנת לתיקון</w:t>
      </w:r>
      <w:r w:rsidRPr="00564F0F" w:rsidR="00564F0F">
        <w:rPr>
          <w:sz w:val="22"/>
        </w:rPr>
        <w:t>.</w:t>
      </w:r>
    </w:p>
    <w:p w:rsidRPr="005C5428" w:rsidR="00564F0F" w:rsidP="005C5428" w:rsidRDefault="00564F0F">
      <w:pPr>
        <w:tabs>
          <w:tab w:val="left" w:pos="288"/>
          <w:tab w:val="left" w:pos="720"/>
          <w:tab w:val="left" w:pos="1296"/>
          <w:tab w:val="left" w:pos="2016"/>
        </w:tabs>
        <w:autoSpaceDE w:val="0"/>
        <w:autoSpaceDN w:val="0"/>
        <w:adjustRightInd w:val="0"/>
        <w:spacing w:after="80" w:line="360" w:lineRule="auto"/>
        <w:ind w:left="624"/>
        <w:jc w:val="both"/>
        <w:rPr>
          <w:sz w:val="22"/>
          <w:rtl/>
        </w:rPr>
      </w:pPr>
      <w:r>
        <w:rPr>
          <w:rFonts w:hint="cs"/>
          <w:sz w:val="22"/>
          <w:rtl/>
        </w:rPr>
        <w:t>5.2 על בית המשפט לבחון אם נפל בעבודת המומחה פגם היורד לשורשו של ענין, שיש בו כדי לגרום לעיוות דין.</w:t>
      </w:r>
      <w:r w:rsidR="006502C1">
        <w:rPr>
          <w:rFonts w:hint="cs"/>
          <w:sz w:val="22"/>
          <w:rtl/>
        </w:rPr>
        <w:t xml:space="preserve"> (רעא 3358/91 </w:t>
      </w:r>
      <w:r w:rsidRPr="006502C1" w:rsidR="006502C1">
        <w:rPr>
          <w:rFonts w:hint="cs"/>
          <w:b/>
          <w:bCs/>
          <w:sz w:val="22"/>
          <w:rtl/>
        </w:rPr>
        <w:t>סהר חב' ישראלית לביטוח בע"מ נ. ציון</w:t>
      </w:r>
      <w:r w:rsidR="006502C1">
        <w:rPr>
          <w:rFonts w:hint="cs"/>
          <w:sz w:val="22"/>
          <w:rtl/>
        </w:rPr>
        <w:t xml:space="preserve"> (6.11.91) רעא 7714/05 </w:t>
      </w:r>
      <w:r w:rsidRPr="006502C1" w:rsidR="006502C1">
        <w:rPr>
          <w:rFonts w:hint="cs"/>
          <w:b/>
          <w:bCs/>
          <w:sz w:val="22"/>
          <w:rtl/>
        </w:rPr>
        <w:t>אלגרה כהן נ. רשות הנמלים והרכבות נמל חיפה</w:t>
      </w:r>
      <w:r w:rsidR="006502C1">
        <w:rPr>
          <w:rFonts w:hint="cs"/>
          <w:sz w:val="22"/>
          <w:rtl/>
        </w:rPr>
        <w:t xml:space="preserve"> (16.1.06). </w:t>
      </w:r>
      <w:r w:rsidR="00133BE9">
        <w:rPr>
          <w:rFonts w:hint="cs"/>
          <w:sz w:val="22"/>
          <w:rtl/>
        </w:rPr>
        <w:t>פסילת המומחה תעשה רק בנסיבות חריגות.</w:t>
      </w:r>
      <w:r w:rsidRPr="00E3722C" w:rsidR="00E3722C">
        <w:rPr>
          <w:rFonts w:hint="cs"/>
          <w:sz w:val="22"/>
          <w:rtl/>
        </w:rPr>
        <w:t xml:space="preserve"> </w:t>
      </w:r>
      <w:r w:rsidR="00E3722C">
        <w:rPr>
          <w:rFonts w:hint="cs"/>
          <w:sz w:val="22"/>
          <w:rtl/>
        </w:rPr>
        <w:t xml:space="preserve">( רעא 7098/10 </w:t>
      </w:r>
      <w:r w:rsidRPr="00E3722C" w:rsidR="00E3722C">
        <w:rPr>
          <w:rFonts w:hint="cs"/>
          <w:b/>
          <w:bCs/>
          <w:sz w:val="22"/>
          <w:rtl/>
        </w:rPr>
        <w:t xml:space="preserve">טביבזדה נ. שירותי בריאות כללית </w:t>
      </w:r>
      <w:r w:rsidR="00E3722C">
        <w:rPr>
          <w:rFonts w:hint="cs"/>
          <w:sz w:val="22"/>
          <w:rtl/>
        </w:rPr>
        <w:t>(31.1.11) )</w:t>
      </w:r>
    </w:p>
    <w:p w:rsidR="00672B2F" w:rsidP="00EA11D5" w:rsidRDefault="00672B2F">
      <w:pPr>
        <w:tabs>
          <w:tab w:val="left" w:pos="288"/>
          <w:tab w:val="left" w:pos="720"/>
          <w:tab w:val="left" w:pos="1296"/>
          <w:tab w:val="left" w:pos="2016"/>
        </w:tabs>
        <w:autoSpaceDE w:val="0"/>
        <w:autoSpaceDN w:val="0"/>
        <w:adjustRightInd w:val="0"/>
        <w:spacing w:after="80" w:line="360" w:lineRule="auto"/>
        <w:ind w:left="624"/>
        <w:jc w:val="both"/>
        <w:rPr>
          <w:sz w:val="22"/>
          <w:rtl/>
        </w:rPr>
      </w:pPr>
      <w:r>
        <w:rPr>
          <w:rFonts w:hint="cs"/>
          <w:sz w:val="22"/>
          <w:rtl/>
        </w:rPr>
        <w:t xml:space="preserve">5.3 ניתן לומר כי פגישת מומחה עם שמאי הנתבעת מבלי שהודע </w:t>
      </w:r>
      <w:r w:rsidR="005C5428">
        <w:rPr>
          <w:rFonts w:hint="cs"/>
          <w:sz w:val="22"/>
          <w:rtl/>
        </w:rPr>
        <w:t xml:space="preserve"> </w:t>
      </w:r>
      <w:r>
        <w:rPr>
          <w:rFonts w:hint="cs"/>
          <w:sz w:val="22"/>
          <w:rtl/>
        </w:rPr>
        <w:t xml:space="preserve">על כך מראש לב"כ התובעת ובניגוד להחלטת המינוי של בית המשפט, אכן מהווה טעם לפגם, אך כפי שעולה מנסיבותיו של מקרה זה, אין מקום לפסילת המומחה. </w:t>
      </w:r>
    </w:p>
    <w:p w:rsidR="00672B2F" w:rsidP="00EA11D5" w:rsidRDefault="00672B2F">
      <w:pPr>
        <w:tabs>
          <w:tab w:val="left" w:pos="288"/>
          <w:tab w:val="left" w:pos="720"/>
          <w:tab w:val="left" w:pos="1296"/>
          <w:tab w:val="left" w:pos="2016"/>
        </w:tabs>
        <w:autoSpaceDE w:val="0"/>
        <w:autoSpaceDN w:val="0"/>
        <w:adjustRightInd w:val="0"/>
        <w:spacing w:after="80" w:line="360" w:lineRule="auto"/>
        <w:ind w:left="624"/>
        <w:jc w:val="both"/>
        <w:rPr>
          <w:sz w:val="22"/>
          <w:rtl/>
        </w:rPr>
      </w:pPr>
      <w:r>
        <w:rPr>
          <w:rFonts w:hint="cs"/>
          <w:sz w:val="22"/>
          <w:rtl/>
        </w:rPr>
        <w:t>5.4 ראשית,</w:t>
      </w:r>
      <w:r w:rsidR="00133BE9">
        <w:rPr>
          <w:rFonts w:hint="cs"/>
          <w:sz w:val="22"/>
          <w:rtl/>
        </w:rPr>
        <w:t xml:space="preserve"> ב"כ התובעת לא ראה בענין זה פגם כלשהו בשיחתו הראשונה עם המומחה מיום 22.1.18. כל שהלין עליו בשיחה זו היתה כי המומחה נפגש עם השמאי של </w:t>
      </w:r>
      <w:r w:rsidRPr="00E3722C" w:rsidR="00133BE9">
        <w:rPr>
          <w:rFonts w:hint="cs"/>
          <w:b/>
          <w:bCs/>
          <w:sz w:val="22"/>
          <w:rtl/>
        </w:rPr>
        <w:t xml:space="preserve">התובעת </w:t>
      </w:r>
      <w:r w:rsidR="00133BE9">
        <w:rPr>
          <w:rFonts w:hint="cs"/>
          <w:sz w:val="22"/>
          <w:rtl/>
        </w:rPr>
        <w:t xml:space="preserve">ללא ידיעת עורך הדין. נושא זה הועלה כסיבה לפסילה רק לאחר פגישת ב"כ התובעת עם המומחה ביום 28.3.18 ולמעלה מחודשים תמימים לאחר מכן. ראו לענין זה רעא 7098 </w:t>
      </w:r>
      <w:r w:rsidRPr="003A0CAC" w:rsidR="00133BE9">
        <w:rPr>
          <w:rFonts w:hint="cs"/>
          <w:b/>
          <w:bCs/>
          <w:sz w:val="22"/>
          <w:rtl/>
        </w:rPr>
        <w:t>טביבזדה נ. שירותי בריאות כללית</w:t>
      </w:r>
      <w:r w:rsidR="00133BE9">
        <w:rPr>
          <w:rFonts w:hint="cs"/>
          <w:sz w:val="22"/>
          <w:rtl/>
        </w:rPr>
        <w:t xml:space="preserve"> (31.1.11) </w:t>
      </w:r>
      <w:r w:rsidR="00E3722C">
        <w:rPr>
          <w:rFonts w:hint="cs"/>
          <w:sz w:val="22"/>
          <w:rtl/>
        </w:rPr>
        <w:t xml:space="preserve"> המייחד משמעות לעיתוי הגשת בקשת הפסילה. </w:t>
      </w:r>
    </w:p>
    <w:p w:rsidR="00E3722C" w:rsidP="005C5428" w:rsidRDefault="00E3722C">
      <w:pPr>
        <w:tabs>
          <w:tab w:val="left" w:pos="288"/>
          <w:tab w:val="left" w:pos="766"/>
          <w:tab w:val="left" w:pos="1296"/>
          <w:tab w:val="left" w:pos="2016"/>
        </w:tabs>
        <w:autoSpaceDE w:val="0"/>
        <w:autoSpaceDN w:val="0"/>
        <w:adjustRightInd w:val="0"/>
        <w:spacing w:after="80" w:line="360" w:lineRule="auto"/>
        <w:ind w:left="624"/>
        <w:jc w:val="both"/>
        <w:rPr>
          <w:sz w:val="22"/>
          <w:rtl/>
        </w:rPr>
      </w:pPr>
      <w:r>
        <w:rPr>
          <w:rFonts w:hint="cs"/>
          <w:sz w:val="22"/>
          <w:rtl/>
        </w:rPr>
        <w:t xml:space="preserve">5.5 כמו כן, הפגם הנטען ניתן לריפוי. שכן המומחה נפגש בנפרד גם עם שמאי התובעת והמהנדס מטעמה, על מנת לקבל עמדתם והסבריהם , ואף בקש בעקבות כך מסמכים נוספים מהם, שלא זכה לקבל. </w:t>
      </w:r>
      <w:r w:rsidR="003A0CAC">
        <w:rPr>
          <w:rFonts w:hint="cs"/>
          <w:sz w:val="22"/>
          <w:rtl/>
        </w:rPr>
        <w:t xml:space="preserve">משנפגש המומחה גם עם האנשים המקצועיים מטעם התובעת, נשמרה ההדדיות. אין שחר לטענת ב"כ התובעת כי מי שנפגש ראשון עם המומחה דעתו היא הנצרבת בתודעת המומחה ומשפיעה על התוצאה. </w:t>
      </w:r>
    </w:p>
    <w:p w:rsidR="00E3722C" w:rsidP="005C5428" w:rsidRDefault="00E3722C">
      <w:pPr>
        <w:tabs>
          <w:tab w:val="left" w:pos="288"/>
          <w:tab w:val="left" w:pos="1296"/>
          <w:tab w:val="left" w:pos="2016"/>
        </w:tabs>
        <w:autoSpaceDE w:val="0"/>
        <w:autoSpaceDN w:val="0"/>
        <w:adjustRightInd w:val="0"/>
        <w:spacing w:after="80" w:line="360" w:lineRule="auto"/>
        <w:ind w:left="624"/>
        <w:jc w:val="both"/>
        <w:rPr>
          <w:sz w:val="22"/>
          <w:rtl/>
        </w:rPr>
      </w:pPr>
      <w:r>
        <w:rPr>
          <w:rFonts w:hint="cs"/>
          <w:sz w:val="22"/>
          <w:rtl/>
        </w:rPr>
        <w:t xml:space="preserve">5.6 עוד ייאמר, כי ב"כ התובעת אשר הלין על כך שהמומחה נפגש בנפרד עם כל אחד מהשמאים, משום מה לא מצא כל פגם בעובדה שהוא, כעורך דין התובעת, יפגש עם המומחה ללא נוכחות הצד השני. יותר מחודש תמים ניסו המומחה וב"כ התובעת לתאם </w:t>
      </w:r>
      <w:r>
        <w:rPr>
          <w:rFonts w:hint="cs"/>
          <w:sz w:val="22"/>
          <w:rtl/>
        </w:rPr>
        <w:lastRenderedPageBreak/>
        <w:t>פגישה זו, וכל אותה העת לא ראה ב"כ התובעת פגם כלשהו בכך שי</w:t>
      </w:r>
      <w:r w:rsidR="002734FB">
        <w:rPr>
          <w:rFonts w:hint="cs"/>
          <w:sz w:val="22"/>
          <w:rtl/>
        </w:rPr>
        <w:t>י</w:t>
      </w:r>
      <w:r>
        <w:rPr>
          <w:rFonts w:hint="cs"/>
          <w:sz w:val="22"/>
          <w:rtl/>
        </w:rPr>
        <w:t xml:space="preserve">פגש עם המומחה ביחידות. </w:t>
      </w:r>
    </w:p>
    <w:p w:rsidR="00E3722C" w:rsidP="00EA11D5" w:rsidRDefault="00E3722C">
      <w:pPr>
        <w:tabs>
          <w:tab w:val="left" w:pos="288"/>
          <w:tab w:val="left" w:pos="720"/>
          <w:tab w:val="left" w:pos="1296"/>
          <w:tab w:val="left" w:pos="2016"/>
        </w:tabs>
        <w:autoSpaceDE w:val="0"/>
        <w:autoSpaceDN w:val="0"/>
        <w:adjustRightInd w:val="0"/>
        <w:spacing w:after="80" w:line="360" w:lineRule="auto"/>
        <w:ind w:left="766"/>
        <w:jc w:val="both"/>
        <w:rPr>
          <w:sz w:val="22"/>
          <w:rtl/>
        </w:rPr>
      </w:pPr>
      <w:r>
        <w:rPr>
          <w:rFonts w:hint="cs"/>
          <w:sz w:val="22"/>
          <w:rtl/>
        </w:rPr>
        <w:t>ב"כ התובעת אומנם ציין כי מתמחה ממש</w:t>
      </w:r>
      <w:r w:rsidR="003A0CAC">
        <w:rPr>
          <w:rFonts w:hint="cs"/>
          <w:sz w:val="22"/>
          <w:rtl/>
        </w:rPr>
        <w:t xml:space="preserve">רדו הודיעה על כך לב"כ הנתבעת במועד קיום הפגישה, אך טענה זו הוכחשה על ידי ב"כ הנתבעת, ומכל מקום, הודעה בדיעבד איננה הודעה, למי שמוצא פגם בפגישת מומחה רק עם צד אחד. </w:t>
      </w:r>
    </w:p>
    <w:p w:rsidR="003A0CAC" w:rsidP="00EA11D5" w:rsidRDefault="003A0CAC">
      <w:pPr>
        <w:tabs>
          <w:tab w:val="left" w:pos="288"/>
          <w:tab w:val="left" w:pos="720"/>
          <w:tab w:val="left" w:pos="1296"/>
          <w:tab w:val="left" w:pos="2016"/>
        </w:tabs>
        <w:autoSpaceDE w:val="0"/>
        <w:autoSpaceDN w:val="0"/>
        <w:adjustRightInd w:val="0"/>
        <w:spacing w:after="80" w:line="360" w:lineRule="auto"/>
        <w:ind w:left="766"/>
        <w:jc w:val="both"/>
        <w:rPr>
          <w:sz w:val="22"/>
          <w:rtl/>
        </w:rPr>
      </w:pPr>
      <w:r>
        <w:rPr>
          <w:rFonts w:hint="cs"/>
          <w:sz w:val="22"/>
          <w:rtl/>
        </w:rPr>
        <w:t xml:space="preserve">5.7 יש לזכור שהצדדים כילו לפחות חודש תמים במציאת זהות מוסכמת של שמאי, עד שהגיעו להסכמה לגבי המומחה שמונה. גם עובדה זו צריכה להלקח בחשבון.  שכן מינוי המומחה היה בהסכמה. </w:t>
      </w:r>
    </w:p>
    <w:p w:rsidR="003A0CAC" w:rsidP="002734FB" w:rsidRDefault="008C1E15">
      <w:pPr>
        <w:tabs>
          <w:tab w:val="left" w:pos="288"/>
          <w:tab w:val="left" w:pos="720"/>
          <w:tab w:val="left" w:pos="1296"/>
          <w:tab w:val="left" w:pos="2016"/>
        </w:tabs>
        <w:autoSpaceDE w:val="0"/>
        <w:autoSpaceDN w:val="0"/>
        <w:adjustRightInd w:val="0"/>
        <w:spacing w:after="80" w:line="360" w:lineRule="auto"/>
        <w:ind w:left="766"/>
        <w:jc w:val="both"/>
        <w:rPr>
          <w:rFonts w:hint="cs"/>
          <w:sz w:val="22"/>
          <w:rtl/>
        </w:rPr>
      </w:pPr>
      <w:r>
        <w:rPr>
          <w:rFonts w:hint="cs"/>
          <w:sz w:val="22"/>
          <w:rtl/>
        </w:rPr>
        <w:t xml:space="preserve">5.8 בפועל, לבד מתצהיר ב"כ התובעת  על התרשמותו האישית, לא הובאה כל ראיה או אמירה מוכחת שיש בה ללמד על "משוא פנים" "הטיית לב"  או "חוסר תום לב". </w:t>
      </w:r>
      <w:r w:rsidR="00D87FEE">
        <w:rPr>
          <w:rFonts w:hint="cs"/>
          <w:sz w:val="22"/>
          <w:rtl/>
        </w:rPr>
        <w:t>אין להקל ראש בשיוך נטיות אלו למומחה שמונה מטעם בית המשפט, כשאין מאום כדי לבסס אותן.</w:t>
      </w:r>
      <w:bookmarkStart w:name="_GoBack" w:id="0"/>
      <w:bookmarkEnd w:id="0"/>
    </w:p>
    <w:p w:rsidR="003A0CAC" w:rsidP="00EA11D5" w:rsidRDefault="003A0CAC">
      <w:pPr>
        <w:tabs>
          <w:tab w:val="left" w:pos="288"/>
          <w:tab w:val="left" w:pos="720"/>
          <w:tab w:val="left" w:pos="1296"/>
          <w:tab w:val="left" w:pos="2016"/>
        </w:tabs>
        <w:autoSpaceDE w:val="0"/>
        <w:autoSpaceDN w:val="0"/>
        <w:adjustRightInd w:val="0"/>
        <w:spacing w:after="80" w:line="360" w:lineRule="auto"/>
        <w:ind w:left="766"/>
        <w:jc w:val="both"/>
        <w:rPr>
          <w:sz w:val="22"/>
          <w:rtl/>
        </w:rPr>
      </w:pPr>
      <w:r>
        <w:rPr>
          <w:rFonts w:hint="cs"/>
          <w:sz w:val="22"/>
          <w:rtl/>
        </w:rPr>
        <w:t>5</w:t>
      </w:r>
      <w:r w:rsidR="00973EEC">
        <w:rPr>
          <w:rFonts w:hint="cs"/>
          <w:sz w:val="22"/>
          <w:rtl/>
        </w:rPr>
        <w:t>.9</w:t>
      </w:r>
      <w:r>
        <w:rPr>
          <w:rFonts w:hint="cs"/>
          <w:sz w:val="22"/>
          <w:rtl/>
        </w:rPr>
        <w:t xml:space="preserve">  עוד אבקש לציין את דרך התנהלותה של התובעת בתיק זה, שלא אצה לה הדרך להביא לסיומו. כך בהשתהות </w:t>
      </w:r>
      <w:r w:rsidR="008C1E15">
        <w:rPr>
          <w:rFonts w:hint="cs"/>
          <w:sz w:val="22"/>
          <w:rtl/>
        </w:rPr>
        <w:t xml:space="preserve">במשך חודשיים וחצי עד למינוי המומחה ביום </w:t>
      </w:r>
      <w:r w:rsidRPr="00973EEC" w:rsidR="008C1E15">
        <w:rPr>
          <w:rFonts w:hint="cs"/>
          <w:b/>
          <w:bCs/>
          <w:sz w:val="22"/>
          <w:rtl/>
        </w:rPr>
        <w:t>4.5.17</w:t>
      </w:r>
      <w:r w:rsidR="008C1E15">
        <w:rPr>
          <w:rFonts w:hint="cs"/>
          <w:sz w:val="22"/>
          <w:rtl/>
        </w:rPr>
        <w:t xml:space="preserve">, כך </w:t>
      </w:r>
      <w:r>
        <w:rPr>
          <w:rFonts w:hint="cs"/>
          <w:sz w:val="22"/>
          <w:rtl/>
        </w:rPr>
        <w:t>ב</w:t>
      </w:r>
      <w:r w:rsidR="00973EEC">
        <w:rPr>
          <w:rFonts w:hint="cs"/>
          <w:sz w:val="22"/>
          <w:rtl/>
        </w:rPr>
        <w:t>השתהות של חודשים ב</w:t>
      </w:r>
      <w:r>
        <w:rPr>
          <w:rFonts w:hint="cs"/>
          <w:sz w:val="22"/>
          <w:rtl/>
        </w:rPr>
        <w:t xml:space="preserve">פניה למומחה </w:t>
      </w:r>
      <w:r w:rsidR="008C1E15">
        <w:rPr>
          <w:rFonts w:hint="cs"/>
          <w:sz w:val="22"/>
          <w:rtl/>
        </w:rPr>
        <w:t xml:space="preserve">לצורך קביעת שכר טרחתו, כך במשלוח החומר למומחה רק </w:t>
      </w:r>
      <w:r w:rsidRPr="008C1E15" w:rsidR="008C1E15">
        <w:rPr>
          <w:rFonts w:hint="cs"/>
          <w:b/>
          <w:bCs/>
          <w:sz w:val="22"/>
          <w:rtl/>
        </w:rPr>
        <w:t>בסוף חודש נובמבר 2017</w:t>
      </w:r>
      <w:r w:rsidR="008C1E15">
        <w:rPr>
          <w:rFonts w:hint="cs"/>
          <w:sz w:val="22"/>
          <w:rtl/>
        </w:rPr>
        <w:t xml:space="preserve"> , כך באי משלוח מסמכים שנדרשו </w:t>
      </w:r>
      <w:r w:rsidR="00973EEC">
        <w:rPr>
          <w:rFonts w:hint="cs"/>
          <w:sz w:val="22"/>
          <w:rtl/>
        </w:rPr>
        <w:t xml:space="preserve">על ידי המומחה </w:t>
      </w:r>
      <w:r w:rsidR="008C1E15">
        <w:rPr>
          <w:rFonts w:hint="cs"/>
          <w:sz w:val="22"/>
          <w:rtl/>
        </w:rPr>
        <w:t xml:space="preserve">בינואר </w:t>
      </w:r>
      <w:r w:rsidR="00973EEC">
        <w:rPr>
          <w:rFonts w:hint="cs"/>
          <w:sz w:val="22"/>
          <w:rtl/>
        </w:rPr>
        <w:t xml:space="preserve">- </w:t>
      </w:r>
      <w:r w:rsidR="008C1E15">
        <w:rPr>
          <w:rFonts w:hint="cs"/>
          <w:sz w:val="22"/>
          <w:rtl/>
        </w:rPr>
        <w:t xml:space="preserve">עד עצם היום הזה.  נראה כי לא אצה הדרך לתובעת, משום מה, לקדם את תביעתה. גם הבקשה לפסילת המומחה שהוגשה בסוף חודש מרץ על עובדות שידועות כבר בחודש ינואר </w:t>
      </w:r>
      <w:r w:rsidR="008C1E15">
        <w:rPr>
          <w:sz w:val="22"/>
          <w:rtl/>
        </w:rPr>
        <w:t>–</w:t>
      </w:r>
      <w:r w:rsidR="008C1E15">
        <w:rPr>
          <w:rFonts w:hint="cs"/>
          <w:sz w:val="22"/>
          <w:rtl/>
        </w:rPr>
        <w:t xml:space="preserve"> אומרת דרשנ</w:t>
      </w:r>
      <w:r w:rsidR="00973EEC">
        <w:rPr>
          <w:rFonts w:hint="cs"/>
          <w:sz w:val="22"/>
          <w:rtl/>
        </w:rPr>
        <w:t>י</w:t>
      </w:r>
      <w:r w:rsidR="008C1E15">
        <w:rPr>
          <w:rFonts w:hint="cs"/>
          <w:sz w:val="22"/>
          <w:rtl/>
        </w:rPr>
        <w:t xml:space="preserve">. </w:t>
      </w:r>
    </w:p>
    <w:p w:rsidR="00973EEC" w:rsidP="00973EEC" w:rsidRDefault="00973EEC">
      <w:pPr>
        <w:tabs>
          <w:tab w:val="left" w:pos="288"/>
          <w:tab w:val="left" w:pos="720"/>
          <w:tab w:val="left" w:pos="1296"/>
          <w:tab w:val="left" w:pos="2016"/>
        </w:tabs>
        <w:autoSpaceDE w:val="0"/>
        <w:autoSpaceDN w:val="0"/>
        <w:adjustRightInd w:val="0"/>
        <w:spacing w:after="80" w:line="360" w:lineRule="auto"/>
        <w:ind w:firstLine="283"/>
        <w:jc w:val="both"/>
        <w:rPr>
          <w:sz w:val="22"/>
          <w:rtl/>
        </w:rPr>
      </w:pPr>
      <w:r>
        <w:rPr>
          <w:rFonts w:hint="cs"/>
          <w:sz w:val="22"/>
          <w:rtl/>
        </w:rPr>
        <w:t xml:space="preserve">6. </w:t>
      </w:r>
      <w:r>
        <w:rPr>
          <w:rFonts w:hint="cs"/>
          <w:sz w:val="22"/>
          <w:u w:val="single"/>
          <w:rtl/>
        </w:rPr>
        <w:t xml:space="preserve">לסיכום </w:t>
      </w:r>
    </w:p>
    <w:p w:rsidR="00973EEC" w:rsidP="00EA11D5" w:rsidRDefault="00973EEC">
      <w:pPr>
        <w:tabs>
          <w:tab w:val="left" w:pos="288"/>
          <w:tab w:val="left" w:pos="720"/>
          <w:tab w:val="left" w:pos="1296"/>
          <w:tab w:val="left" w:pos="2016"/>
        </w:tabs>
        <w:autoSpaceDE w:val="0"/>
        <w:autoSpaceDN w:val="0"/>
        <w:adjustRightInd w:val="0"/>
        <w:spacing w:after="80" w:line="360" w:lineRule="auto"/>
        <w:ind w:left="766"/>
        <w:jc w:val="both"/>
        <w:rPr>
          <w:sz w:val="22"/>
          <w:rtl/>
        </w:rPr>
      </w:pPr>
      <w:r>
        <w:rPr>
          <w:rFonts w:hint="cs"/>
          <w:sz w:val="22"/>
          <w:rtl/>
        </w:rPr>
        <w:t xml:space="preserve">6.1 לא מצאתי בנסיבותיו של מקרה זה שיש מקום להורות על פסילת המומחה. </w:t>
      </w:r>
    </w:p>
    <w:p w:rsidR="00973EEC" w:rsidP="00EA11D5" w:rsidRDefault="00973EEC">
      <w:pPr>
        <w:tabs>
          <w:tab w:val="left" w:pos="288"/>
          <w:tab w:val="left" w:pos="720"/>
          <w:tab w:val="left" w:pos="1296"/>
          <w:tab w:val="left" w:pos="2016"/>
        </w:tabs>
        <w:autoSpaceDE w:val="0"/>
        <w:autoSpaceDN w:val="0"/>
        <w:adjustRightInd w:val="0"/>
        <w:spacing w:after="80" w:line="360" w:lineRule="auto"/>
        <w:ind w:left="766"/>
        <w:jc w:val="both"/>
        <w:rPr>
          <w:sz w:val="22"/>
          <w:rtl/>
        </w:rPr>
      </w:pPr>
      <w:r>
        <w:rPr>
          <w:rFonts w:hint="cs"/>
          <w:sz w:val="22"/>
          <w:rtl/>
        </w:rPr>
        <w:t xml:space="preserve">6.2 על ב"כ התובעת להגיש למומחה ולצד השני עד ליום 20.4.18 שעה 12:00 את המסמכים שהתבקש ליתן. לא ינתנו המסמכים עד למועד זה </w:t>
      </w:r>
      <w:r>
        <w:rPr>
          <w:sz w:val="22"/>
          <w:rtl/>
        </w:rPr>
        <w:t>–</w:t>
      </w:r>
      <w:r>
        <w:rPr>
          <w:rFonts w:hint="cs"/>
          <w:sz w:val="22"/>
          <w:rtl/>
        </w:rPr>
        <w:t xml:space="preserve"> יכתוב המומחה את חוות דעתו בהנחה שאין מסמכים כאלו. </w:t>
      </w:r>
    </w:p>
    <w:p w:rsidRPr="00973EEC" w:rsidR="00973EEC" w:rsidP="00EA11D5" w:rsidRDefault="00973EEC">
      <w:pPr>
        <w:tabs>
          <w:tab w:val="left" w:pos="288"/>
          <w:tab w:val="left" w:pos="720"/>
          <w:tab w:val="left" w:pos="1296"/>
          <w:tab w:val="left" w:pos="2016"/>
        </w:tabs>
        <w:autoSpaceDE w:val="0"/>
        <w:autoSpaceDN w:val="0"/>
        <w:adjustRightInd w:val="0"/>
        <w:spacing w:after="80" w:line="360" w:lineRule="auto"/>
        <w:ind w:left="766"/>
        <w:jc w:val="both"/>
        <w:rPr>
          <w:sz w:val="22"/>
        </w:rPr>
      </w:pPr>
      <w:r>
        <w:rPr>
          <w:rFonts w:hint="cs"/>
          <w:sz w:val="22"/>
          <w:rtl/>
        </w:rPr>
        <w:t xml:space="preserve">6.3 </w:t>
      </w:r>
      <w:r w:rsidRPr="00EA11D5">
        <w:rPr>
          <w:rFonts w:hint="cs"/>
          <w:b/>
          <w:bCs/>
          <w:sz w:val="22"/>
          <w:u w:val="single"/>
          <w:rtl/>
        </w:rPr>
        <w:t>המזכירות תודיע לצדדים ולמומחה על החלטה זו.</w:t>
      </w:r>
      <w:r>
        <w:rPr>
          <w:rFonts w:hint="cs"/>
          <w:sz w:val="22"/>
          <w:rtl/>
        </w:rPr>
        <w:t xml:space="preserve"> </w:t>
      </w:r>
    </w:p>
    <w:p w:rsidR="00D516FE" w:rsidRDefault="00D516FE">
      <w:pPr>
        <w:spacing w:line="360" w:lineRule="auto"/>
        <w:jc w:val="both"/>
        <w:rPr>
          <w:rFonts w:ascii="Arial" w:hAnsi="Arial"/>
          <w:rtl/>
        </w:rPr>
      </w:pPr>
    </w:p>
    <w:p w:rsidR="006F5617" w:rsidP="006F5617" w:rsidRDefault="00B4791E">
      <w:pPr>
        <w:spacing w:line="360" w:lineRule="auto"/>
        <w:jc w:val="both"/>
        <w:rPr>
          <w:rFonts w:ascii="Arial" w:hAnsi="Arial"/>
          <w:rtl/>
        </w:rPr>
      </w:pPr>
      <w:r>
        <w:rPr>
          <w:rFonts w:ascii="Arial" w:hAnsi="Arial"/>
          <w:rtl/>
        </w:rPr>
        <w:t xml:space="preserve">ניתן היום,  </w:t>
      </w:r>
      <w:sdt>
        <w:sdtPr>
          <w:rPr>
            <w:rtl/>
          </w:rPr>
          <w:alias w:val="1455"/>
          <w:tag w:val="1455"/>
          <w:id w:val="1393772919"/>
          <w:text w:multiLine="1"/>
        </w:sdtPr>
        <w:sdtEndPr/>
        <w:sdtContent>
          <w:r>
            <w:rPr>
              <w:rFonts w:ascii="Arial" w:hAnsi="Arial"/>
              <w:rtl/>
            </w:rPr>
            <w:t>כ"ו ניסן תשע"ח</w:t>
          </w:r>
        </w:sdtContent>
      </w:sdt>
      <w:r>
        <w:rPr>
          <w:rFonts w:ascii="Arial" w:hAnsi="Arial"/>
          <w:rtl/>
        </w:rPr>
        <w:t xml:space="preserve">, </w:t>
      </w:r>
      <w:sdt>
        <w:sdtPr>
          <w:rPr>
            <w:rtl/>
          </w:rPr>
          <w:alias w:val="1456"/>
          <w:tag w:val="1456"/>
          <w:id w:val="-1683897188"/>
          <w:text w:multiLine="1"/>
        </w:sdtPr>
        <w:sdtEndPr/>
        <w:sdtContent>
          <w:r>
            <w:rPr>
              <w:rFonts w:ascii="Arial" w:hAnsi="Arial"/>
              <w:rtl/>
            </w:rPr>
            <w:t>11 אפריל 2018</w:t>
          </w:r>
        </w:sdtContent>
      </w:sdt>
      <w:r>
        <w:rPr>
          <w:rFonts w:ascii="Arial" w:hAnsi="Arial"/>
          <w:rtl/>
        </w:rPr>
        <w:t>, בהעדר הצדדים.</w:t>
      </w:r>
    </w:p>
    <w:p w:rsidR="00D516FE" w:rsidP="00353202" w:rsidRDefault="00B4791E">
      <w:pPr>
        <w:tabs>
          <w:tab w:val="left" w:pos="2553"/>
        </w:tabs>
        <w:spacing w:line="360" w:lineRule="auto"/>
        <w:jc w:val="center"/>
        <w:rPr>
          <w:rtl/>
        </w:rPr>
      </w:pPr>
      <w:r>
        <w:rPr>
          <w:rFonts w:hint="cs"/>
          <w:rtl/>
        </w:rPr>
        <w:tab/>
      </w:r>
    </w:p>
    <w:p w:rsidR="00D516FE" w:rsidRDefault="00D516FE">
      <w:pPr>
        <w:rPr>
          <w:rFonts w:ascii="Arial" w:hAnsi="Arial"/>
          <w:rtl/>
        </w:rPr>
      </w:pPr>
    </w:p>
    <w:p w:rsidR="00D516FE" w:rsidRDefault="00D516FE">
      <w:pPr>
        <w:rPr>
          <w:rFonts w:ascii="Arial" w:hAnsi="Arial"/>
          <w:rtl/>
        </w:rPr>
      </w:pPr>
    </w:p>
    <w:p w:rsidR="00D516FE" w:rsidRDefault="00D516FE">
      <w:pPr>
        <w:rPr>
          <w:rFonts w:ascii="Arial" w:hAnsi="Arial"/>
          <w:rtl/>
        </w:rPr>
      </w:pPr>
    </w:p>
    <w:p w:rsidR="00D516FE" w:rsidRDefault="00D516FE">
      <w:pPr>
        <w:rPr>
          <w:rFonts w:ascii="Arial" w:hAnsi="Arial"/>
          <w:rtl/>
        </w:rPr>
      </w:pPr>
    </w:p>
    <w:p w:rsidR="00D516FE" w:rsidRDefault="00D516FE">
      <w:pPr>
        <w:rPr>
          <w:rtl/>
        </w:rPr>
      </w:pPr>
    </w:p>
    <w:sectPr w:rsidR="00D516FE" w:rsidSect="0060660D">
      <w:headerReference w:type="even" r:id="rId9"/>
      <w:headerReference w:type="default" r:id="rId10"/>
      <w:footerReference w:type="even" r:id="rId11"/>
      <w:footerReference w:type="default" r:id="rId12"/>
      <w:headerReference w:type="first" r:id="rId13"/>
      <w:footerReference w:type="first" r:id="rId14"/>
      <w:pgSz w:w="11907" w:h="16840" w:code="9"/>
      <w:pgMar w:top="261" w:right="1814" w:bottom="2438" w:left="1814" w:header="187" w:footer="720" w:gutter="0"/>
      <w:cols w:space="720"/>
      <w:bidi/>
      <w:rtlGutter/>
      <w:docGrid w:linePitch="360"/>
    </w:sectPr>
    <w:sdt>
      <w:sdtPr>
        <w:alias w:val="MergeField"/>
        <w:tag w:val="1237"/>
      </w:sdtPr>
      <w:sdtContent>
        <w:p>
          <w:r>
            <w:drawing>
              <wp:inline distT="0" distB="0" distL="0" distR="0" wp14:editId="50D07946">
                <wp:extent cx="1695450" cy="132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3d485ec81fe4535" cstate="print">
                          <a:extLst>
                            <a:ext uri="{28A0092B-C50C-407E-A947-70E740481C1C}"/>
                          </a:extLst>
                        </a:blip>
                        <a:stretch>
                          <a:fillRect/>
                        </a:stretch>
                      </pic:blipFill>
                      <pic:spPr>
                        <a:xfrm>
                          <a:off x="0" y="0"/>
                          <a:ext cx="1695450" cy="1323975"/>
                        </a:xfrm>
                        <a:prstGeom prst="rect">
                          <a:avLst/>
                        </a:prstGeom>
                      </pic:spPr>
                    </pic:pic>
                  </a:graphicData>
                </a:graphic>
              </wp:inline>
            </w:drawing>
          </w:r>
        </w:p>
      </w:sdtContent>
    </w:sdt>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6FE" w:rsidRDefault="00B4791E">
      <w:r>
        <w:separator/>
      </w:r>
    </w:p>
  </w:endnote>
  <w:endnote w:type="continuationSeparator" w:id="0">
    <w:p w:rsidR="00D516FE" w:rsidRDefault="00B47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6FE" w:rsidRDefault="00D16D7D">
    <w:pPr>
      <w:pStyle w:val="a5"/>
      <w:framePr w:wrap="around" w:hAnchor="text" w:vAnchor="text" w:xAlign="center" w:y="1"/>
      <w:rPr>
        <w:rStyle w:val="aa"/>
      </w:rPr>
    </w:pPr>
    <w:r>
      <w:rPr>
        <w:rStyle w:val="aa"/>
        <w:rtl/>
      </w:rPr>
      <w:fldChar w:fldCharType="begin"/>
    </w:r>
    <w:r w:rsidR="00B4791E">
      <w:rPr>
        <w:rStyle w:val="aa"/>
      </w:rPr>
      <w:instrText xml:space="preserve">PAGE  </w:instrText>
    </w:r>
    <w:r>
      <w:rPr>
        <w:rStyle w:val="aa"/>
        <w:rtl/>
      </w:rPr>
      <w:fldChar w:fldCharType="end"/>
    </w:r>
  </w:p>
  <w:p w:rsidR="00D516FE" w:rsidRDefault="00D516FE">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6FE" w:rsidRDefault="00B4791E">
    <w:pPr>
      <w:pStyle w:val="a5"/>
      <w:jc w:val="center"/>
    </w:pPr>
    <w:r>
      <w:rPr>
        <w:rtl/>
      </w:rPr>
      <w:t>עמוד</w:t>
    </w:r>
    <w:r>
      <w:t xml:space="preserve"> </w:t>
    </w:r>
    <w:r w:rsidR="00D16D7D">
      <w:fldChar w:fldCharType="begin"/>
    </w:r>
    <w:r>
      <w:instrText xml:space="preserve"> PAGE </w:instrText>
    </w:r>
    <w:r w:rsidR="00D16D7D">
      <w:fldChar w:fldCharType="separate"/>
    </w:r>
    <w:r w:rsidR="009116B2">
      <w:rPr>
        <w:noProof/>
        <w:rtl/>
      </w:rPr>
      <w:t>5</w:t>
    </w:r>
    <w:r w:rsidR="00D16D7D">
      <w:fldChar w:fldCharType="end"/>
    </w:r>
    <w:r>
      <w:t xml:space="preserve"> </w:t>
    </w:r>
    <w:r>
      <w:rPr>
        <w:rtl/>
      </w:rPr>
      <w:t>מתוך</w:t>
    </w:r>
    <w:r>
      <w:t xml:space="preserve"> </w:t>
    </w:r>
    <w:r w:rsidR="00D16D7D">
      <w:fldChar w:fldCharType="begin"/>
    </w:r>
    <w:r>
      <w:instrText xml:space="preserve"> NUMPAGES </w:instrText>
    </w:r>
    <w:r w:rsidR="00D16D7D">
      <w:fldChar w:fldCharType="separate"/>
    </w:r>
    <w:r w:rsidR="009116B2">
      <w:rPr>
        <w:noProof/>
        <w:rtl/>
      </w:rPr>
      <w:t>6</w:t>
    </w:r>
    <w:r w:rsidR="00D16D7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3B5" w:rsidRDefault="00A623B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6FE" w:rsidRDefault="00B4791E">
      <w:r>
        <w:separator/>
      </w:r>
    </w:p>
  </w:footnote>
  <w:footnote w:type="continuationSeparator" w:id="0">
    <w:p w:rsidR="00D516FE" w:rsidRDefault="00B47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3B5" w:rsidRDefault="00A623B5">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6FE" w:rsidRDefault="00A623B5">
    <w:pPr>
      <w:pStyle w:val="a3"/>
      <w:jc w:val="center"/>
      <w:rPr>
        <w:rFonts w:cs="FrankRuehl"/>
        <w:sz w:val="28"/>
        <w:szCs w:val="28"/>
        <w:rtl/>
      </w:rPr>
    </w:pPr>
    <w:r>
      <w:rPr>
        <w:rFonts w:hint="cs" w:cs="Times New Roman"/>
        <w:b/>
        <w:bCs/>
        <w:noProof/>
        <w:sz w:val="26"/>
        <w:szCs w:val="28"/>
        <w:rtl/>
      </w:rPr>
    </w:r>
    <w:r w:rsidR="00B4791E">
      <w:rPr>
        <w:rFonts w:hint="cs" w:cs="Times New Roman"/>
        <w:b/>
        <w:bCs/>
        <w:sz w:val="26"/>
        <w:szCs w:val="28"/>
        <w:rtl/>
      </w:rPr>
      <w:t xml:space="preserve"> </w:t>
    </w:r>
    <w:r w:rsidR="000A4AF0">
      <w:rPr>
        <w:rFonts w:cs="FrankRuehl"/>
        <w:noProof/>
        <w:sz w:val="28"/>
        <w:szCs w:val="28"/>
      </w:rPr>
      <w:drawing>
        <wp:inline distT="0" distB="0" distL="0" distR="0">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3781"/>
      <w:gridCol w:w="1014"/>
      <w:gridCol w:w="3484"/>
    </w:tblGrid>
    <w:tr w:rsidR="00D516FE">
      <w:trPr>
        <w:trHeight w:val="418" w:hRule="exact"/>
        <w:jc w:val="center"/>
      </w:trPr>
      <w:sdt>
        <w:sdtPr>
          <w:rPr>
            <w:rtl/>
          </w:rPr>
          <w:alias w:val="1174"/>
          <w:tag w:val="1174"/>
          <w:id w:val="-1546123461"/>
          <w:text/>
        </w:sdtPr>
        <w:sdtEndPr/>
        <w:sdtContent>
          <w:tc>
            <w:tcPr>
              <w:tcW w:w="8861" w:type="dxa"/>
              <w:gridSpan w:val="3"/>
            </w:tcPr>
            <w:p w:rsidR="00D516FE" w:rsidRDefault="00B4791E">
              <w:pPr>
                <w:pStyle w:val="a3"/>
                <w:jc w:val="center"/>
                <w:rPr>
                  <w:rFonts w:ascii="Tahoma" w:hAnsi="Tahoma" w:cs="Tahoma"/>
                  <w:b/>
                  <w:bCs/>
                  <w:color w:val="000080"/>
                  <w:rtl/>
                </w:rPr>
              </w:pPr>
              <w:r>
                <w:rPr>
                  <w:rFonts w:ascii="Tahoma" w:hAnsi="Tahoma" w:cs="Tahoma"/>
                  <w:b/>
                  <w:bCs/>
                  <w:color w:val="000080"/>
                  <w:rtl/>
                </w:rPr>
                <w:t>בית המשפט המחוזי בחיפה</w:t>
              </w:r>
            </w:p>
          </w:tc>
        </w:sdtContent>
      </w:sdt>
    </w:tr>
    <w:tr w:rsidR="00D516FE">
      <w:trPr>
        <w:trHeight w:val="337"/>
        <w:jc w:val="center"/>
      </w:trPr>
      <w:tc>
        <w:tcPr>
          <w:tcW w:w="4044" w:type="dxa"/>
        </w:tcPr>
        <w:p w:rsidR="00D516FE" w:rsidRDefault="009116B2">
          <w:pPr>
            <w:rPr>
              <w:b/>
              <w:bCs/>
              <w:sz w:val="26"/>
              <w:szCs w:val="26"/>
              <w:rtl/>
            </w:rPr>
          </w:pPr>
          <w:sdt>
            <w:sdtPr>
              <w:rPr>
                <w:rtl/>
              </w:rPr>
              <w:alias w:val="1170"/>
              <w:tag w:val="1170"/>
              <w:id w:val="-1327435477"/>
              <w:text w:multiLine="1"/>
            </w:sdtPr>
            <w:sdtEndPr/>
            <w:sdtContent>
              <w:r w:rsidR="00021B77">
                <w:rPr>
                  <w:b/>
                  <w:bCs/>
                  <w:sz w:val="26"/>
                  <w:szCs w:val="26"/>
                  <w:rtl/>
                </w:rPr>
                <w:t>ת"א</w:t>
              </w:r>
            </w:sdtContent>
          </w:sdt>
          <w:r w:rsidR="00B4791E">
            <w:rPr>
              <w:rFonts w:hint="cs"/>
              <w:b/>
              <w:bCs/>
              <w:sz w:val="26"/>
              <w:szCs w:val="26"/>
              <w:rtl/>
            </w:rPr>
            <w:t xml:space="preserve"> </w:t>
          </w:r>
          <w:sdt>
            <w:sdtPr>
              <w:rPr>
                <w:rtl/>
              </w:rPr>
              <w:alias w:val="1171"/>
              <w:tag w:val="1171"/>
              <w:id w:val="1980650984"/>
              <w:text w:multiLine="1"/>
            </w:sdtPr>
            <w:sdtEndPr/>
            <w:sdtContent>
              <w:r w:rsidR="00021B77">
                <w:rPr>
                  <w:b/>
                  <w:bCs/>
                  <w:sz w:val="26"/>
                  <w:szCs w:val="26"/>
                  <w:rtl/>
                </w:rPr>
                <w:t>61857-02-15</w:t>
              </w:r>
            </w:sdtContent>
          </w:sdt>
          <w:r w:rsidR="00B4791E">
            <w:rPr>
              <w:rFonts w:hint="cs"/>
              <w:b/>
              <w:bCs/>
              <w:sz w:val="26"/>
              <w:szCs w:val="26"/>
              <w:rtl/>
            </w:rPr>
            <w:t xml:space="preserve"> </w:t>
          </w:r>
          <w:sdt>
            <w:sdtPr>
              <w:rPr>
                <w:rtl/>
              </w:rPr>
              <w:alias w:val="1172"/>
              <w:tag w:val="1172"/>
              <w:id w:val="-374158065"/>
              <w:text w:multiLine="1"/>
            </w:sdtPr>
            <w:sdtEndPr/>
            <w:sdtContent>
              <w:r w:rsidR="00021B77">
                <w:rPr>
                  <w:b/>
                  <w:bCs/>
                  <w:sz w:val="26"/>
                  <w:szCs w:val="26"/>
                  <w:rtl/>
                </w:rPr>
                <w:t>עירית עכו נ' איילון חברה לביטוח בע"מ ואח'</w:t>
              </w:r>
            </w:sdtContent>
          </w:sdt>
        </w:p>
        <w:p w:rsidR="00D516FE" w:rsidRDefault="00D516FE">
          <w:pPr>
            <w:rPr>
              <w:b/>
              <w:bCs/>
              <w:sz w:val="26"/>
              <w:szCs w:val="26"/>
              <w:rtl/>
            </w:rPr>
          </w:pPr>
        </w:p>
      </w:tc>
      <w:tc>
        <w:tcPr>
          <w:tcW w:w="1087" w:type="dxa"/>
        </w:tcPr>
        <w:p w:rsidR="00D516FE" w:rsidRDefault="00D516FE">
          <w:pPr>
            <w:pStyle w:val="a3"/>
            <w:jc w:val="center"/>
            <w:rPr>
              <w:b/>
              <w:bCs/>
              <w:sz w:val="26"/>
              <w:szCs w:val="26"/>
              <w:rtl/>
            </w:rPr>
          </w:pPr>
        </w:p>
      </w:tc>
      <w:sdt>
        <w:sdtPr>
          <w:rPr>
            <w:rtl/>
          </w:rPr>
          <w:alias w:val="1456"/>
          <w:tag w:val="1456"/>
          <w:id w:val="525377241"/>
          <w:text/>
        </w:sdtPr>
        <w:sdtEndPr/>
        <w:sdtContent>
          <w:tc>
            <w:tcPr>
              <w:tcW w:w="3730" w:type="dxa"/>
            </w:tcPr>
            <w:p w:rsidR="00D516FE" w:rsidRDefault="00B4791E">
              <w:pPr>
                <w:pStyle w:val="a3"/>
                <w:jc w:val="center"/>
                <w:rPr>
                  <w:b/>
                  <w:bCs/>
                  <w:sz w:val="26"/>
                  <w:szCs w:val="26"/>
                  <w:rtl/>
                </w:rPr>
              </w:pPr>
              <w:r>
                <w:rPr>
                  <w:b/>
                  <w:bCs/>
                  <w:sz w:val="26"/>
                  <w:szCs w:val="26"/>
                  <w:rtl/>
                </w:rPr>
                <w:t>11 אפריל 2018</w:t>
              </w:r>
            </w:p>
          </w:tc>
        </w:sdtContent>
      </w:sdt>
    </w:tr>
  </w:tbl>
  <w:p w:rsidR="00D516FE" w:rsidRDefault="00D516FE">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3B5" w:rsidRDefault="00A6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6ADA"/>
    <w:multiLevelType w:val="hybridMultilevel"/>
    <w:tmpl w:val="F0BE64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75A1C15"/>
    <w:multiLevelType w:val="hybridMultilevel"/>
    <w:tmpl w:val="0D663D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7A571CE"/>
    <w:multiLevelType w:val="hybridMultilevel"/>
    <w:tmpl w:val="65B65C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51906"/>
    <o:shapelayout v:ext="edit">
      <o:idmap v:ext="edit" data="24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6FE"/>
    <w:rsid w:val="00021B77"/>
    <w:rsid w:val="00047909"/>
    <w:rsid w:val="000878AD"/>
    <w:rsid w:val="000A4AF0"/>
    <w:rsid w:val="00133BE9"/>
    <w:rsid w:val="00245466"/>
    <w:rsid w:val="00267729"/>
    <w:rsid w:val="002734FB"/>
    <w:rsid w:val="00282CB0"/>
    <w:rsid w:val="002A5548"/>
    <w:rsid w:val="002D08EA"/>
    <w:rsid w:val="00353202"/>
    <w:rsid w:val="00371A8A"/>
    <w:rsid w:val="003A0CAC"/>
    <w:rsid w:val="00510A12"/>
    <w:rsid w:val="00564F0F"/>
    <w:rsid w:val="00593326"/>
    <w:rsid w:val="005A3ECE"/>
    <w:rsid w:val="005C5428"/>
    <w:rsid w:val="0060660D"/>
    <w:rsid w:val="006178BF"/>
    <w:rsid w:val="006502C1"/>
    <w:rsid w:val="00672B2F"/>
    <w:rsid w:val="006B3261"/>
    <w:rsid w:val="006F5617"/>
    <w:rsid w:val="00752611"/>
    <w:rsid w:val="008970F2"/>
    <w:rsid w:val="008C1E15"/>
    <w:rsid w:val="008D349B"/>
    <w:rsid w:val="009116B2"/>
    <w:rsid w:val="00914954"/>
    <w:rsid w:val="00930AAE"/>
    <w:rsid w:val="00973EEC"/>
    <w:rsid w:val="00A154F4"/>
    <w:rsid w:val="00A27DB0"/>
    <w:rsid w:val="00A31B28"/>
    <w:rsid w:val="00A43CA1"/>
    <w:rsid w:val="00A623B5"/>
    <w:rsid w:val="00AD554F"/>
    <w:rsid w:val="00B4791E"/>
    <w:rsid w:val="00B7449B"/>
    <w:rsid w:val="00B80246"/>
    <w:rsid w:val="00C04237"/>
    <w:rsid w:val="00D16D7D"/>
    <w:rsid w:val="00D516FE"/>
    <w:rsid w:val="00D87FEE"/>
    <w:rsid w:val="00E3722C"/>
    <w:rsid w:val="00E5284A"/>
    <w:rsid w:val="00E93E92"/>
    <w:rsid w:val="00EA11D5"/>
    <w:rsid w:val="00EE0731"/>
    <w:rsid w:val="00EF361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51906"/>
    <o:shapelayout v:ext="edit">
      <o:idmap v:ext="edit" data="1"/>
    </o:shapelayout>
  </w:shapeDefaults>
  <w:decimalSymbol w:val="."/>
  <w:listSeparator w:val=","/>
  <w14:docId w14:val="1B079CEC"/>
  <w15:docId w15:val="{61ECADFA-7599-4413-82D4-5A3CFC453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2661"/>
    <w:pPr>
      <w:bidi/>
    </w:pPr>
    <w:rPr>
      <w:rFonts w:cs="David"/>
      <w:sz w:val="24"/>
      <w:szCs w:val="24"/>
    </w:rPr>
  </w:style>
  <w:style w:type="paragraph" w:styleId="4">
    <w:name w:val="heading 4"/>
    <w:basedOn w:val="a"/>
    <w:next w:val="a"/>
    <w:qFormat/>
    <w:rsid w:val="00AD2661"/>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D2661"/>
    <w:pPr>
      <w:tabs>
        <w:tab w:val="center" w:pos="4153"/>
        <w:tab w:val="right" w:pos="8306"/>
      </w:tabs>
    </w:pPr>
  </w:style>
  <w:style w:type="paragraph" w:styleId="a5">
    <w:name w:val="footer"/>
    <w:basedOn w:val="a"/>
    <w:rsid w:val="00AD2661"/>
    <w:pPr>
      <w:tabs>
        <w:tab w:val="center" w:pos="4153"/>
        <w:tab w:val="right" w:pos="8306"/>
      </w:tabs>
    </w:pPr>
  </w:style>
  <w:style w:type="table" w:styleId="a6">
    <w:name w:val="Table Grid"/>
    <w:basedOn w:val="a1"/>
    <w:rsid w:val="00AD266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semiHidden/>
    <w:rsid w:val="00AD2661"/>
    <w:rPr>
      <w:sz w:val="16"/>
      <w:szCs w:val="16"/>
    </w:rPr>
  </w:style>
  <w:style w:type="paragraph" w:styleId="a8">
    <w:name w:val="annotation text"/>
    <w:basedOn w:val="a"/>
    <w:semiHidden/>
    <w:rsid w:val="00AD2661"/>
    <w:rPr>
      <w:rFonts w:cs="Times New Roman"/>
    </w:rPr>
  </w:style>
  <w:style w:type="paragraph" w:styleId="a9">
    <w:name w:val="Balloon Text"/>
    <w:basedOn w:val="a"/>
    <w:semiHidden/>
    <w:rsid w:val="00AD2661"/>
    <w:rPr>
      <w:rFonts w:ascii="Tahoma" w:hAnsi="Tahoma" w:cs="Tahoma"/>
      <w:sz w:val="16"/>
      <w:szCs w:val="16"/>
    </w:rPr>
  </w:style>
  <w:style w:type="character" w:styleId="aa">
    <w:name w:val="page number"/>
    <w:basedOn w:val="a0"/>
    <w:rsid w:val="00AD2661"/>
  </w:style>
  <w:style w:type="character" w:customStyle="1" w:styleId="a4">
    <w:name w:val="כותרת עליונה תו"/>
    <w:basedOn w:val="a0"/>
    <w:link w:val="a3"/>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051752">
      <w:bodyDiv w:val="1"/>
      <w:marLeft w:val="0"/>
      <w:marRight w:val="0"/>
      <w:marTop w:val="0"/>
      <w:marBottom w:val="0"/>
      <w:divBdr>
        <w:top w:val="none" w:sz="0" w:space="0" w:color="auto"/>
        <w:left w:val="none" w:sz="0" w:space="0" w:color="auto"/>
        <w:bottom w:val="none" w:sz="0" w:space="0" w:color="auto"/>
        <w:right w:val="none" w:sz="0" w:space="0" w:color="auto"/>
      </w:divBdr>
    </w:div>
    <w:div w:id="500393631">
      <w:bodyDiv w:val="1"/>
      <w:marLeft w:val="0"/>
      <w:marRight w:val="0"/>
      <w:marTop w:val="0"/>
      <w:marBottom w:val="0"/>
      <w:divBdr>
        <w:top w:val="none" w:sz="0" w:space="0" w:color="auto"/>
        <w:left w:val="none" w:sz="0" w:space="0" w:color="auto"/>
        <w:bottom w:val="none" w:sz="0" w:space="0" w:color="auto"/>
        <w:right w:val="none" w:sz="0" w:space="0" w:color="auto"/>
      </w:divBdr>
    </w:div>
    <w:div w:id="977877198">
      <w:bodyDiv w:val="1"/>
      <w:marLeft w:val="0"/>
      <w:marRight w:val="0"/>
      <w:marTop w:val="0"/>
      <w:marBottom w:val="0"/>
      <w:divBdr>
        <w:top w:val="none" w:sz="0" w:space="0" w:color="auto"/>
        <w:left w:val="none" w:sz="0" w:space="0" w:color="auto"/>
        <w:bottom w:val="none" w:sz="0" w:space="0" w:color="auto"/>
        <w:right w:val="none" w:sz="0" w:space="0" w:color="auto"/>
      </w:divBdr>
    </w:div>
    <w:div w:id="1029526998">
      <w:bodyDiv w:val="1"/>
      <w:marLeft w:val="0"/>
      <w:marRight w:val="0"/>
      <w:marTop w:val="0"/>
      <w:marBottom w:val="0"/>
      <w:divBdr>
        <w:top w:val="none" w:sz="0" w:space="0" w:color="auto"/>
        <w:left w:val="none" w:sz="0" w:space="0" w:color="auto"/>
        <w:bottom w:val="none" w:sz="0" w:space="0" w:color="auto"/>
        <w:right w:val="none" w:sz="0" w:space="0" w:color="auto"/>
      </w:divBdr>
    </w:div>
    <w:div w:id="1097292481">
      <w:bodyDiv w:val="1"/>
      <w:marLeft w:val="0"/>
      <w:marRight w:val="0"/>
      <w:marTop w:val="0"/>
      <w:marBottom w:val="0"/>
      <w:divBdr>
        <w:top w:val="none" w:sz="0" w:space="0" w:color="auto"/>
        <w:left w:val="none" w:sz="0" w:space="0" w:color="auto"/>
        <w:bottom w:val="none" w:sz="0" w:space="0" w:color="auto"/>
        <w:right w:val="none" w:sz="0" w:space="0" w:color="auto"/>
      </w:divBdr>
    </w:div>
    <w:div w:id="1292905156">
      <w:bodyDiv w:val="1"/>
      <w:marLeft w:val="0"/>
      <w:marRight w:val="0"/>
      <w:marTop w:val="0"/>
      <w:marBottom w:val="0"/>
      <w:divBdr>
        <w:top w:val="none" w:sz="0" w:space="0" w:color="auto"/>
        <w:left w:val="none" w:sz="0" w:space="0" w:color="auto"/>
        <w:bottom w:val="none" w:sz="0" w:space="0" w:color="auto"/>
        <w:right w:val="none" w:sz="0" w:space="0" w:color="auto"/>
      </w:divBdr>
    </w:div>
    <w:div w:id="1601794305">
      <w:bodyDiv w:val="1"/>
      <w:marLeft w:val="0"/>
      <w:marRight w:val="0"/>
      <w:marTop w:val="0"/>
      <w:marBottom w:val="0"/>
      <w:divBdr>
        <w:top w:val="none" w:sz="0" w:space="0" w:color="auto"/>
        <w:left w:val="none" w:sz="0" w:space="0" w:color="auto"/>
        <w:bottom w:val="none" w:sz="0" w:space="0" w:color="auto"/>
        <w:right w:val="none" w:sz="0" w:space="0" w:color="auto"/>
      </w:divBdr>
    </w:div>
    <w:div w:id="1728138782">
      <w:bodyDiv w:val="1"/>
      <w:marLeft w:val="0"/>
      <w:marRight w:val="0"/>
      <w:marTop w:val="0"/>
      <w:marBottom w:val="0"/>
      <w:divBdr>
        <w:top w:val="none" w:sz="0" w:space="0" w:color="auto"/>
        <w:left w:val="none" w:sz="0" w:space="0" w:color="auto"/>
        <w:bottom w:val="none" w:sz="0" w:space="0" w:color="auto"/>
        <w:right w:val="none" w:sz="0" w:space="0" w:color="auto"/>
      </w:divBdr>
    </w:div>
    <w:div w:id="1935476001">
      <w:bodyDiv w:val="1"/>
      <w:marLeft w:val="0"/>
      <w:marRight w:val="0"/>
      <w:marTop w:val="0"/>
      <w:marBottom w:val="0"/>
      <w:divBdr>
        <w:top w:val="none" w:sz="0" w:space="0" w:color="auto"/>
        <w:left w:val="none" w:sz="0" w:space="0" w:color="auto"/>
        <w:bottom w:val="none" w:sz="0" w:space="0" w:color="auto"/>
        <w:right w:val="none" w:sz="0" w:space="0" w:color="auto"/>
      </w:divBdr>
    </w:div>
    <w:div w:id="211944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63d485ec81fe4535"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1351</Words>
  <Characters>6757</Characters>
  <Application>Microsoft Office Word</Application>
  <DocSecurity>0</DocSecurity>
  <Lines>56</Lines>
  <Paragraphs>16</Paragraphs>
  <ScaleCrop>false</ScaleCrop>
  <Company>Microsoft Corporation</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ריבי למלשטריך-לטר</cp:lastModifiedBy>
  <cp:revision>43</cp:revision>
  <dcterms:created xsi:type="dcterms:W3CDTF">2012-08-05T22:09:00Z</dcterms:created>
  <dcterms:modified xsi:type="dcterms:W3CDTF">2018-04-11T10:49:00Z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