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22"/>
        <w:gridCol w:w="9036"/>
      </w:tblGrid>
      <w:tr w:rsidR="006816EC" w:rsidTr="006816EC">
        <w:trPr>
          <w:trHeight w:val="295"/>
          <w:jc w:val="center"/>
        </w:trPr>
        <w:tc>
          <w:tcPr>
            <w:tcW w:w="5049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tbl>
            <w:tblPr>
              <w:bidiVisual/>
              <w:tblW w:w="8820" w:type="dxa"/>
              <w:jc w:val="center"/>
              <w:tblLook w:val="01E0" w:firstRow="1" w:lastRow="1" w:firstColumn="1" w:lastColumn="1" w:noHBand="0" w:noVBand="0"/>
            </w:tblPr>
            <w:tblGrid>
              <w:gridCol w:w="743"/>
              <w:gridCol w:w="2452"/>
              <w:gridCol w:w="5625"/>
            </w:tblGrid>
            <w:tr w:rsidR="006253B1" w:rsidTr="006253B1">
              <w:trPr>
                <w:jc w:val="center"/>
              </w:trPr>
              <w:tc>
                <w:tcPr>
                  <w:tcW w:w="743" w:type="dxa"/>
                  <w:hideMark/>
                </w:tcPr>
                <w:p w:rsidR="006253B1" w:rsidP="006253B1" w:rsidRDefault="006253B1">
                  <w:pPr>
                    <w:jc w:val="both"/>
                    <w:rPr>
                      <w:rFonts w:ascii="Arial" w:hAnsi="Arial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hint="cs" w:ascii="Arial" w:hAnsi="Arial"/>
                      <w:b/>
                      <w:bCs/>
                      <w:noProof w:val="0"/>
                      <w:sz w:val="26"/>
                      <w:szCs w:val="26"/>
                      <w:rtl/>
                    </w:rPr>
                    <w:t xml:space="preserve">בפני </w:t>
                  </w:r>
                </w:p>
              </w:tc>
              <w:tc>
                <w:tcPr>
                  <w:tcW w:w="8077" w:type="dxa"/>
                  <w:gridSpan w:val="2"/>
                </w:tcPr>
                <w:p w:rsidR="006253B1" w:rsidP="006253B1" w:rsidRDefault="006253B1">
                  <w:pPr>
                    <w:rPr>
                      <w:rFonts w:ascii="Arial" w:hAnsi="Arial"/>
                      <w:b/>
                      <w:bCs/>
                      <w:noProof w:val="0"/>
                      <w:sz w:val="26"/>
                      <w:szCs w:val="26"/>
                    </w:rPr>
                  </w:pPr>
                  <w:r>
                    <w:rPr>
                      <w:rFonts w:hint="cs" w:ascii="Arial" w:hAnsi="Arial"/>
                      <w:b/>
                      <w:bCs/>
                      <w:noProof w:val="0"/>
                      <w:sz w:val="26"/>
                      <w:szCs w:val="26"/>
                      <w:rtl/>
                    </w:rPr>
                    <w:t>כב' השופטת גלית ציגלר</w:t>
                  </w:r>
                </w:p>
                <w:p w:rsidR="006253B1" w:rsidP="006253B1" w:rsidRDefault="006253B1">
                  <w:pPr>
                    <w:rPr>
                      <w:rFonts w:ascii="Arial" w:hAnsi="Arial" w:cs="FrankRuehl"/>
                      <w:sz w:val="26"/>
                      <w:szCs w:val="26"/>
                      <w:highlight w:val="yellow"/>
                      <w:rtl/>
                    </w:rPr>
                  </w:pPr>
                </w:p>
              </w:tc>
            </w:tr>
            <w:tr w:rsidR="006253B1" w:rsidTr="006253B1">
              <w:trPr>
                <w:jc w:val="center"/>
              </w:trPr>
              <w:tc>
                <w:tcPr>
                  <w:tcW w:w="3195" w:type="dxa"/>
                  <w:gridSpan w:val="2"/>
                  <w:hideMark/>
                </w:tcPr>
                <w:p w:rsidR="006253B1" w:rsidP="006253B1" w:rsidRDefault="006253B1">
                  <w:pPr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noProof w:val="0"/>
                      <w:rtl/>
                    </w:rPr>
                    <w:t>בעניין:</w:t>
                  </w:r>
                </w:p>
              </w:tc>
              <w:tc>
                <w:tcPr>
                  <w:tcW w:w="5625" w:type="dxa"/>
                  <w:hideMark/>
                </w:tcPr>
                <w:p w:rsidR="006253B1" w:rsidP="006253B1" w:rsidRDefault="006253B1">
                  <w:pPr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noProof w:val="0"/>
                      <w:rtl/>
                    </w:rPr>
                    <w:t xml:space="preserve">פקודת פשיטת הרגל [נוסח חדש], התש"ם-1980 </w:t>
                  </w:r>
                </w:p>
                <w:p w:rsidR="006253B1" w:rsidP="006253B1" w:rsidRDefault="006253B1">
                  <w:pPr>
                    <w:spacing w:line="360" w:lineRule="auto"/>
                    <w:jc w:val="right"/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noProof w:val="0"/>
                      <w:rtl/>
                    </w:rPr>
                    <w:t>להלן: "הפקודה"</w:t>
                  </w:r>
                </w:p>
              </w:tc>
            </w:tr>
            <w:tr w:rsidR="006253B1" w:rsidTr="006253B1">
              <w:trPr>
                <w:trHeight w:val="720"/>
                <w:jc w:val="center"/>
              </w:trPr>
              <w:tc>
                <w:tcPr>
                  <w:tcW w:w="3195" w:type="dxa"/>
                  <w:gridSpan w:val="2"/>
                  <w:hideMark/>
                </w:tcPr>
                <w:p w:rsidR="006253B1" w:rsidP="006253B1" w:rsidRDefault="006253B1">
                  <w:pPr>
                    <w:spacing w:line="360" w:lineRule="auto"/>
                    <w:rPr>
                      <w:b/>
                      <w:bCs/>
                      <w:noProof w:val="0"/>
                    </w:rPr>
                  </w:pPr>
                  <w:r>
                    <w:rPr>
                      <w:rFonts w:hint="cs"/>
                      <w:b/>
                      <w:bCs/>
                      <w:noProof w:val="0"/>
                      <w:rtl/>
                    </w:rPr>
                    <w:t xml:space="preserve">בעניין:                                                 </w:t>
                  </w:r>
                </w:p>
              </w:tc>
              <w:tc>
                <w:tcPr>
                  <w:tcW w:w="5625" w:type="dxa"/>
                  <w:hideMark/>
                </w:tcPr>
                <w:p w:rsidR="006253B1" w:rsidP="006253B1" w:rsidRDefault="006253B1">
                  <w:pPr>
                    <w:spacing w:line="360" w:lineRule="auto"/>
                    <w:rPr>
                      <w:b/>
                      <w:bCs/>
                      <w:noProof w:val="0"/>
                    </w:rPr>
                  </w:pPr>
                  <w:r>
                    <w:rPr>
                      <w:rFonts w:hint="cs"/>
                      <w:b/>
                      <w:bCs/>
                      <w:noProof w:val="0"/>
                      <w:rtl/>
                    </w:rPr>
                    <w:t>חוסאם ג'בארין, ת"ז 036305324</w:t>
                  </w:r>
                </w:p>
                <w:p w:rsidR="006253B1" w:rsidP="006253B1" w:rsidRDefault="006253B1">
                  <w:pPr>
                    <w:spacing w:line="360" w:lineRule="auto"/>
                    <w:jc w:val="right"/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 w:val="0"/>
                      <w:rtl/>
                    </w:rPr>
                    <w:t>להלן: "החייב"</w:t>
                  </w:r>
                </w:p>
              </w:tc>
            </w:tr>
            <w:tr w:rsidR="006253B1" w:rsidTr="006253B1">
              <w:trPr>
                <w:jc w:val="center"/>
              </w:trPr>
              <w:tc>
                <w:tcPr>
                  <w:tcW w:w="3195" w:type="dxa"/>
                  <w:gridSpan w:val="2"/>
                  <w:hideMark/>
                </w:tcPr>
                <w:p w:rsidR="006253B1" w:rsidP="006253B1" w:rsidRDefault="006253B1">
                  <w:pPr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noProof w:val="0"/>
                      <w:rtl/>
                    </w:rPr>
                    <w:t>ובעניין:</w:t>
                  </w:r>
                </w:p>
              </w:tc>
              <w:tc>
                <w:tcPr>
                  <w:tcW w:w="5625" w:type="dxa"/>
                  <w:hideMark/>
                </w:tcPr>
                <w:p w:rsidR="006253B1" w:rsidP="006253B1" w:rsidRDefault="006253B1">
                  <w:pPr>
                    <w:spacing w:line="360" w:lineRule="auto"/>
                    <w:rPr>
                      <w:b/>
                      <w:bCs/>
                      <w:noProof w:val="0"/>
                    </w:rPr>
                  </w:pPr>
                  <w:r>
                    <w:rPr>
                      <w:rFonts w:hint="cs"/>
                      <w:b/>
                      <w:bCs/>
                      <w:noProof w:val="0"/>
                      <w:rtl/>
                    </w:rPr>
                    <w:t>הכונס הרשמי מחוז חיפה</w:t>
                  </w:r>
                </w:p>
                <w:p w:rsidR="006253B1" w:rsidP="006253B1" w:rsidRDefault="006253B1">
                  <w:pPr>
                    <w:spacing w:line="360" w:lineRule="auto"/>
                    <w:jc w:val="right"/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 w:val="0"/>
                      <w:rtl/>
                    </w:rPr>
                    <w:t>להלן: "הכונ"ר"</w:t>
                  </w:r>
                </w:p>
              </w:tc>
            </w:tr>
            <w:tr w:rsidR="006253B1" w:rsidTr="006253B1">
              <w:trPr>
                <w:jc w:val="center"/>
              </w:trPr>
              <w:tc>
                <w:tcPr>
                  <w:tcW w:w="3195" w:type="dxa"/>
                  <w:gridSpan w:val="2"/>
                  <w:hideMark/>
                </w:tcPr>
                <w:p w:rsidR="006253B1" w:rsidP="006253B1" w:rsidRDefault="006253B1">
                  <w:pPr>
                    <w:spacing w:line="360" w:lineRule="auto"/>
                    <w:rPr>
                      <w:b/>
                      <w:bCs/>
                      <w:noProof w:val="0"/>
                    </w:rPr>
                  </w:pPr>
                  <w:r>
                    <w:rPr>
                      <w:rFonts w:hint="cs"/>
                      <w:b/>
                      <w:bCs/>
                      <w:noProof w:val="0"/>
                      <w:rtl/>
                    </w:rPr>
                    <w:t>ובעניין:</w:t>
                  </w:r>
                </w:p>
              </w:tc>
              <w:tc>
                <w:tcPr>
                  <w:tcW w:w="5625" w:type="dxa"/>
                  <w:hideMark/>
                </w:tcPr>
                <w:p w:rsidR="006253B1" w:rsidP="006253B1" w:rsidRDefault="006253B1">
                  <w:pPr>
                    <w:spacing w:line="360" w:lineRule="auto"/>
                    <w:rPr>
                      <w:b/>
                      <w:bCs/>
                      <w:noProof w:val="0"/>
                    </w:rPr>
                  </w:pPr>
                  <w:r>
                    <w:rPr>
                      <w:rFonts w:hint="cs"/>
                      <w:b/>
                      <w:bCs/>
                      <w:noProof w:val="0"/>
                      <w:rtl/>
                    </w:rPr>
                    <w:t>עו"ד אסיא סיוון</w:t>
                  </w:r>
                </w:p>
                <w:p w:rsidR="006253B1" w:rsidP="006253B1" w:rsidRDefault="006253B1">
                  <w:pPr>
                    <w:spacing w:line="360" w:lineRule="auto"/>
                    <w:jc w:val="right"/>
                    <w:rPr>
                      <w:b/>
                      <w:bCs/>
                      <w:noProof w:val="0"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 w:val="0"/>
                      <w:rtl/>
                    </w:rPr>
                    <w:t>להלן: "המנהלת המיוחדת"</w:t>
                  </w:r>
                </w:p>
              </w:tc>
            </w:tr>
          </w:tbl>
          <w:p w:rsidR="006816EC" w:rsidRDefault="006816EC">
            <w:pPr>
              <w:rPr>
                <w:rFonts w:ascii="Arial (W1)" w:hAnsi="Arial (W1)"/>
                <w:szCs w:val="28"/>
              </w:rPr>
            </w:pPr>
          </w:p>
        </w:tc>
      </w:tr>
      <w:tr w:rsidR="006816EC" w:rsidTr="006253B1">
        <w:trPr>
          <w:jc w:val="center"/>
        </w:trPr>
        <w:tc>
          <w:tcPr>
            <w:tcW w:w="743" w:type="dxa"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  <w:tc>
          <w:tcPr>
            <w:tcW w:w="8077" w:type="dxa"/>
          </w:tcPr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</w:tcPr>
          <w:p w:rsidR="006570C7" w:rsidRDefault="006570C7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5571" w:type="dxa"/>
          </w:tcPr>
          <w:p w:rsidRPr="006253B1"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D36A71" w:rsidTr="00A94B1C">
        <w:trPr>
          <w:jc w:val="center"/>
        </w:trPr>
        <w:tc>
          <w:tcPr>
            <w:tcW w:w="8820" w:type="dxa"/>
            <w:gridSpan w:val="2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</w:tcPr>
          <w:p w:rsidR="006570C7" w:rsidRDefault="006570C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tbl>
            <w:tblPr>
              <w:tblStyle w:val="a9"/>
              <w:tblpPr w:leftFromText="180" w:rightFromText="180" w:vertAnchor="text" w:horzAnchor="margin" w:tblpY="122"/>
              <w:bidiVisual/>
              <w:tblW w:w="882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8820"/>
            </w:tblGrid>
            <w:tr w:rsidR="006253B1" w:rsidTr="006253B1">
              <w:tc>
                <w:tcPr>
                  <w:tcW w:w="8820" w:type="dxa"/>
                </w:tcPr>
                <w:p w:rsidR="006253B1" w:rsidP="006253B1" w:rsidRDefault="006253B1">
                  <w:pPr>
                    <w:bidi w:val="0"/>
                    <w:jc w:val="center"/>
                    <w:rPr>
                      <w:rFonts w:ascii="Arial" w:hAnsi="Arial"/>
                      <w:b/>
                      <w:bCs/>
                      <w:noProof w:val="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Arial" w:hAnsi="Arial"/>
                      <w:b/>
                      <w:bCs/>
                      <w:noProof w:val="0"/>
                      <w:sz w:val="28"/>
                      <w:szCs w:val="28"/>
                      <w:u w:val="single"/>
                      <w:rtl/>
                    </w:rPr>
                    <w:t>פסק דין</w:t>
                  </w:r>
                </w:p>
              </w:tc>
            </w:tr>
          </w:tbl>
          <w:p w:rsidR="006570C7" w:rsidRDefault="006570C7">
            <w:pPr>
              <w:rPr>
                <w:rFonts w:hint="cs" w:cs="Times New Roman"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E37240" w:rsidTr="00E37240">
        <w:trPr>
          <w:jc w:val="center"/>
        </w:trPr>
        <w:tc>
          <w:tcPr>
            <w:tcW w:w="8820" w:type="dxa"/>
            <w:hideMark/>
          </w:tcPr>
          <w:p w:rsidR="00E37240" w:rsidP="00E37240" w:rsidRDefault="00E37240">
            <w:pPr>
              <w:bidi w:val="0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37240" w:rsidP="00E37240" w:rsidRDefault="00E37240">
      <w:pPr>
        <w:spacing w:line="360" w:lineRule="auto"/>
        <w:jc w:val="both"/>
        <w:rPr>
          <w:rFonts w:ascii="Arial" w:hAnsi="Arial"/>
          <w:noProof w:val="0"/>
        </w:rPr>
      </w:pPr>
    </w:p>
    <w:p w:rsidR="00E37240" w:rsidP="00E37240" w:rsidRDefault="00E37240">
      <w:pPr>
        <w:spacing w:before="120" w:line="360" w:lineRule="auto"/>
        <w:jc w:val="both"/>
        <w:rPr>
          <w:rtl/>
        </w:rPr>
      </w:pPr>
      <w:r>
        <w:rPr>
          <w:rFonts w:hint="cs"/>
          <w:rtl/>
        </w:rPr>
        <w:t>בפניי בקשת חייב להכריזו פושט רגל ולמתן הפטר לאלתר</w:t>
      </w:r>
      <w:r w:rsidR="006B4A1A">
        <w:rPr>
          <w:rFonts w:hint="cs"/>
          <w:rtl/>
        </w:rPr>
        <w:t xml:space="preserve"> לאחר שהחייב הפקיד את מלוא סכום חובותיו</w:t>
      </w:r>
      <w:r>
        <w:rPr>
          <w:rFonts w:hint="cs"/>
          <w:rtl/>
        </w:rPr>
        <w:t>.</w:t>
      </w:r>
    </w:p>
    <w:p w:rsidR="00E37240" w:rsidP="00E37240" w:rsidRDefault="00E37240">
      <w:pPr>
        <w:spacing w:before="120" w:line="360" w:lineRule="auto"/>
        <w:jc w:val="both"/>
      </w:pPr>
      <w:r>
        <w:rPr>
          <w:rFonts w:hint="cs"/>
          <w:rtl/>
        </w:rPr>
        <w:t>הכונ"ר והמנהל</w:t>
      </w:r>
      <w:r w:rsidR="006253B1">
        <w:rPr>
          <w:rFonts w:hint="cs"/>
          <w:rtl/>
        </w:rPr>
        <w:t>ת</w:t>
      </w:r>
      <w:r>
        <w:rPr>
          <w:rFonts w:hint="cs"/>
          <w:rtl/>
        </w:rPr>
        <w:t xml:space="preserve"> המיוחד</w:t>
      </w:r>
      <w:r w:rsidR="006253B1">
        <w:rPr>
          <w:rFonts w:hint="cs"/>
          <w:rtl/>
        </w:rPr>
        <w:t>ת</w:t>
      </w:r>
      <w:r>
        <w:rPr>
          <w:rFonts w:hint="cs"/>
          <w:rtl/>
        </w:rPr>
        <w:t xml:space="preserve"> אינם מתנגדים לבקשת החייב, כמפורט בדוח המסכם מטעמם. </w:t>
      </w:r>
    </w:p>
    <w:p w:rsidRPr="006253B1" w:rsidR="00E37240" w:rsidP="00E37240" w:rsidRDefault="00E37240">
      <w:pPr>
        <w:spacing w:before="120" w:line="360" w:lineRule="auto"/>
        <w:jc w:val="both"/>
        <w:rPr>
          <w:rtl/>
        </w:rPr>
      </w:pPr>
    </w:p>
    <w:p w:rsidR="00E37240" w:rsidP="00E37240" w:rsidRDefault="00E37240">
      <w:pPr>
        <w:spacing w:before="120" w:line="360" w:lineRule="auto"/>
        <w:jc w:val="both"/>
        <w:rPr>
          <w:rtl/>
        </w:rPr>
      </w:pPr>
      <w:r>
        <w:rPr>
          <w:rFonts w:hint="cs"/>
          <w:rtl/>
        </w:rPr>
        <w:t xml:space="preserve">ביום 16.2.16 ניתן צו לכינוס נכסי החייב על פי בקשתו, בגין חובות מוצהרים בסך של 315,000 ₪ </w:t>
      </w:r>
      <w:r>
        <w:rPr>
          <w:rFonts w:hint="cs"/>
          <w:rtl/>
        </w:rPr>
        <w:br/>
        <w:t>ל-3 נושים, כאשר מושת עליו תשלום חודשי בסך 800 ₪.</w:t>
      </w:r>
    </w:p>
    <w:p w:rsidR="00E37240" w:rsidP="00E37240" w:rsidRDefault="00E37240">
      <w:pPr>
        <w:spacing w:before="120" w:line="360" w:lineRule="auto"/>
        <w:jc w:val="both"/>
        <w:rPr>
          <w:rtl/>
        </w:rPr>
      </w:pPr>
      <w:r>
        <w:rPr>
          <w:rFonts w:hint="cs"/>
          <w:rtl/>
        </w:rPr>
        <w:t>עד מועד הגשתה של חוות הדעת ע"י הכונ"ר הוגשו נגד החייב 2 תביעות חוב בסכום כולל של 343,467 ₪, לא נתבעו חובות בדין קדימה.</w:t>
      </w:r>
    </w:p>
    <w:p w:rsidR="006B4A1A" w:rsidP="00E37240" w:rsidRDefault="00E37240">
      <w:pPr>
        <w:spacing w:before="120" w:line="360" w:lineRule="auto"/>
        <w:jc w:val="both"/>
        <w:rPr>
          <w:rtl/>
        </w:rPr>
      </w:pPr>
      <w:r>
        <w:rPr>
          <w:rFonts w:hint="cs"/>
          <w:rtl/>
        </w:rPr>
        <w:t xml:space="preserve">תביעות החוב נבדקו ואושר סך של 73,612 ₪. </w:t>
      </w:r>
    </w:p>
    <w:p w:rsidR="00E37240" w:rsidP="006B4A1A" w:rsidRDefault="00E37240">
      <w:pPr>
        <w:spacing w:before="120" w:line="360" w:lineRule="auto"/>
        <w:jc w:val="both"/>
        <w:rPr>
          <w:rtl/>
        </w:rPr>
      </w:pPr>
      <w:r>
        <w:rPr>
          <w:rFonts w:hint="cs"/>
          <w:rtl/>
        </w:rPr>
        <w:t xml:space="preserve">בהתאם להודעה ולבקשת הנושה " בנק הפועלים" </w:t>
      </w:r>
      <w:r w:rsidR="006B4A1A">
        <w:rPr>
          <w:rFonts w:hint="cs"/>
          <w:rtl/>
        </w:rPr>
        <w:t xml:space="preserve">- </w:t>
      </w:r>
      <w:r>
        <w:rPr>
          <w:rFonts w:hint="cs"/>
          <w:rtl/>
        </w:rPr>
        <w:t xml:space="preserve">החוב לטובתו נמחק ונגד החייב </w:t>
      </w:r>
      <w:r w:rsidR="006B4A1A">
        <w:rPr>
          <w:rFonts w:hint="cs"/>
          <w:rtl/>
        </w:rPr>
        <w:t xml:space="preserve">נותרה </w:t>
      </w:r>
      <w:r>
        <w:rPr>
          <w:rFonts w:hint="cs"/>
          <w:rtl/>
        </w:rPr>
        <w:t xml:space="preserve"> תביעת חוב אחת בסך של 6,292 ₪.</w:t>
      </w:r>
    </w:p>
    <w:p w:rsidR="00E37240" w:rsidP="00E37240" w:rsidRDefault="00E37240">
      <w:pPr>
        <w:spacing w:before="120" w:line="360" w:lineRule="auto"/>
        <w:jc w:val="both"/>
        <w:rPr>
          <w:rtl/>
        </w:rPr>
      </w:pPr>
    </w:p>
    <w:p w:rsidRPr="006B4A1A" w:rsidR="006B4A1A" w:rsidP="006B4A1A" w:rsidRDefault="006B4A1A">
      <w:pPr>
        <w:spacing w:before="120" w:line="360" w:lineRule="auto"/>
        <w:jc w:val="both"/>
        <w:rPr>
          <w:b/>
          <w:bCs/>
          <w:rtl/>
        </w:rPr>
      </w:pPr>
      <w:r>
        <w:rPr>
          <w:rFonts w:hint="cs"/>
          <w:rtl/>
        </w:rPr>
        <w:lastRenderedPageBreak/>
        <w:t xml:space="preserve">בנסיבות הענין ולאור מהות ההליך, כמו גם העובדה שהחייב פעל כנדרש בהליך, </w:t>
      </w:r>
      <w:r w:rsidR="00E37240">
        <w:rPr>
          <w:rFonts w:hint="cs"/>
          <w:rtl/>
        </w:rPr>
        <w:t xml:space="preserve">ובהעדר התנגדות מטעם נושי החייב, אני מקבלת את הבקשה </w:t>
      </w:r>
      <w:r w:rsidRPr="006B4A1A" w:rsidR="00E37240">
        <w:rPr>
          <w:rFonts w:hint="cs"/>
          <w:b/>
          <w:bCs/>
          <w:rtl/>
        </w:rPr>
        <w:t>ומכריזה כי החייב פושט רגל</w:t>
      </w:r>
      <w:r w:rsidRPr="006B4A1A">
        <w:rPr>
          <w:rFonts w:hint="cs"/>
          <w:b/>
          <w:bCs/>
          <w:rtl/>
        </w:rPr>
        <w:t>.</w:t>
      </w:r>
    </w:p>
    <w:p w:rsidRPr="006B4A1A" w:rsidR="00E37240" w:rsidP="006B4A1A" w:rsidRDefault="006B4A1A">
      <w:pPr>
        <w:spacing w:before="120" w:line="360" w:lineRule="auto"/>
        <w:jc w:val="both"/>
        <w:rPr>
          <w:b/>
          <w:bCs/>
          <w:rtl/>
        </w:rPr>
      </w:pPr>
      <w:r>
        <w:rPr>
          <w:rFonts w:hint="cs" w:asciiTheme="minorHAnsi" w:hAnsiTheme="minorHAnsi"/>
          <w:noProof w:val="0"/>
          <w:rtl/>
        </w:rPr>
        <w:t>לאור הודעת המנהלת המיוחדת ול</w:t>
      </w:r>
      <w:r w:rsidR="00E37240">
        <w:rPr>
          <w:rFonts w:hint="cs" w:asciiTheme="minorHAnsi" w:hAnsiTheme="minorHAnsi"/>
          <w:noProof w:val="0"/>
          <w:rtl/>
        </w:rPr>
        <w:t>אחר שהתמ</w:t>
      </w:r>
      <w:r w:rsidR="006253B1">
        <w:rPr>
          <w:rFonts w:hint="cs" w:asciiTheme="minorHAnsi" w:hAnsiTheme="minorHAnsi"/>
          <w:noProof w:val="0"/>
          <w:rtl/>
        </w:rPr>
        <w:t>לאו כל התנאים</w:t>
      </w:r>
      <w:r w:rsidR="00E37240">
        <w:rPr>
          <w:rFonts w:hint="cs"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>כש</w:t>
      </w:r>
      <w:r w:rsidR="00E37240">
        <w:rPr>
          <w:rFonts w:hint="cs" w:asciiTheme="minorHAnsi" w:hAnsiTheme="minorHAnsi"/>
          <w:noProof w:val="0"/>
          <w:rtl/>
        </w:rPr>
        <w:t>החייב הפקיד בקופת הכינוס את מלוא הכספים אשר יש בהם לכיסוי 100% תביעת החוב המאושרת וכיסוי מלוא הוצאות ההליך</w:t>
      </w:r>
      <w:r w:rsidRPr="006B4A1A">
        <w:rPr>
          <w:rFonts w:hint="cs" w:asciiTheme="minorHAnsi" w:hAnsiTheme="minorHAnsi"/>
          <w:b/>
          <w:bCs/>
          <w:noProof w:val="0"/>
          <w:rtl/>
        </w:rPr>
        <w:t>,</w:t>
      </w:r>
      <w:r w:rsidRPr="006B4A1A" w:rsidR="00E37240">
        <w:rPr>
          <w:rFonts w:hint="cs" w:asciiTheme="minorHAnsi" w:hAnsiTheme="minorHAnsi"/>
          <w:b/>
          <w:bCs/>
          <w:noProof w:val="0"/>
          <w:rtl/>
        </w:rPr>
        <w:t xml:space="preserve"> ניתן בזה לחייב הפטר מכל החובות ברי התביעה, והפטר מכל חוב שעילתו לפני מתן צו הכינוס, למעט חובות המנויים בסעיף 69 לפקודה. </w:t>
      </w:r>
    </w:p>
    <w:p w:rsidR="00E37240" w:rsidP="00E37240" w:rsidRDefault="00E37240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 xml:space="preserve">כל ההערות והעיקולים שהוטלו על זכויות ונכסי החייב בגין חובות ברי תביעה שנוצרו לפני צו הכינוס – בטלים. </w:t>
      </w:r>
    </w:p>
    <w:p w:rsidR="00E37240" w:rsidP="00E37240" w:rsidRDefault="00E37240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 xml:space="preserve">כל המגבלות שהוטלו במסגרת ההליך יוסרו, לרבות צו עיכוב יציאה מהארץ. </w:t>
      </w:r>
    </w:p>
    <w:p w:rsidR="00E37240" w:rsidP="00E37240" w:rsidRDefault="00E37240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 xml:space="preserve">כל נכס, כספים או זכויות, השייכים לחייב מכל מקור שהוא, לרבות כספים בחברות ביטוח, זכות להחזר מס, ירושה וכו', אשר לא דווחו במהלך הליך הפש"ר, </w:t>
      </w:r>
      <w:r>
        <w:rPr>
          <w:rFonts w:hint="cs" w:asciiTheme="minorHAnsi" w:hAnsiTheme="minorHAnsi"/>
          <w:b/>
          <w:bCs/>
          <w:noProof w:val="0"/>
          <w:rtl/>
        </w:rPr>
        <w:t>יועברו במלואם לקופת הכינוס מיד עם גילויים</w:t>
      </w:r>
      <w:r>
        <w:rPr>
          <w:rFonts w:hint="cs" w:asciiTheme="minorHAnsi" w:hAnsiTheme="minorHAnsi"/>
          <w:noProof w:val="0"/>
          <w:rtl/>
        </w:rPr>
        <w:t xml:space="preserve">, בין אם התגלו לאחר אישור תכנית פרעון, או לאחר השלמתה, או אף לאחר קבלת ההפטר. </w:t>
      </w:r>
    </w:p>
    <w:p w:rsidR="00E37240" w:rsidP="00E37240" w:rsidRDefault="00E37240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>הכספים בקופה יחולקו בהתאם ל</w:t>
      </w:r>
      <w:r w:rsidR="006B4A1A">
        <w:rPr>
          <w:rFonts w:hint="cs" w:asciiTheme="minorHAnsi" w:hAnsiTheme="minorHAnsi"/>
          <w:noProof w:val="0"/>
          <w:rtl/>
        </w:rPr>
        <w:t xml:space="preserve">בקשת המנהלת המיוחדת וע"פ </w:t>
      </w:r>
      <w:bookmarkStart w:name="_GoBack" w:id="0"/>
      <w:bookmarkEnd w:id="0"/>
      <w:r>
        <w:rPr>
          <w:rFonts w:hint="cs" w:asciiTheme="minorHAnsi" w:hAnsiTheme="minorHAnsi"/>
          <w:noProof w:val="0"/>
          <w:rtl/>
        </w:rPr>
        <w:t xml:space="preserve">הוראות הכונ"ר. </w:t>
      </w:r>
    </w:p>
    <w:p w:rsidR="00E37240" w:rsidP="00E37240" w:rsidRDefault="00E3724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D30F51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1314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0e564098980487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30F51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30F51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30F5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30F5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9691-02-16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ג'בארין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910A8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3B1"/>
    <w:rsid w:val="00625C89"/>
    <w:rsid w:val="00633C4F"/>
    <w:rsid w:val="006570C7"/>
    <w:rsid w:val="00671BD5"/>
    <w:rsid w:val="006805C1"/>
    <w:rsid w:val="006816EC"/>
    <w:rsid w:val="00694556"/>
    <w:rsid w:val="006B4A1A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0F51"/>
    <w:rsid w:val="00D319B3"/>
    <w:rsid w:val="00D36A71"/>
    <w:rsid w:val="00D53924"/>
    <w:rsid w:val="00D60849"/>
    <w:rsid w:val="00D96D8C"/>
    <w:rsid w:val="00DA755B"/>
    <w:rsid w:val="00DD337E"/>
    <w:rsid w:val="00E00B6F"/>
    <w:rsid w:val="00E37240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09C473F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a0e564098980487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8F47E4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גלית ציגלר</cp:lastModifiedBy>
  <cp:revision>41</cp:revision>
  <dcterms:created xsi:type="dcterms:W3CDTF">2012-08-05T21:29:00Z</dcterms:created>
  <dcterms:modified xsi:type="dcterms:W3CDTF">2018-04-12T12:53:00Z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