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C55FAD" w:rsidTr="00C55FAD">
        <w:trPr>
          <w:jc w:val="center"/>
        </w:trPr>
        <w:tc>
          <w:tcPr>
            <w:tcW w:w="743" w:type="dxa"/>
            <w:hideMark/>
          </w:tcPr>
          <w:p w:rsidRPr="00F46514" w:rsidR="00C55FAD" w:rsidRDefault="00507B87">
            <w:pPr>
              <w:jc w:val="both"/>
              <w:rPr>
                <w:rFonts w:ascii="Arial" w:hAnsi="Arial"/>
                <w:b/>
                <w:bCs/>
              </w:rPr>
            </w:pPr>
            <w:r w:rsidRPr="00F46514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Pr="00F46514" w:rsidR="00C55FAD" w:rsidRDefault="00507B87">
            <w:pPr>
              <w:rPr>
                <w:rFonts w:ascii="Arial" w:hAnsi="Arial"/>
                <w:b/>
                <w:bCs/>
                <w:rtl/>
              </w:rPr>
            </w:pPr>
            <w:r w:rsidRPr="00F46514"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F46514"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F46514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F46514">
                  <w:rPr>
                    <w:rFonts w:hint="cs"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</w:tc>
      </w:tr>
      <w:tr w:rsidR="00C55FAD" w:rsidTr="00C55FAD">
        <w:trPr>
          <w:jc w:val="center"/>
        </w:trPr>
        <w:tc>
          <w:tcPr>
            <w:tcW w:w="3249" w:type="dxa"/>
            <w:gridSpan w:val="2"/>
          </w:tcPr>
          <w:p w:rsidRPr="00F46514" w:rsidR="00C55FAD" w:rsidRDefault="004707F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F46514" w:rsidR="00C55FAD" w:rsidRDefault="00507B87">
                <w:pPr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 w:rsidRPr="00F46514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Pr="00F46514" w:rsidR="00C55FAD" w:rsidRDefault="004707F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F46514" w:rsidR="00C55FAD" w:rsidRDefault="004707F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F46514" w:rsidR="00507B8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הבנק הבינלאומי הראשון לישראל בע"מ</w:t>
                </w:r>
                <w:r w:rsidRPr="00F46514" w:rsidR="00507B8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F46514" w:rsidR="00507B87">
                  <w:rPr>
                    <w:rFonts w:hint="cs"/>
                    <w:rtl/>
                  </w:rPr>
                  <w:t xml:space="preserve">ע"י ב"כ עוה"ד דן סביון ואח' </w:t>
                </w:r>
              </w:sdtContent>
            </w:sdt>
          </w:p>
        </w:tc>
      </w:tr>
      <w:tr w:rsidR="00C55FAD" w:rsidTr="00C55FAD">
        <w:trPr>
          <w:jc w:val="center"/>
        </w:trPr>
        <w:tc>
          <w:tcPr>
            <w:tcW w:w="8820" w:type="dxa"/>
            <w:gridSpan w:val="3"/>
          </w:tcPr>
          <w:p w:rsidRPr="00F46514" w:rsidR="00C55FAD" w:rsidRDefault="004707F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F46514" w:rsidR="00C55FAD" w:rsidRDefault="00507B87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46514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="00C55FAD" w:rsidTr="00C55FAD">
        <w:trPr>
          <w:jc w:val="center"/>
        </w:trPr>
        <w:tc>
          <w:tcPr>
            <w:tcW w:w="3249" w:type="dxa"/>
            <w:gridSpan w:val="2"/>
          </w:tcPr>
          <w:p w:rsidRPr="00F46514" w:rsidR="00C55FAD" w:rsidRDefault="004707F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F46514" w:rsidR="00C55FAD" w:rsidRDefault="004707F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F46514" w:rsidR="00507B8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Pr="00F46514" w:rsidR="00C55FAD" w:rsidRDefault="004707F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F46514" w:rsidR="00C55FAD" w:rsidRDefault="004707F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F46514" w:rsidR="00507B8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סטניסלב רויטפל ת.ז 317643120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07B87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ניתן בזה תוקף של פסק דין להסכם פשרה זה המסומן </w:t>
      </w:r>
      <w:r w:rsidRPr="00507B87">
        <w:rPr>
          <w:rFonts w:hint="cs" w:ascii="Arial" w:hAnsi="Arial"/>
          <w:b/>
          <w:bCs/>
          <w:noProof w:val="0"/>
          <w:rtl/>
        </w:rPr>
        <w:t>במ/1</w:t>
      </w:r>
      <w:r>
        <w:rPr>
          <w:rFonts w:hint="cs" w:ascii="Arial" w:hAnsi="Arial"/>
          <w:b/>
          <w:bCs/>
          <w:noProof w:val="0"/>
          <w:rtl/>
        </w:rPr>
        <w:t xml:space="preserve">. </w:t>
      </w:r>
    </w:p>
    <w:p w:rsidR="00507B87" w:rsidRDefault="00507B87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507B87" w:rsidP="00CE0F3A" w:rsidRDefault="00507B8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בהתאמה</w:t>
      </w:r>
      <w:r w:rsidR="00CE0F3A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- המזכירות תעביר לתובע, באמצעות בא כוחו</w:t>
      </w:r>
      <w:r w:rsidR="00CE0F3A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את הפיקדון מיום 04.07.1</w:t>
      </w:r>
      <w:r w:rsidR="00CE0F3A">
        <w:rPr>
          <w:rFonts w:hint="cs" w:ascii="Arial" w:hAnsi="Arial"/>
          <w:noProof w:val="0"/>
          <w:rtl/>
        </w:rPr>
        <w:t>6</w:t>
      </w:r>
      <w:r>
        <w:rPr>
          <w:rFonts w:hint="cs" w:ascii="Arial" w:hAnsi="Arial"/>
          <w:noProof w:val="0"/>
          <w:rtl/>
        </w:rPr>
        <w:t xml:space="preserve"> (6,000 ₪) וזאת על חשבון החוב הפסוק.</w:t>
      </w:r>
    </w:p>
    <w:p w:rsidR="00507B87" w:rsidRDefault="00507B8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07B87" w:rsidR="00507B87" w:rsidRDefault="00507B8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עוד אני מורה על השבת המחצית הראשונה של האגרה לתובע</w:t>
      </w:r>
      <w:r w:rsidR="00CE0F3A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באמצעות בא כוחו</w:t>
      </w:r>
      <w:r w:rsidR="00CE0F3A">
        <w:rPr>
          <w:rFonts w:hint="cs" w:ascii="Arial" w:hAnsi="Arial"/>
          <w:noProof w:val="0"/>
          <w:rtl/>
        </w:rPr>
        <w:t>,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 בהתאם לתקנה 6(ב)(21) לתקנות בתי המשפט (אגרות) התשס''ז- 2007.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4707F2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271d899a0aa4e5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707F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707F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707F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507B87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507B87">
      <w:trPr>
        <w:trHeight w:val="337"/>
        <w:jc w:val="center"/>
      </w:trPr>
      <w:tc>
        <w:tcPr>
          <w:tcW w:w="8505" w:type="dxa"/>
        </w:tcPr>
        <w:p w:rsidR="00694556" w:rsidRDefault="004707F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53697-11-15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הבנק הבינלאומי הראשון לישראל בעמ נ' רויטפל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07F2"/>
    <w:rsid w:val="0047645A"/>
    <w:rsid w:val="004D49A3"/>
    <w:rsid w:val="004E6E3C"/>
    <w:rsid w:val="00507B87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771C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E0F3A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E411E2F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d271d899a0aa4e5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381D7F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39</cp:revision>
  <dcterms:created xsi:type="dcterms:W3CDTF">2012-08-05T21:29:00Z</dcterms:created>
  <dcterms:modified xsi:type="dcterms:W3CDTF">2018-04-12T11:28:00Z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