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שרית קריספין</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מאשימה</w:t>
                </w:r>
              </w:sdtContent>
            </w:sdt>
            <w:r>
              <w:rPr>
                <w:rFonts w:hint="cs" w:ascii="Arial" w:hAnsi="Arial"/>
                <w:b/>
                <w:bCs/>
                <w:noProof w:val="0"/>
                <w:sz w:val="26"/>
                <w:szCs w:val="26"/>
                <w:rtl/>
              </w:rPr>
              <w:t>:</w:t>
            </w:r>
          </w:p>
        </w:tc>
        <w:tc>
          <w:tcPr>
            <w:tcW w:w="5362" w:type="dxa"/>
            <w:gridSpan w:val="2"/>
          </w:tcPr>
          <w:p w:rsidRPr="003A2359" w:rsidR="00B02C76" w:rsidP="00B02C76" w:rsidRDefault="00EA6CBC">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מדינת ישראל</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1C61D7"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נאשם</w:t>
                </w:r>
              </w:sdtContent>
            </w:sdt>
            <w:r>
              <w:rPr>
                <w:rFonts w:hint="cs" w:ascii="Arial" w:hAnsi="Arial"/>
                <w:b/>
                <w:bCs/>
                <w:noProof w:val="0"/>
                <w:sz w:val="26"/>
                <w:szCs w:val="26"/>
                <w:rtl/>
              </w:rPr>
              <w:t>:</w:t>
            </w:r>
          </w:p>
        </w:tc>
        <w:tc>
          <w:tcPr>
            <w:tcW w:w="5362" w:type="dxa"/>
            <w:gridSpan w:val="2"/>
          </w:tcPr>
          <w:p w:rsidRPr="003A2359" w:rsidR="00B02C76" w:rsidP="001C61D7" w:rsidRDefault="00EA6CBC">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קריגר מיכאל-שרלוק</w:t>
                </w:r>
              </w:sdtContent>
            </w:sdt>
          </w:p>
        </w:tc>
      </w:tr>
      <w:tr w:rsidRPr="00FA4EAF" w:rsidR="00B02C76" w:rsidTr="008924AB">
        <w:tc>
          <w:tcPr>
            <w:tcW w:w="8505" w:type="dxa"/>
            <w:gridSpan w:val="3"/>
          </w:tcPr>
          <w:p w:rsidR="00BB27CA" w:rsidRDefault="00BB27CA">
            <w:pPr>
              <w:rPr>
                <w:rFonts w:ascii="Arial" w:hAnsi="Arial"/>
                <w:b/>
                <w:bCs/>
                <w:noProof w:val="0"/>
                <w:sz w:val="26"/>
                <w:szCs w:val="26"/>
                <w:rtl/>
              </w:rPr>
            </w:pPr>
          </w:p>
        </w:tc>
      </w:tr>
    </w:tbl>
    <w:p w:rsidRPr="004C7358" w:rsidR="00E31C2B" w:rsidP="001C61D7" w:rsidRDefault="0094424E">
      <w:pPr>
        <w:rPr>
          <w:sz w:val="12"/>
          <w:szCs w:val="12"/>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2206C3" w:rsidP="002206C3" w:rsidRDefault="002206C3">
      <w:pPr>
        <w:suppressLineNumbers/>
        <w:rPr>
          <w:rFonts w:ascii="Arial" w:hAnsi="Arial"/>
          <w:lang w:eastAsia="he-IL"/>
        </w:rPr>
      </w:pPr>
      <w:bookmarkStart w:name="NGCSBookmark" w:id="0"/>
      <w:bookmarkEnd w:id="0"/>
      <w:r>
        <w:rPr>
          <w:rFonts w:hint="cs"/>
          <w:rtl/>
        </w:rPr>
        <w:t> </w:t>
      </w:r>
    </w:p>
    <w:p w:rsidR="002206C3" w:rsidP="00183B97" w:rsidRDefault="002206C3">
      <w:pPr>
        <w:spacing w:line="360" w:lineRule="auto"/>
        <w:jc w:val="both"/>
        <w:rPr>
          <w:rFonts w:ascii="Arial" w:hAnsi="Arial"/>
          <w:rtl/>
        </w:rPr>
      </w:pPr>
      <w:r>
        <w:rPr>
          <w:rFonts w:hint="cs" w:ascii="Arial" w:hAnsi="Arial"/>
          <w:rtl/>
        </w:rPr>
        <w:t xml:space="preserve">בפני בקשת הנאשם, </w:t>
      </w:r>
      <w:r w:rsidR="00183B97">
        <w:rPr>
          <w:rFonts w:hint="cs" w:ascii="Arial" w:hAnsi="Arial"/>
          <w:rtl/>
        </w:rPr>
        <w:t>לחיוב</w:t>
      </w:r>
      <w:r>
        <w:rPr>
          <w:rFonts w:hint="cs" w:ascii="Arial" w:hAnsi="Arial"/>
          <w:rtl/>
        </w:rPr>
        <w:t xml:space="preserve"> המשיבה</w:t>
      </w:r>
      <w:r w:rsidR="00183B97">
        <w:rPr>
          <w:rFonts w:hint="cs" w:ascii="Arial" w:hAnsi="Arial"/>
          <w:rtl/>
        </w:rPr>
        <w:t xml:space="preserve"> בהוצאות</w:t>
      </w:r>
      <w:r>
        <w:rPr>
          <w:rFonts w:hint="cs" w:ascii="Arial" w:hAnsi="Arial"/>
          <w:rtl/>
        </w:rPr>
        <w:t>, מכוח הסמכות הקבועה בסעיף 80 לחוק העונשין, תשל"ז – 1977 (להלן – חוק העונשין).</w:t>
      </w:r>
    </w:p>
    <w:p w:rsidR="00183B97" w:rsidP="00183B97" w:rsidRDefault="00183B97">
      <w:pPr>
        <w:spacing w:line="360" w:lineRule="auto"/>
        <w:jc w:val="both"/>
        <w:rPr>
          <w:b/>
          <w:bCs/>
          <w:noProof w:val="0"/>
          <w:rtl/>
        </w:rPr>
      </w:pPr>
      <w:r>
        <w:rPr>
          <w:rFonts w:hint="cs" w:ascii="Arial" w:hAnsi="Arial"/>
          <w:rtl/>
        </w:rPr>
        <w:t xml:space="preserve">ביום 15.1.18, התייצב המבקש, לראשונה, בבית המשפט, כתב האישום, שייחס לו עבירה של נהיגה במהירות מופרזת </w:t>
      </w:r>
      <w:r>
        <w:rPr>
          <w:rFonts w:ascii="Arial" w:hAnsi="Arial"/>
          <w:rtl/>
        </w:rPr>
        <w:t>–</w:t>
      </w:r>
      <w:r>
        <w:rPr>
          <w:rFonts w:hint="cs" w:ascii="Arial" w:hAnsi="Arial"/>
          <w:rtl/>
        </w:rPr>
        <w:t xml:space="preserve"> דו"ח מצלמה, מיום 17.5.17, הוקרא בפניו והמבקש טען : </w:t>
      </w:r>
      <w:r w:rsidR="002F748E">
        <w:rPr>
          <w:rFonts w:hint="cs"/>
          <w:b/>
          <w:bCs/>
          <w:rtl/>
        </w:rPr>
        <w:t xml:space="preserve">" </w:t>
      </w:r>
      <w:r w:rsidRPr="002F748E">
        <w:rPr>
          <w:rFonts w:hint="cs"/>
          <w:b/>
          <w:bCs/>
          <w:rtl/>
        </w:rPr>
        <w:t>לפני חודש וחצי שלחתי מכתב למרכז לפניות נהגים, גם ניסיתי לשלוח אימייל. השעה והיומן שלי לא מתאים לי. ראיתי את התמונה, היא לא ברורה. לא ברור השעה, כי בשעות האלה אני ישן. אין אנשים אחרים שנוהגים ברכב שלי</w:t>
      </w:r>
      <w:r w:rsidR="002F748E">
        <w:rPr>
          <w:rFonts w:hint="cs"/>
          <w:b/>
          <w:bCs/>
          <w:rtl/>
        </w:rPr>
        <w:t>"</w:t>
      </w:r>
      <w:r w:rsidRPr="002F748E">
        <w:rPr>
          <w:rFonts w:hint="cs"/>
          <w:b/>
          <w:bCs/>
          <w:rtl/>
        </w:rPr>
        <w:t xml:space="preserve">. </w:t>
      </w:r>
    </w:p>
    <w:p w:rsidR="002F748E" w:rsidP="002F748E" w:rsidRDefault="002F748E">
      <w:pPr>
        <w:spacing w:line="360" w:lineRule="auto"/>
        <w:jc w:val="both"/>
        <w:rPr>
          <w:noProof w:val="0"/>
          <w:rtl/>
        </w:rPr>
      </w:pPr>
      <w:r w:rsidRPr="002F748E">
        <w:rPr>
          <w:rFonts w:hint="cs"/>
          <w:noProof w:val="0"/>
          <w:rtl/>
        </w:rPr>
        <w:t xml:space="preserve">התיק נקבע לשמיעת ראיות ליום </w:t>
      </w:r>
      <w:r>
        <w:rPr>
          <w:rFonts w:hint="cs"/>
          <w:noProof w:val="0"/>
          <w:rtl/>
        </w:rPr>
        <w:t xml:space="preserve">20.3.18 ובמועד זה, בחרה המשיבה למחוק את כתב האישום, אף כי המבקש מיאן לחזור בו מכפירתו ובנסיבות אלה, זוכה המבקש מהמיוחס לו. </w:t>
      </w:r>
    </w:p>
    <w:p w:rsidRPr="002F748E" w:rsidR="002F748E" w:rsidP="002F748E" w:rsidRDefault="002F748E">
      <w:pPr>
        <w:spacing w:line="360" w:lineRule="auto"/>
        <w:jc w:val="both"/>
        <w:rPr>
          <w:noProof w:val="0"/>
        </w:rPr>
      </w:pPr>
      <w:r>
        <w:rPr>
          <w:rFonts w:hint="cs"/>
          <w:noProof w:val="0"/>
          <w:rtl/>
        </w:rPr>
        <w:t>ב"כ המשיבה נימקה את מחיקת כתב האישום בכך, שנפלה טעות בזיהוי מספר הרישוי של הרכב המצולם.</w:t>
      </w:r>
    </w:p>
    <w:p w:rsidR="002206C3" w:rsidP="002F748E" w:rsidRDefault="002F748E">
      <w:pPr>
        <w:spacing w:line="360" w:lineRule="auto"/>
        <w:jc w:val="both"/>
        <w:rPr>
          <w:rFonts w:ascii="Arial" w:hAnsi="Arial"/>
          <w:rtl/>
        </w:rPr>
      </w:pPr>
      <w:r>
        <w:rPr>
          <w:rFonts w:hint="cs" w:ascii="Arial" w:hAnsi="Arial"/>
          <w:rtl/>
        </w:rPr>
        <w:t xml:space="preserve">באותו מעמד, טען המבקש, </w:t>
      </w:r>
      <w:r w:rsidR="00183B97">
        <w:rPr>
          <w:rFonts w:hint="cs" w:ascii="Arial" w:hAnsi="Arial"/>
          <w:rtl/>
        </w:rPr>
        <w:t>כי נדרש להטריח את עצמו ולהקדיש זמן להשגת ראיות התומכות בטענתו,</w:t>
      </w:r>
      <w:r>
        <w:rPr>
          <w:rFonts w:hint="cs" w:ascii="Arial" w:hAnsi="Arial"/>
          <w:rtl/>
        </w:rPr>
        <w:t xml:space="preserve"> כגון, חוות דעת מז"פ לענין סוג הרכב המצולם וכן, הגיש תלונה במשטרה</w:t>
      </w:r>
      <w:r w:rsidR="00183B97">
        <w:rPr>
          <w:rFonts w:hint="cs" w:ascii="Arial" w:hAnsi="Arial"/>
          <w:rtl/>
        </w:rPr>
        <w:t xml:space="preserve"> </w:t>
      </w:r>
      <w:r>
        <w:rPr>
          <w:rFonts w:hint="cs" w:ascii="Arial" w:hAnsi="Arial"/>
          <w:rtl/>
        </w:rPr>
        <w:t>ולכן, על המשיבה לפצותו.</w:t>
      </w:r>
      <w:r w:rsidR="002206C3">
        <w:rPr>
          <w:rFonts w:hint="cs" w:ascii="Arial" w:hAnsi="Arial"/>
          <w:rtl/>
        </w:rPr>
        <w:t xml:space="preserve"> </w:t>
      </w:r>
    </w:p>
    <w:p w:rsidR="00183B97" w:rsidP="00183B97" w:rsidRDefault="00183B97">
      <w:pPr>
        <w:spacing w:line="360" w:lineRule="auto"/>
        <w:jc w:val="both"/>
        <w:rPr>
          <w:rFonts w:ascii="Arial" w:hAnsi="Arial"/>
          <w:rtl/>
        </w:rPr>
      </w:pPr>
    </w:p>
    <w:p w:rsidR="002206C3" w:rsidP="00217685" w:rsidRDefault="002206C3">
      <w:pPr>
        <w:spacing w:line="360" w:lineRule="auto"/>
        <w:jc w:val="both"/>
        <w:rPr>
          <w:rFonts w:ascii="Arial" w:hAnsi="Arial"/>
          <w:rtl/>
        </w:rPr>
      </w:pPr>
      <w:r>
        <w:rPr>
          <w:rFonts w:hint="cs" w:ascii="Arial" w:hAnsi="Arial"/>
          <w:rtl/>
        </w:rPr>
        <w:t>לטענת המשיבה, אין מקום להטיל עליה הוצאות, שכן</w:t>
      </w:r>
      <w:r w:rsidR="00D1757F">
        <w:rPr>
          <w:rFonts w:hint="cs" w:ascii="Arial" w:hAnsi="Arial"/>
          <w:rtl/>
        </w:rPr>
        <w:t>,</w:t>
      </w:r>
      <w:r w:rsidR="00217685">
        <w:rPr>
          <w:rFonts w:hint="cs" w:ascii="Arial" w:hAnsi="Arial"/>
          <w:rtl/>
        </w:rPr>
        <w:t xml:space="preserve"> מדובר בטעות בתום לב ומרגע שנתבררה הטעות,</w:t>
      </w:r>
      <w:r w:rsidR="00D1757F">
        <w:rPr>
          <w:rFonts w:hint="cs" w:ascii="Arial" w:hAnsi="Arial"/>
          <w:rtl/>
        </w:rPr>
        <w:t xml:space="preserve"> </w:t>
      </w:r>
      <w:bookmarkStart w:name="_GoBack" w:id="1"/>
      <w:bookmarkEnd w:id="1"/>
      <w:r w:rsidR="00217685">
        <w:rPr>
          <w:rFonts w:hint="cs" w:ascii="Arial" w:hAnsi="Arial"/>
          <w:rtl/>
        </w:rPr>
        <w:t xml:space="preserve">פעלה לביטול כתב האישום, עוד טרם דיון ההוכחות, אך המבקש, לא שיתף פעולה והתייצב במועד שנקבע, ללא צורך ממשי.  </w:t>
      </w:r>
    </w:p>
    <w:p w:rsidR="002206C3" w:rsidP="00217685" w:rsidRDefault="002206C3">
      <w:pPr>
        <w:spacing w:line="360" w:lineRule="auto"/>
        <w:jc w:val="both"/>
        <w:rPr>
          <w:rFonts w:ascii="Arial" w:hAnsi="Arial"/>
          <w:rtl/>
        </w:rPr>
      </w:pPr>
      <w:r>
        <w:rPr>
          <w:rFonts w:hint="cs" w:ascii="Arial" w:hAnsi="Arial"/>
          <w:rtl/>
        </w:rPr>
        <w:t>לשיטת המשיבה, בנסיבות אלה, אין המבקש זכאי להוצאות על פי סעיף 80 לחוק העונשין</w:t>
      </w:r>
      <w:r w:rsidR="00217685">
        <w:rPr>
          <w:rFonts w:hint="cs" w:ascii="Arial" w:hAnsi="Arial"/>
          <w:rtl/>
        </w:rPr>
        <w:t xml:space="preserve"> ולא מתקיימות נסיבות אחרות, המצדיקות תשלום הצואות, כאמור ולכן, </w:t>
      </w:r>
      <w:r>
        <w:rPr>
          <w:rFonts w:hint="cs" w:ascii="Arial" w:hAnsi="Arial"/>
          <w:rtl/>
        </w:rPr>
        <w:t>יש לדחות את הבקשה.</w:t>
      </w:r>
    </w:p>
    <w:p w:rsidR="002F748E" w:rsidP="002206C3" w:rsidRDefault="002F748E">
      <w:pPr>
        <w:spacing w:line="360" w:lineRule="auto"/>
        <w:jc w:val="both"/>
        <w:rPr>
          <w:rFonts w:ascii="Arial" w:hAnsi="Arial"/>
          <w:rtl/>
        </w:rPr>
      </w:pPr>
    </w:p>
    <w:p w:rsidR="002F748E" w:rsidP="002206C3" w:rsidRDefault="002F748E">
      <w:pPr>
        <w:spacing w:line="360" w:lineRule="auto"/>
        <w:jc w:val="both"/>
        <w:rPr>
          <w:rFonts w:ascii="Arial" w:hAnsi="Arial"/>
          <w:rtl/>
        </w:rPr>
      </w:pPr>
    </w:p>
    <w:p w:rsidR="002F748E" w:rsidP="002206C3" w:rsidRDefault="002F748E">
      <w:pPr>
        <w:spacing w:line="360" w:lineRule="auto"/>
        <w:jc w:val="both"/>
        <w:rPr>
          <w:rFonts w:ascii="Arial" w:hAnsi="Arial"/>
          <w:rtl/>
        </w:rPr>
      </w:pPr>
    </w:p>
    <w:p w:rsidR="002F748E" w:rsidP="002206C3" w:rsidRDefault="002F748E">
      <w:pPr>
        <w:spacing w:line="360" w:lineRule="auto"/>
        <w:jc w:val="both"/>
        <w:rPr>
          <w:rFonts w:ascii="Arial" w:hAnsi="Arial"/>
          <w:rtl/>
        </w:rPr>
      </w:pPr>
    </w:p>
    <w:p w:rsidR="002F748E" w:rsidP="002206C3" w:rsidRDefault="002F748E">
      <w:pPr>
        <w:spacing w:line="360" w:lineRule="auto"/>
        <w:jc w:val="both"/>
        <w:rPr>
          <w:rFonts w:ascii="Arial" w:hAnsi="Arial"/>
          <w:rtl/>
        </w:rPr>
      </w:pPr>
    </w:p>
    <w:p w:rsidR="002F748E" w:rsidP="002206C3" w:rsidRDefault="002F748E">
      <w:pPr>
        <w:spacing w:line="360" w:lineRule="auto"/>
        <w:jc w:val="both"/>
        <w:rPr>
          <w:rFonts w:ascii="Arial" w:hAnsi="Arial"/>
          <w:rtl/>
        </w:rPr>
      </w:pPr>
    </w:p>
    <w:p w:rsidR="002206C3" w:rsidP="002206C3" w:rsidRDefault="002206C3">
      <w:pPr>
        <w:spacing w:line="360" w:lineRule="auto"/>
        <w:jc w:val="both"/>
        <w:rPr>
          <w:rFonts w:ascii="Arial" w:hAnsi="Arial"/>
          <w:rtl/>
        </w:rPr>
      </w:pPr>
      <w:r>
        <w:rPr>
          <w:rFonts w:hint="cs" w:ascii="Arial" w:hAnsi="Arial"/>
          <w:rtl/>
        </w:rPr>
        <w:t> </w:t>
      </w:r>
    </w:p>
    <w:p w:rsidR="002206C3" w:rsidP="002206C3" w:rsidRDefault="002206C3">
      <w:pPr>
        <w:spacing w:line="360" w:lineRule="auto"/>
        <w:jc w:val="both"/>
        <w:rPr>
          <w:rFonts w:ascii="Arial" w:hAnsi="Arial"/>
          <w:rtl/>
        </w:rPr>
      </w:pPr>
      <w:r>
        <w:rPr>
          <w:rFonts w:hint="cs" w:ascii="Arial" w:hAnsi="Arial"/>
          <w:b/>
          <w:bCs/>
          <w:u w:val="single"/>
          <w:rtl/>
        </w:rPr>
        <w:t>דיון והכרעה</w:t>
      </w:r>
    </w:p>
    <w:p w:rsidR="002206C3" w:rsidP="002206C3" w:rsidRDefault="002206C3">
      <w:pPr>
        <w:spacing w:line="360" w:lineRule="auto"/>
        <w:jc w:val="both"/>
        <w:rPr>
          <w:rFonts w:ascii="Arial" w:hAnsi="Arial"/>
          <w:rtl/>
        </w:rPr>
      </w:pPr>
      <w:r>
        <w:rPr>
          <w:rFonts w:hint="cs" w:ascii="Arial" w:hAnsi="Arial"/>
          <w:rtl/>
        </w:rPr>
        <w:t> </w:t>
      </w:r>
    </w:p>
    <w:p w:rsidR="002206C3" w:rsidP="002206C3" w:rsidRDefault="002206C3">
      <w:pPr>
        <w:spacing w:line="360" w:lineRule="auto"/>
        <w:jc w:val="both"/>
        <w:rPr>
          <w:rFonts w:ascii="Arial" w:hAnsi="Arial"/>
          <w:rtl/>
        </w:rPr>
      </w:pPr>
      <w:r>
        <w:rPr>
          <w:rFonts w:hint="cs" w:ascii="Arial" w:hAnsi="Arial"/>
          <w:rtl/>
        </w:rPr>
        <w:t>ב</w:t>
      </w:r>
      <w:r>
        <w:rPr>
          <w:rFonts w:hint="cs" w:ascii="Arial" w:hAnsi="Arial"/>
          <w:b/>
          <w:bCs/>
          <w:u w:val="single"/>
          <w:rtl/>
        </w:rPr>
        <w:t>רע"פ 4121/09, שגיא נ' מדינת ישראל</w:t>
      </w:r>
      <w:r>
        <w:rPr>
          <w:rFonts w:hint="cs" w:ascii="Arial" w:hAnsi="Arial"/>
          <w:rtl/>
        </w:rPr>
        <w:t>, סקר בית המשפט העליון את ההלכה הנוהגת באשר להטלת הוצאות הגנת נאשם על המדינה, בהקשר להליך בבית המשפט לתעבורה וקבע כך:</w:t>
      </w:r>
    </w:p>
    <w:p w:rsidR="002206C3" w:rsidP="002206C3" w:rsidRDefault="002206C3">
      <w:pPr>
        <w:spacing w:line="360" w:lineRule="auto"/>
        <w:jc w:val="both"/>
        <w:rPr>
          <w:rFonts w:ascii="Arial" w:hAnsi="Arial"/>
          <w:rtl/>
        </w:rPr>
      </w:pPr>
      <w:r>
        <w:rPr>
          <w:rFonts w:hint="cs" w:ascii="Arial" w:hAnsi="Arial"/>
          <w:rtl/>
        </w:rPr>
        <w:t> </w:t>
      </w:r>
    </w:p>
    <w:p w:rsidR="002206C3" w:rsidP="002206C3" w:rsidRDefault="002206C3">
      <w:pPr>
        <w:spacing w:line="360" w:lineRule="auto"/>
        <w:jc w:val="both"/>
        <w:rPr>
          <w:rFonts w:ascii="Arial" w:hAnsi="Arial"/>
          <w:rtl/>
        </w:rPr>
      </w:pPr>
      <w:r>
        <w:rPr>
          <w:rFonts w:hint="cs"/>
          <w:b/>
          <w:bCs/>
          <w:rtl/>
        </w:rPr>
        <w:t>"מנוסח סעיף 80 ל</w:t>
      </w:r>
      <w:hyperlink w:history="1" r:id="rId9">
        <w:r>
          <w:rPr>
            <w:rStyle w:val="Hyperlink"/>
            <w:rFonts w:hint="cs"/>
            <w:b/>
            <w:bCs/>
            <w:rtl/>
          </w:rPr>
          <w:t>חוק העונשין</w:t>
        </w:r>
      </w:hyperlink>
      <w:r>
        <w:rPr>
          <w:rFonts w:hint="cs"/>
          <w:b/>
          <w:bCs/>
          <w:rtl/>
        </w:rPr>
        <w:t xml:space="preserve"> עולות שתי עילות שבהתקיימן עשוי נאשם אשר זוכה בדין לזכות בפיצוי. העילה האחת, עניינה כי לא היה יסוד להאשמתו של הנאשם, ואילו השניה עניינה בכך שהתקיימו "נסיבות אחרות המצדיקות זאת" ... אולם חשוב להדגיש כי "גם מי שחלף על פני אחת משתי משוכות אלה אינו זכאי לפיצוי אוטומטי. לשון הסעיף קובעת כי בית המשפט 'רשאי (...) לצוות כי אוצר המדינה ישלם לנאשם הוצאות הגנתו ופיצוי על מאסרו או מעצרו'" . סעיף זה הוא</w:t>
      </w:r>
      <w:r>
        <w:rPr>
          <w:rFonts w:hint="cs"/>
          <w:rtl/>
        </w:rPr>
        <w:t xml:space="preserve"> </w:t>
      </w:r>
      <w:r>
        <w:rPr>
          <w:rFonts w:hint="cs"/>
          <w:b/>
          <w:bCs/>
          <w:rtl/>
        </w:rPr>
        <w:t>אתר של איזון בין שיקולים נוגדים. מחד יש להביא בכלל חשבון הנזק שנגרם לנאשם בעקבות ההליך הפלילי שנכפה עליו... הליך פלילי מביא עמו פעמים רבות גם פגיעה בקניינו של הנאשם, באשר הוא כרוך ברגיל בעלויות כספיות ניכרות, בין אם על שום הצורך לממן את הוצאות ההגנה המשפטית, בין אם לאור פגיעה אפשרית ביכולת ההשתכרות של הנאשם, לאורך המשפט ולפעמים גם לאחריו. מאידך, יש להביא בכלל חשבון את האינטרס הציבורי המשמעותי באכיפת החוק. לציבור בכללותו יש אינטרס משמעותי כי גורמי אכיפת החוק יעשו את מלאכתם נאמנה ללא חשש, למען שמירתה של מדינת ישראל כמדינת חוק"</w:t>
      </w:r>
      <w:r>
        <w:rPr>
          <w:rFonts w:hint="cs"/>
          <w:rtl/>
        </w:rPr>
        <w:t>.</w:t>
      </w:r>
    </w:p>
    <w:p w:rsidR="002206C3" w:rsidP="002206C3" w:rsidRDefault="002206C3">
      <w:pPr>
        <w:spacing w:line="360" w:lineRule="auto"/>
        <w:jc w:val="both"/>
        <w:rPr>
          <w:rFonts w:ascii="Arial" w:hAnsi="Arial"/>
          <w:rtl/>
        </w:rPr>
      </w:pPr>
      <w:r>
        <w:rPr>
          <w:rFonts w:hint="cs" w:ascii="Arial" w:hAnsi="Arial"/>
          <w:rtl/>
        </w:rPr>
        <w:t> </w:t>
      </w:r>
    </w:p>
    <w:p w:rsidR="002206C3" w:rsidP="002206C3" w:rsidRDefault="002206C3">
      <w:pPr>
        <w:spacing w:line="360" w:lineRule="auto"/>
        <w:jc w:val="both"/>
        <w:rPr>
          <w:b/>
          <w:bCs/>
          <w:rtl/>
        </w:rPr>
      </w:pPr>
      <w:r>
        <w:rPr>
          <w:rFonts w:hint="cs"/>
          <w:rtl/>
        </w:rPr>
        <w:t>בית המשפט העליון קבע כי : "</w:t>
      </w:r>
      <w:r>
        <w:rPr>
          <w:rFonts w:hint="cs"/>
          <w:b/>
          <w:bCs/>
          <w:rtl/>
        </w:rPr>
        <w:t>העילה "לא היה יסוד להאשמה" היא עילה מתוחמת צרה ודווקנית ביותר. הטוען לקיומה של עילה זו צריך להוכיח "מצב קיצוני של אי סבירות בולטת" בהעמדתו לדין ולא די בחוסר סבירות סתם .. גישתו של בית משפט זה היא שלרשויות התביעה מרחב שיקול דעת רחב ביותר בבחינת הראיות, ולכן התערבותו של בית משפט זה בשיקול הדעת של רשויות התביעה בדבר חומר הראיות תהא מצומצמת מאד, ותתאפשר רק מקום בו העמדה בדבר משקל הראיות תהא בלתי סבירה בעליל ובאופן קיצוני".</w:t>
      </w:r>
    </w:p>
    <w:p w:rsidR="002206C3" w:rsidP="002206C3" w:rsidRDefault="002206C3">
      <w:pPr>
        <w:spacing w:line="360" w:lineRule="auto"/>
        <w:jc w:val="both"/>
        <w:rPr>
          <w:rFonts w:ascii="Arial" w:hAnsi="Arial"/>
          <w:rtl/>
        </w:rPr>
      </w:pPr>
      <w:r>
        <w:rPr>
          <w:rFonts w:hint="cs" w:ascii="Arial" w:hAnsi="Arial"/>
          <w:rtl/>
        </w:rPr>
        <w:t> </w:t>
      </w:r>
    </w:p>
    <w:p w:rsidR="002206C3" w:rsidP="002206C3" w:rsidRDefault="002206C3">
      <w:pPr>
        <w:spacing w:line="360" w:lineRule="auto"/>
        <w:jc w:val="both"/>
        <w:rPr>
          <w:rtl/>
        </w:rPr>
      </w:pPr>
      <w:r>
        <w:rPr>
          <w:rFonts w:hint="cs" w:ascii="Arial" w:hAnsi="Arial"/>
          <w:rtl/>
        </w:rPr>
        <w:t>באשר</w:t>
      </w:r>
      <w:r>
        <w:rPr>
          <w:rFonts w:hint="cs"/>
          <w:rtl/>
        </w:rPr>
        <w:t xml:space="preserve"> לעילה השנייה בדבר "נסיבות אחרות המצדיקות" פיצוי, קבע בית המשפט העליון בפס"ד שגיא, כי היא:" </w:t>
      </w:r>
      <w:r>
        <w:rPr>
          <w:rFonts w:hint="cs"/>
          <w:b/>
          <w:bCs/>
          <w:rtl/>
        </w:rPr>
        <w:t>מתאפיינת בעמימות שנועדה להקנות לבית המשפט שיקול דעת רחב האם יש מקום להעניק פיצוי לנאשם שזוכה... ישנם שלושה סוגים של נסיבות: נסיבות שעניינן הליכי-המשפט בכללם; אופי זיכויו של הנאשם ונסיבותיו האישיות של הנאשם (נסיבות חיצוניות למשפט)"</w:t>
      </w:r>
      <w:r>
        <w:rPr>
          <w:rFonts w:hint="cs"/>
          <w:rtl/>
        </w:rPr>
        <w:t>.</w:t>
      </w:r>
    </w:p>
    <w:p w:rsidR="002206C3" w:rsidP="002206C3" w:rsidRDefault="002206C3">
      <w:pPr>
        <w:pStyle w:val="Ruller4"/>
        <w:tabs>
          <w:tab w:val="left" w:pos="720"/>
        </w:tabs>
        <w:spacing w:line="480" w:lineRule="auto"/>
        <w:jc w:val="left"/>
        <w:rPr>
          <w:rFonts w:cs="David"/>
          <w:sz w:val="24"/>
          <w:szCs w:val="24"/>
          <w:rtl/>
        </w:rPr>
      </w:pPr>
      <w:r>
        <w:rPr>
          <w:rFonts w:hint="cs" w:cs="David"/>
          <w:sz w:val="24"/>
          <w:szCs w:val="24"/>
          <w:rtl/>
        </w:rPr>
        <w:t> </w:t>
      </w:r>
    </w:p>
    <w:p w:rsidRPr="002A29E3" w:rsidR="002206C3" w:rsidP="00D1757F" w:rsidRDefault="002A29E3">
      <w:pPr>
        <w:pStyle w:val="Ruller4"/>
        <w:rPr>
          <w:rFonts w:cs="David"/>
          <w:sz w:val="24"/>
          <w:szCs w:val="24"/>
          <w:rtl/>
        </w:rPr>
      </w:pPr>
      <w:r w:rsidRPr="002A29E3">
        <w:rPr>
          <w:rFonts w:hint="cs" w:cs="David"/>
          <w:sz w:val="24"/>
          <w:szCs w:val="24"/>
          <w:rtl/>
        </w:rPr>
        <w:lastRenderedPageBreak/>
        <w:t>במקרה שבנדון, לא מצאתי "מצב קיצוני של אי סבירות בולטת" בהתנהלות המשיבה,</w:t>
      </w:r>
      <w:r>
        <w:rPr>
          <w:rFonts w:hint="cs" w:cs="David"/>
          <w:sz w:val="24"/>
          <w:szCs w:val="24"/>
          <w:rtl/>
        </w:rPr>
        <w:t xml:space="preserve"> אך</w:t>
      </w:r>
      <w:r w:rsidRPr="002A29E3">
        <w:rPr>
          <w:rFonts w:hint="cs" w:cs="David"/>
          <w:sz w:val="24"/>
          <w:szCs w:val="24"/>
          <w:rtl/>
        </w:rPr>
        <w:t xml:space="preserve"> </w:t>
      </w:r>
      <w:r w:rsidRPr="002A29E3" w:rsidR="002206C3">
        <w:rPr>
          <w:rFonts w:hint="cs" w:cs="David"/>
          <w:sz w:val="24"/>
          <w:szCs w:val="24"/>
          <w:rtl/>
        </w:rPr>
        <w:t>מצאתי</w:t>
      </w:r>
      <w:r>
        <w:rPr>
          <w:rFonts w:hint="cs" w:cs="David"/>
          <w:sz w:val="24"/>
          <w:szCs w:val="24"/>
          <w:rtl/>
        </w:rPr>
        <w:t>,</w:t>
      </w:r>
      <w:r w:rsidRPr="002A29E3" w:rsidR="002206C3">
        <w:rPr>
          <w:rFonts w:hint="cs" w:cs="David"/>
          <w:sz w:val="24"/>
          <w:szCs w:val="24"/>
          <w:rtl/>
        </w:rPr>
        <w:t xml:space="preserve"> בנסיבות המקרה</w:t>
      </w:r>
      <w:r>
        <w:rPr>
          <w:rFonts w:hint="cs" w:cs="David"/>
          <w:sz w:val="24"/>
          <w:szCs w:val="24"/>
          <w:rtl/>
        </w:rPr>
        <w:t>, כי יש</w:t>
      </w:r>
      <w:r w:rsidRPr="002A29E3" w:rsidR="002206C3">
        <w:rPr>
          <w:rFonts w:hint="cs" w:cs="David"/>
          <w:sz w:val="24"/>
          <w:szCs w:val="24"/>
          <w:rtl/>
        </w:rPr>
        <w:t xml:space="preserve"> </w:t>
      </w:r>
      <w:r>
        <w:rPr>
          <w:rFonts w:hint="cs" w:cs="David"/>
          <w:sz w:val="24"/>
          <w:szCs w:val="24"/>
          <w:rtl/>
        </w:rPr>
        <w:t>הצדקה</w:t>
      </w:r>
      <w:r w:rsidRPr="002A29E3" w:rsidR="002206C3">
        <w:rPr>
          <w:rFonts w:hint="cs" w:cs="David"/>
          <w:sz w:val="24"/>
          <w:szCs w:val="24"/>
          <w:rtl/>
        </w:rPr>
        <w:t xml:space="preserve"> </w:t>
      </w:r>
      <w:r>
        <w:rPr>
          <w:rFonts w:hint="cs" w:cs="David"/>
          <w:sz w:val="24"/>
          <w:szCs w:val="24"/>
          <w:rtl/>
        </w:rPr>
        <w:t>ל</w:t>
      </w:r>
      <w:r w:rsidRPr="002A29E3" w:rsidR="002206C3">
        <w:rPr>
          <w:rFonts w:hint="cs" w:cs="David"/>
          <w:sz w:val="24"/>
          <w:szCs w:val="24"/>
          <w:rtl/>
        </w:rPr>
        <w:t>פיצוי</w:t>
      </w:r>
      <w:r>
        <w:rPr>
          <w:rFonts w:hint="cs" w:cs="David"/>
          <w:sz w:val="24"/>
          <w:szCs w:val="24"/>
          <w:rtl/>
        </w:rPr>
        <w:t>, סמלי</w:t>
      </w:r>
      <w:r w:rsidR="00D1757F">
        <w:rPr>
          <w:rFonts w:hint="cs" w:cs="David"/>
          <w:sz w:val="24"/>
          <w:szCs w:val="24"/>
          <w:rtl/>
        </w:rPr>
        <w:t>,</w:t>
      </w:r>
      <w:r w:rsidRPr="002A29E3" w:rsidR="002206C3">
        <w:rPr>
          <w:rFonts w:hint="cs" w:cs="David"/>
          <w:sz w:val="24"/>
          <w:szCs w:val="24"/>
          <w:rtl/>
        </w:rPr>
        <w:t xml:space="preserve"> </w:t>
      </w:r>
      <w:r>
        <w:rPr>
          <w:rFonts w:hint="cs" w:cs="David"/>
          <w:sz w:val="24"/>
          <w:szCs w:val="24"/>
          <w:rtl/>
        </w:rPr>
        <w:t>ל</w:t>
      </w:r>
      <w:r w:rsidRPr="002A29E3" w:rsidR="002206C3">
        <w:rPr>
          <w:rFonts w:hint="cs" w:cs="David"/>
          <w:sz w:val="24"/>
          <w:szCs w:val="24"/>
          <w:rtl/>
        </w:rPr>
        <w:t>מבקש</w:t>
      </w:r>
      <w:r>
        <w:rPr>
          <w:rFonts w:hint="cs" w:cs="David"/>
          <w:sz w:val="24"/>
          <w:szCs w:val="24"/>
          <w:rtl/>
        </w:rPr>
        <w:t>,</w:t>
      </w:r>
      <w:r w:rsidRPr="002A29E3" w:rsidR="002206C3">
        <w:rPr>
          <w:rFonts w:hint="cs" w:cs="David"/>
          <w:sz w:val="24"/>
          <w:szCs w:val="24"/>
          <w:rtl/>
        </w:rPr>
        <w:t xml:space="preserve"> בגין ההליך שהתנהל בפני.</w:t>
      </w:r>
    </w:p>
    <w:p w:rsidR="00217685" w:rsidP="00217685" w:rsidRDefault="00217685">
      <w:pPr>
        <w:pStyle w:val="Ruller4"/>
        <w:rPr>
          <w:rFonts w:cs="David"/>
          <w:sz w:val="24"/>
          <w:szCs w:val="24"/>
          <w:rtl/>
        </w:rPr>
      </w:pPr>
    </w:p>
    <w:p w:rsidR="002206C3" w:rsidP="00217685" w:rsidRDefault="002A29E3">
      <w:pPr>
        <w:pStyle w:val="Ruller4"/>
        <w:rPr>
          <w:rFonts w:cs="David"/>
          <w:sz w:val="24"/>
          <w:szCs w:val="24"/>
          <w:rtl/>
        </w:rPr>
      </w:pPr>
      <w:r>
        <w:rPr>
          <w:rFonts w:hint="cs" w:cs="David"/>
          <w:sz w:val="24"/>
          <w:szCs w:val="24"/>
          <w:rtl/>
        </w:rPr>
        <w:t>לא ייתכן חולק, כי רשלנותו של מפענח התמונה, שלא דקדק בפענוח מספר לוחית הרישוי, הביאה לפתיחת ההליך המשפטי כנגד המבקש.</w:t>
      </w:r>
    </w:p>
    <w:p w:rsidR="002A29E3" w:rsidP="00217685" w:rsidRDefault="002A29E3">
      <w:pPr>
        <w:pStyle w:val="Ruller4"/>
        <w:rPr>
          <w:rFonts w:cs="David"/>
          <w:sz w:val="24"/>
          <w:szCs w:val="24"/>
          <w:rtl/>
        </w:rPr>
      </w:pPr>
      <w:r>
        <w:rPr>
          <w:rFonts w:hint="cs" w:cs="David"/>
          <w:sz w:val="24"/>
          <w:szCs w:val="24"/>
          <w:rtl/>
        </w:rPr>
        <w:t>אציין, כי התמונה הוצגה בפני על ידי התובעת ועל אף העובדה, כי מדובר היה בהעתק, ניתן היה להבחין בבירור, כי מספר הרכב אינו זהה למספר שנרשם בדו"ח וחזקה כי מפענח התמונה, אשר ראה את הצילום באיכות טובה פי כמה, מזה שהוצג בפני, יכול היה, בלי מאמץ רב, להבחין במספר הרישוי הנכון.</w:t>
      </w:r>
    </w:p>
    <w:p w:rsidR="00BE2DEF" w:rsidP="00217685" w:rsidRDefault="00BE2DEF">
      <w:pPr>
        <w:pStyle w:val="Ruller4"/>
        <w:rPr>
          <w:rFonts w:cs="David"/>
          <w:sz w:val="24"/>
          <w:szCs w:val="24"/>
          <w:rtl/>
        </w:rPr>
      </w:pPr>
    </w:p>
    <w:p w:rsidR="00D1757F" w:rsidP="00217685" w:rsidRDefault="00217685">
      <w:pPr>
        <w:pStyle w:val="Ruller4"/>
        <w:rPr>
          <w:rFonts w:cs="David"/>
          <w:sz w:val="24"/>
          <w:szCs w:val="24"/>
          <w:rtl/>
        </w:rPr>
      </w:pPr>
      <w:r>
        <w:rPr>
          <w:rFonts w:hint="cs" w:cs="David"/>
          <w:sz w:val="24"/>
          <w:szCs w:val="24"/>
          <w:rtl/>
        </w:rPr>
        <w:t>מנגד,</w:t>
      </w:r>
      <w:r w:rsidR="00BE2DEF">
        <w:rPr>
          <w:rFonts w:hint="cs" w:cs="David"/>
          <w:sz w:val="24"/>
          <w:szCs w:val="24"/>
          <w:rtl/>
        </w:rPr>
        <w:t xml:space="preserve"> המבקש לא הציג כל ראיה לעניין הוצאות שהיו לו, בהקשר להליך שהתנהל בפני ובחלוף שני דיונים בלבד, זוכה מהעבירה</w:t>
      </w:r>
      <w:r w:rsidR="00D1757F">
        <w:rPr>
          <w:rFonts w:hint="cs" w:cs="David"/>
          <w:sz w:val="24"/>
          <w:szCs w:val="24"/>
          <w:rtl/>
        </w:rPr>
        <w:t xml:space="preserve">, זאת לאחר שנמנע מלטעון טענה ברורה כנגד מספר הרישוי המופיע בתמונה או סוג הרכב המצולם, דהיינו, לא פעל ל"הקטנת הנזק" ולעניין זה, נאמר </w:t>
      </w:r>
      <w:r w:rsidRPr="00D1757F" w:rsidR="00D1757F">
        <w:rPr>
          <w:rFonts w:hint="cs" w:cs="David"/>
          <w:sz w:val="24"/>
          <w:szCs w:val="24"/>
          <w:rtl/>
        </w:rPr>
        <w:t>ב</w:t>
      </w:r>
      <w:r w:rsidRPr="00D1757F" w:rsidR="00D1757F">
        <w:rPr>
          <w:rFonts w:hint="cs" w:cs="David"/>
          <w:b/>
          <w:bCs/>
          <w:sz w:val="24"/>
          <w:szCs w:val="24"/>
          <w:u w:val="single"/>
          <w:rtl/>
        </w:rPr>
        <w:t>רע"פ 960/99 מקמילן נגד מדינת ישראל</w:t>
      </w:r>
      <w:r w:rsidR="00D1757F">
        <w:rPr>
          <w:rFonts w:hint="cs" w:cs="David"/>
          <w:sz w:val="24"/>
          <w:szCs w:val="24"/>
          <w:rtl/>
        </w:rPr>
        <w:t>:</w:t>
      </w:r>
    </w:p>
    <w:p w:rsidR="00BE2DEF" w:rsidP="00217685" w:rsidRDefault="00D1757F">
      <w:pPr>
        <w:pStyle w:val="Ruller4"/>
        <w:rPr>
          <w:rFonts w:cs="David"/>
          <w:sz w:val="24"/>
          <w:szCs w:val="24"/>
          <w:rtl/>
        </w:rPr>
      </w:pPr>
      <w:r>
        <w:rPr>
          <w:rFonts w:hint="cs" w:cs="David"/>
          <w:sz w:val="24"/>
          <w:szCs w:val="24"/>
          <w:rtl/>
        </w:rPr>
        <w:t>"</w:t>
      </w:r>
      <w:r w:rsidRPr="00D1757F">
        <w:rPr>
          <w:rFonts w:cs="David"/>
          <w:b/>
          <w:bCs/>
          <w:sz w:val="24"/>
          <w:szCs w:val="24"/>
          <w:rtl/>
        </w:rPr>
        <w:t>עשויים להיות מצבים, ברוח אלה המוזכרים</w:t>
      </w:r>
      <w:r w:rsidRPr="00D1757F">
        <w:rPr>
          <w:rFonts w:hint="cs" w:cs="David"/>
          <w:b/>
          <w:bCs/>
          <w:sz w:val="24"/>
          <w:szCs w:val="24"/>
          <w:rtl/>
        </w:rPr>
        <w:t xml:space="preserve"> </w:t>
      </w:r>
      <w:r w:rsidRPr="00D1757F">
        <w:rPr>
          <w:rFonts w:cs="David"/>
          <w:b/>
          <w:bCs/>
          <w:sz w:val="24"/>
          <w:szCs w:val="24"/>
          <w:rtl/>
        </w:rPr>
        <w:t>בהנחיות האנגליות שנידונו לעיל, שבהם לא ייפסקו הוצאות או פיצויים גם לנאשמים</w:t>
      </w:r>
      <w:r w:rsidRPr="00D1757F">
        <w:rPr>
          <w:rFonts w:hint="cs" w:cs="David"/>
          <w:b/>
          <w:bCs/>
          <w:sz w:val="24"/>
          <w:szCs w:val="24"/>
          <w:rtl/>
        </w:rPr>
        <w:t xml:space="preserve"> </w:t>
      </w:r>
      <w:r w:rsidRPr="00D1757F">
        <w:rPr>
          <w:rFonts w:cs="David"/>
          <w:b/>
          <w:bCs/>
          <w:sz w:val="24"/>
          <w:szCs w:val="24"/>
          <w:rtl/>
        </w:rPr>
        <w:t>שזוכו זיכוי מוחלט, או שסכום ההוצאות והפיצויים שייפסק יהיה מופחת. כך, למשל,</w:t>
      </w:r>
      <w:r w:rsidRPr="00D1757F">
        <w:rPr>
          <w:rFonts w:hint="cs" w:cs="David"/>
          <w:b/>
          <w:bCs/>
          <w:sz w:val="24"/>
          <w:szCs w:val="24"/>
          <w:rtl/>
        </w:rPr>
        <w:t xml:space="preserve"> </w:t>
      </w:r>
      <w:r w:rsidRPr="00D1757F">
        <w:rPr>
          <w:rFonts w:cs="David"/>
          <w:b/>
          <w:bCs/>
          <w:sz w:val="24"/>
          <w:szCs w:val="24"/>
          <w:rtl/>
        </w:rPr>
        <w:t>הוצאות או פיצויים עשויים להישלל מנאשמים אשר נקבע כי העידו עדות שקר, או מכאלה</w:t>
      </w:r>
      <w:r w:rsidRPr="00D1757F">
        <w:rPr>
          <w:rFonts w:hint="cs" w:cs="David"/>
          <w:b/>
          <w:bCs/>
          <w:sz w:val="24"/>
          <w:szCs w:val="24"/>
          <w:rtl/>
        </w:rPr>
        <w:t xml:space="preserve"> </w:t>
      </w:r>
      <w:r w:rsidRPr="00D1757F">
        <w:rPr>
          <w:rFonts w:cs="David"/>
          <w:b/>
          <w:bCs/>
          <w:sz w:val="24"/>
          <w:szCs w:val="24"/>
          <w:rtl/>
        </w:rPr>
        <w:t>שנמנעו מלמסור בעוד מועד, או מלמסור בכלל, את גרסתם או</w:t>
      </w:r>
      <w:r>
        <w:rPr>
          <w:rFonts w:hint="cs" w:cs="David"/>
          <w:b/>
          <w:bCs/>
          <w:sz w:val="24"/>
          <w:szCs w:val="24"/>
          <w:rtl/>
        </w:rPr>
        <w:t xml:space="preserve"> </w:t>
      </w:r>
      <w:r w:rsidRPr="00D1757F">
        <w:rPr>
          <w:rFonts w:cs="David"/>
          <w:b/>
          <w:bCs/>
          <w:sz w:val="24"/>
          <w:szCs w:val="24"/>
          <w:rtl/>
        </w:rPr>
        <w:t xml:space="preserve"> ראיות שהיו בידיהם לחפותם</w:t>
      </w:r>
      <w:r>
        <w:rPr>
          <w:rFonts w:hint="cs" w:cs="David"/>
          <w:sz w:val="24"/>
          <w:szCs w:val="24"/>
          <w:rtl/>
        </w:rPr>
        <w:t xml:space="preserve">".  </w:t>
      </w:r>
    </w:p>
    <w:p w:rsidR="00BE2DEF" w:rsidP="00217685" w:rsidRDefault="00BE2DEF">
      <w:pPr>
        <w:pStyle w:val="Ruller4"/>
        <w:rPr>
          <w:rFonts w:cs="David"/>
          <w:sz w:val="24"/>
          <w:szCs w:val="24"/>
          <w:rtl/>
        </w:rPr>
      </w:pPr>
    </w:p>
    <w:p w:rsidR="002206C3" w:rsidP="00217685" w:rsidRDefault="002206C3">
      <w:pPr>
        <w:pStyle w:val="Ruller4"/>
        <w:rPr>
          <w:rFonts w:cs="David"/>
          <w:sz w:val="24"/>
          <w:szCs w:val="24"/>
          <w:rtl/>
        </w:rPr>
      </w:pPr>
      <w:r>
        <w:rPr>
          <w:rFonts w:hint="cs" w:cs="David"/>
          <w:sz w:val="24"/>
          <w:szCs w:val="24"/>
          <w:rtl/>
        </w:rPr>
        <w:t>בית המשפט העליון ציין כי ההליך בבית המשפט לתעבורה מצוי ברף התחתון של פגיעה בזכויותיו של נאשם.</w:t>
      </w:r>
    </w:p>
    <w:p w:rsidR="002206C3" w:rsidP="00217685" w:rsidRDefault="002206C3">
      <w:pPr>
        <w:pStyle w:val="Ruller4"/>
        <w:tabs>
          <w:tab w:val="left" w:pos="720"/>
        </w:tabs>
        <w:rPr>
          <w:rFonts w:cs="David"/>
          <w:sz w:val="24"/>
          <w:szCs w:val="24"/>
          <w:rtl/>
        </w:rPr>
      </w:pPr>
      <w:r>
        <w:rPr>
          <w:rFonts w:hint="cs" w:cs="David"/>
          <w:sz w:val="24"/>
          <w:szCs w:val="24"/>
          <w:rtl/>
        </w:rPr>
        <w:t> </w:t>
      </w:r>
    </w:p>
    <w:p w:rsidR="002206C3" w:rsidP="00217685" w:rsidRDefault="002206C3">
      <w:pPr>
        <w:pStyle w:val="Ruller4"/>
        <w:rPr>
          <w:rFonts w:ascii="Times New Roman" w:hAnsi="Times New Roman" w:cs="David"/>
          <w:sz w:val="24"/>
          <w:szCs w:val="24"/>
          <w:rtl/>
        </w:rPr>
      </w:pPr>
      <w:r>
        <w:rPr>
          <w:rFonts w:hint="cs" w:ascii="Times New Roman" w:hAnsi="Times New Roman" w:cs="David"/>
          <w:sz w:val="24"/>
          <w:szCs w:val="24"/>
          <w:rtl/>
        </w:rPr>
        <w:t>עוד אמר בית המשפט העליון בעניין שגיא :"</w:t>
      </w:r>
      <w:r>
        <w:rPr>
          <w:rFonts w:hint="cs" w:ascii="Times New Roman" w:hAnsi="Times New Roman" w:cs="David"/>
          <w:b/>
          <w:bCs/>
          <w:sz w:val="24"/>
          <w:szCs w:val="24"/>
          <w:rtl/>
        </w:rPr>
        <w:t xml:space="preserve">בסיכומו של דבר, חשוב לחזור ולהדגיש כי סעיף 80 נוקט בנוסח כי בית המשפט "רשאי" </w:t>
      </w:r>
      <w:r>
        <w:rPr>
          <w:rFonts w:hint="cs" w:cs="David"/>
          <w:b/>
          <w:bCs/>
          <w:sz w:val="24"/>
          <w:szCs w:val="24"/>
          <w:rtl/>
        </w:rPr>
        <w:t xml:space="preserve">לצוות כי אוצר המדינה ישלם לנאשם הוצאות </w:t>
      </w:r>
      <w:r>
        <w:rPr>
          <w:rFonts w:hint="cs" w:ascii="Times New Roman" w:hAnsi="Times New Roman" w:cs="David"/>
          <w:b/>
          <w:bCs/>
          <w:sz w:val="24"/>
          <w:szCs w:val="24"/>
          <w:rtl/>
        </w:rPr>
        <w:t xml:space="preserve">הגנתו. המילה רשאי </w:t>
      </w:r>
      <w:r>
        <w:rPr>
          <w:rFonts w:hint="cs" w:cs="David"/>
          <w:b/>
          <w:bCs/>
          <w:sz w:val="24"/>
          <w:szCs w:val="24"/>
          <w:rtl/>
        </w:rPr>
        <w:t>איננה בגדר סרח עודף מילולי מיותר, היא באה לסייג ולהקנות לבית המשפט שיקול דעת בגדרי סעיף 80, בו שיקולים רבים מתחרים על הבכורה, ולמתן הפיצוי יכולות להיות השלכות רוחב שיש להביא בכלל חשבון"</w:t>
      </w:r>
      <w:r>
        <w:rPr>
          <w:rFonts w:hint="cs" w:cs="David"/>
          <w:sz w:val="24"/>
          <w:szCs w:val="24"/>
          <w:rtl/>
        </w:rPr>
        <w:t xml:space="preserve">. </w:t>
      </w:r>
    </w:p>
    <w:p w:rsidR="002206C3" w:rsidP="00217685" w:rsidRDefault="002206C3">
      <w:pPr>
        <w:pStyle w:val="Ruller4"/>
        <w:rPr>
          <w:rFonts w:ascii="Times New Roman" w:hAnsi="Times New Roman" w:cs="David"/>
          <w:sz w:val="24"/>
          <w:szCs w:val="24"/>
          <w:rtl/>
        </w:rPr>
      </w:pPr>
      <w:r>
        <w:rPr>
          <w:rFonts w:hint="cs" w:ascii="Times New Roman" w:hAnsi="Times New Roman" w:cs="David"/>
          <w:sz w:val="24"/>
          <w:szCs w:val="24"/>
          <w:rtl/>
        </w:rPr>
        <w:t> </w:t>
      </w:r>
    </w:p>
    <w:p w:rsidR="002206C3" w:rsidP="00217685" w:rsidRDefault="00BE2DEF">
      <w:pPr>
        <w:pStyle w:val="Ruller4"/>
        <w:rPr>
          <w:rFonts w:ascii="Times New Roman" w:hAnsi="Times New Roman" w:cs="David"/>
          <w:sz w:val="24"/>
          <w:szCs w:val="24"/>
          <w:rtl/>
        </w:rPr>
      </w:pPr>
      <w:r>
        <w:rPr>
          <w:rFonts w:hint="cs" w:ascii="Times New Roman" w:hAnsi="Times New Roman" w:cs="David"/>
          <w:sz w:val="24"/>
          <w:szCs w:val="24"/>
          <w:rtl/>
        </w:rPr>
        <w:t xml:space="preserve">מכל האמור לעיל, אני נעתרת לבקשה ומורה למשיבה לשלם למבקש פיצוי בסך 500 ₪ וזאת, עד ליום 1.5.18. </w:t>
      </w:r>
    </w:p>
    <w:p w:rsidR="002206C3" w:rsidP="00217685" w:rsidRDefault="002206C3">
      <w:pPr>
        <w:pStyle w:val="Ruller4"/>
        <w:rPr>
          <w:rFonts w:ascii="Times New Roman" w:hAnsi="Times New Roman" w:cs="David"/>
          <w:sz w:val="24"/>
          <w:szCs w:val="24"/>
          <w:rtl/>
        </w:rPr>
      </w:pPr>
      <w:r>
        <w:rPr>
          <w:rFonts w:hint="cs" w:ascii="Times New Roman" w:hAnsi="Times New Roman" w:cs="David"/>
          <w:sz w:val="24"/>
          <w:szCs w:val="24"/>
          <w:rtl/>
        </w:rPr>
        <w:t> </w:t>
      </w:r>
    </w:p>
    <w:p w:rsidR="00D1757F" w:rsidP="002206C3" w:rsidRDefault="00D1757F">
      <w:pPr>
        <w:pStyle w:val="Ruller4"/>
        <w:ind w:left="180"/>
        <w:rPr>
          <w:rFonts w:ascii="Times New Roman" w:hAnsi="Times New Roman" w:cs="David"/>
          <w:b/>
          <w:bCs/>
          <w:sz w:val="24"/>
          <w:szCs w:val="24"/>
          <w:rtl/>
        </w:rPr>
      </w:pPr>
    </w:p>
    <w:p w:rsidR="00D1757F" w:rsidP="002206C3" w:rsidRDefault="00D1757F">
      <w:pPr>
        <w:pStyle w:val="Ruller4"/>
        <w:ind w:left="180"/>
        <w:rPr>
          <w:rFonts w:ascii="Times New Roman" w:hAnsi="Times New Roman" w:cs="David"/>
          <w:b/>
          <w:bCs/>
          <w:sz w:val="24"/>
          <w:szCs w:val="24"/>
          <w:rtl/>
        </w:rPr>
      </w:pPr>
    </w:p>
    <w:p w:rsidR="00D1757F" w:rsidP="002206C3" w:rsidRDefault="00D1757F">
      <w:pPr>
        <w:pStyle w:val="Ruller4"/>
        <w:ind w:left="180"/>
        <w:rPr>
          <w:rFonts w:ascii="Times New Roman" w:hAnsi="Times New Roman" w:cs="David"/>
          <w:b/>
          <w:bCs/>
          <w:sz w:val="24"/>
          <w:szCs w:val="24"/>
          <w:rtl/>
        </w:rPr>
      </w:pPr>
    </w:p>
    <w:p w:rsidR="00D1757F" w:rsidP="002206C3" w:rsidRDefault="00D1757F">
      <w:pPr>
        <w:pStyle w:val="Ruller4"/>
        <w:ind w:left="180"/>
        <w:rPr>
          <w:rFonts w:ascii="Times New Roman" w:hAnsi="Times New Roman" w:cs="David"/>
          <w:b/>
          <w:bCs/>
          <w:sz w:val="24"/>
          <w:szCs w:val="24"/>
          <w:rtl/>
        </w:rPr>
      </w:pPr>
    </w:p>
    <w:p w:rsidR="002206C3" w:rsidP="002206C3" w:rsidRDefault="002206C3">
      <w:pPr>
        <w:pStyle w:val="Ruller4"/>
        <w:ind w:left="180"/>
        <w:rPr>
          <w:rFonts w:ascii="Times New Roman" w:hAnsi="Times New Roman" w:cs="David"/>
          <w:b/>
          <w:bCs/>
          <w:sz w:val="24"/>
          <w:szCs w:val="24"/>
          <w:rtl/>
        </w:rPr>
      </w:pPr>
      <w:r>
        <w:rPr>
          <w:rFonts w:hint="cs" w:ascii="Times New Roman" w:hAnsi="Times New Roman" w:cs="David"/>
          <w:b/>
          <w:bCs/>
          <w:sz w:val="24"/>
          <w:szCs w:val="24"/>
          <w:rtl/>
        </w:rPr>
        <w:t>זכות ער</w:t>
      </w:r>
      <w:r w:rsidR="00D1757F">
        <w:rPr>
          <w:rFonts w:hint="cs" w:ascii="Times New Roman" w:hAnsi="Times New Roman" w:cs="David"/>
          <w:b/>
          <w:bCs/>
          <w:sz w:val="24"/>
          <w:szCs w:val="24"/>
          <w:rtl/>
        </w:rPr>
        <w:t>עו</w:t>
      </w:r>
      <w:r>
        <w:rPr>
          <w:rFonts w:hint="cs" w:ascii="Times New Roman" w:hAnsi="Times New Roman" w:cs="David"/>
          <w:b/>
          <w:bCs/>
          <w:sz w:val="24"/>
          <w:szCs w:val="24"/>
          <w:rtl/>
        </w:rPr>
        <w:t>ר כחוק.</w:t>
      </w:r>
    </w:p>
    <w:p w:rsidR="00694556" w:rsidP="00BE2DEF" w:rsidRDefault="002206C3">
      <w:pPr>
        <w:spacing w:line="360" w:lineRule="auto"/>
        <w:jc w:val="both"/>
        <w:rPr>
          <w:rFonts w:ascii="Arial" w:hAnsi="Arial"/>
          <w:noProof w:val="0"/>
          <w:rtl/>
        </w:rPr>
      </w:pPr>
      <w:r>
        <w:rPr>
          <w:rFonts w:hint="cs" w:ascii="Arial" w:hAnsi="Arial"/>
          <w:rtl/>
        </w:rPr>
        <w:t> </w:t>
      </w:r>
    </w:p>
    <w:p w:rsidR="00694556" w:rsidRDefault="00694556">
      <w:pPr>
        <w:spacing w:line="360" w:lineRule="auto"/>
        <w:jc w:val="both"/>
        <w:rPr>
          <w:rFonts w:ascii="Arial" w:hAnsi="Arial"/>
          <w:noProof w:val="0"/>
          <w:rtl/>
        </w:rPr>
      </w:pPr>
    </w:p>
    <w:p w:rsidR="00694556" w:rsidP="00217685"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hint="c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12 אפריל 2018</w:t>
          </w:r>
        </w:sdtContent>
      </w:sdt>
      <w:r w:rsidR="00005C8B">
        <w:rPr>
          <w:rFonts w:ascii="Arial" w:hAnsi="Arial"/>
          <w:noProof w:val="0"/>
          <w:rtl/>
        </w:rPr>
        <w:t>, בהעדר הצדדים.</w:t>
      </w:r>
    </w:p>
    <w:p w:rsidR="00C43648" w:rsidP="00BD6531" w:rsidRDefault="00EA6CB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478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b43e98061c34baf" cstate="print">
                            <a:extLst>
                              <a:ext uri="{28A0092B-C50C-407E-A947-70E740481C1C}"/>
                            </a:extLst>
                          </a:blip>
                          <a:stretch>
                            <a:fillRect/>
                          </a:stretch>
                        </pic:blipFill>
                        <pic:spPr>
                          <a:xfrm>
                            <a:off x="0" y="0"/>
                            <a:ext cx="1447800" cy="581025"/>
                          </a:xfrm>
                          <a:prstGeom prst="rect">
                            <a:avLst/>
                          </a:prstGeom>
                        </pic:spPr>
                      </pic:pic>
                    </a:graphicData>
                  </a:graphic>
                </wp:inline>
              </w:drawing>
            </w:r>
          </w:p>
        </w:sdtContent>
      </w:sdt>
    </w:p>
    <w:sectPr w:rsidR="00694556" w:rsidSect="00954A70">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EA6CBC">
      <w:rPr>
        <w:rStyle w:val="ab"/>
        <w:rtl/>
      </w:rPr>
      <w:t>4</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EA6CBC">
      <w:rPr>
        <w:rStyle w:val="ab"/>
        <w:rtl/>
      </w:rPr>
      <w:t>4</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A6CB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לתעבורה בתל אביב - יפו</w:t>
              </w:r>
            </w:p>
          </w:tc>
        </w:sdtContent>
      </w:sdt>
    </w:tr>
    <w:tr w:rsidRPr="00FA4EAF" w:rsidR="00694556" w:rsidTr="00BB52D6">
      <w:trPr>
        <w:trHeight w:val="337"/>
        <w:jc w:val="center"/>
      </w:trPr>
      <w:tc>
        <w:tcPr>
          <w:tcW w:w="8505" w:type="dxa"/>
        </w:tcPr>
        <w:p w:rsidRPr="00FA4EAF" w:rsidR="007D45E3" w:rsidP="00314311" w:rsidRDefault="00EA6CBC">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תת"ע</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737-01-18</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מדינת ישראל נ' קריגר מיכאל-שרלוק</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83B97"/>
    <w:rsid w:val="00191C82"/>
    <w:rsid w:val="001C3FD7"/>
    <w:rsid w:val="001C4003"/>
    <w:rsid w:val="001C61D7"/>
    <w:rsid w:val="001D3441"/>
    <w:rsid w:val="001D4DBF"/>
    <w:rsid w:val="001E75CA"/>
    <w:rsid w:val="00217685"/>
    <w:rsid w:val="002206C3"/>
    <w:rsid w:val="002265FF"/>
    <w:rsid w:val="00271B56"/>
    <w:rsid w:val="00291593"/>
    <w:rsid w:val="002A29E3"/>
    <w:rsid w:val="002C344E"/>
    <w:rsid w:val="002D2705"/>
    <w:rsid w:val="002D7668"/>
    <w:rsid w:val="002E75E9"/>
    <w:rsid w:val="002F748E"/>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27CA"/>
    <w:rsid w:val="00BB3D05"/>
    <w:rsid w:val="00BB52D6"/>
    <w:rsid w:val="00BB73BE"/>
    <w:rsid w:val="00BC2D89"/>
    <w:rsid w:val="00BD6531"/>
    <w:rsid w:val="00BE05B2"/>
    <w:rsid w:val="00BE2DEF"/>
    <w:rsid w:val="00BF1908"/>
    <w:rsid w:val="00BF7F3B"/>
    <w:rsid w:val="00C22D93"/>
    <w:rsid w:val="00C31120"/>
    <w:rsid w:val="00C34482"/>
    <w:rsid w:val="00C43648"/>
    <w:rsid w:val="00C50A9F"/>
    <w:rsid w:val="00C53EB8"/>
    <w:rsid w:val="00C642FA"/>
    <w:rsid w:val="00C65565"/>
    <w:rsid w:val="00CC7622"/>
    <w:rsid w:val="00CD608F"/>
    <w:rsid w:val="00D1757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A6CBC"/>
    <w:rsid w:val="00EB23B9"/>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518FD080"/>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2206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10">
    <w:name w:val="כותרת 1 תו"/>
    <w:basedOn w:val="a0"/>
    <w:link w:val="1"/>
    <w:rsid w:val="002206C3"/>
    <w:rPr>
      <w:rFonts w:asciiTheme="majorHAnsi" w:eastAsiaTheme="majorEastAsia" w:hAnsiTheme="majorHAnsi" w:cstheme="majorBidi"/>
      <w:noProof/>
      <w:color w:val="365F91" w:themeColor="accent1" w:themeShade="BF"/>
      <w:sz w:val="32"/>
      <w:szCs w:val="32"/>
    </w:rPr>
  </w:style>
  <w:style w:type="character" w:styleId="Hyperlink">
    <w:name w:val="Hyperlink"/>
    <w:semiHidden/>
    <w:unhideWhenUsed/>
    <w:rsid w:val="002206C3"/>
    <w:rPr>
      <w:color w:val="0000FF"/>
      <w:u w:val="single"/>
    </w:rPr>
  </w:style>
  <w:style w:type="paragraph" w:customStyle="1" w:styleId="Ruller4">
    <w:name w:val="Ruller4"/>
    <w:basedOn w:val="a"/>
    <w:rsid w:val="002206C3"/>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0725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444422592">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law_html/law01/073_002.htm" TargetMode="External" Id="rId9" /><Relationship Type="http://schemas.openxmlformats.org/officeDocument/2006/relationships/theme" Target="theme/theme1.xml" Id="rId14" /><Relationship Type="http://schemas.openxmlformats.org/officeDocument/2006/relationships/image" Target="/media/image2.jpg" Id="R3b43e98061c34ba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863</Words>
  <Characters>4316</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NGCS</cp:lastModifiedBy>
  <cp:revision>159</cp:revision>
  <dcterms:created xsi:type="dcterms:W3CDTF">2012-08-06T05:16:00Z</dcterms:created>
  <dcterms:modified xsi:type="dcterms:W3CDTF">2018-04-12T08:38:00Z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