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סיגלית גץ-אופיר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45287" w:rsidRDefault="0017096C">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1A22F2">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צ'רלטון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1A22F2">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94424E" w:rsidP="00D44968" w:rsidRDefault="001A22F2">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סאמיה כרכבי</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F45287" w:rsidRDefault="00F45287">
            <w:pPr>
              <w:rPr>
                <w:rFonts w:ascii="David" w:hAnsi="David" w:eastAsia="David"/>
                <w:noProof w:val="0"/>
              </w:rPr>
            </w:pPr>
          </w:p>
        </w:tc>
        <w:tc>
          <w:tcPr>
            <w:tcW w:w="5571" w:type="dxa"/>
          </w:tcPr>
          <w:p w:rsidR="00F45287" w:rsidRDefault="00F45287">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F45287" w:rsidRDefault="00F4528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81196" w:rsidP="00781196" w:rsidRDefault="00781196">
      <w:pPr>
        <w:numPr>
          <w:ilvl w:val="0"/>
          <w:numId w:val="1"/>
        </w:numPr>
        <w:spacing w:before="100" w:beforeAutospacing="1" w:after="100" w:afterAutospacing="1" w:line="360" w:lineRule="auto"/>
        <w:jc w:val="both"/>
        <w:rPr>
          <w:rFonts w:ascii="Arial" w:hAnsi="Arial"/>
        </w:rPr>
      </w:pPr>
      <w:bookmarkStart w:name="NGCSBookmark" w:id="0"/>
      <w:bookmarkEnd w:id="0"/>
      <w:r>
        <w:rPr>
          <w:rFonts w:hint="cs"/>
          <w:rtl/>
        </w:rPr>
        <w:t>נ</w:t>
      </w:r>
      <w:r>
        <w:rPr>
          <w:rFonts w:hint="cs" w:ascii="Arial" w:hAnsi="Arial"/>
          <w:rtl/>
        </w:rPr>
        <w:t xml:space="preserve">יתן צו גילוי ועיון מסמכים הדדי (למעט מסמכים שנטען לגביהם חסיון בתצהיר הגילוי) כל זאת לביצוע תוך 60 יום מהיום. </w:t>
      </w:r>
    </w:p>
    <w:p w:rsidR="00781196" w:rsidP="00781196" w:rsidRDefault="00781196">
      <w:pPr>
        <w:numPr>
          <w:ilvl w:val="0"/>
          <w:numId w:val="1"/>
        </w:numPr>
        <w:spacing w:before="100" w:beforeAutospacing="1" w:after="100" w:afterAutospacing="1" w:line="360" w:lineRule="auto"/>
        <w:jc w:val="both"/>
        <w:rPr>
          <w:rFonts w:ascii="Arial" w:hAnsi="Arial"/>
        </w:rPr>
      </w:pPr>
      <w:r>
        <w:rPr>
          <w:rFonts w:hint="cs" w:ascii="Arial" w:hAnsi="Arial"/>
          <w:rtl/>
        </w:rPr>
        <w:t xml:space="preserve">אם בדעת מי מהצדדים להגיש שאלון יעשה כך בתוך 30 יום מהיום . </w:t>
      </w:r>
    </w:p>
    <w:p w:rsidR="00781196" w:rsidP="00781196" w:rsidRDefault="00781196">
      <w:pPr>
        <w:numPr>
          <w:ilvl w:val="0"/>
          <w:numId w:val="1"/>
        </w:numPr>
        <w:spacing w:before="100" w:beforeAutospacing="1" w:after="100" w:afterAutospacing="1" w:line="360" w:lineRule="auto"/>
        <w:jc w:val="both"/>
        <w:rPr>
          <w:rFonts w:ascii="Arial" w:hAnsi="Arial"/>
        </w:rPr>
      </w:pPr>
      <w:r>
        <w:rPr>
          <w:rFonts w:hint="cs"/>
          <w:rtl/>
        </w:rPr>
        <w:t>אני מורה כי העדויות הראשיות תוגשנה בדרך של תצהיר ובהעדר החלטה אחרת על המצהירים להופיע בביהמ"ש במועד שיקבע להוכחות.</w:t>
      </w:r>
    </w:p>
    <w:p w:rsidR="00781196" w:rsidP="00781196" w:rsidRDefault="00781196">
      <w:pPr>
        <w:spacing w:line="360" w:lineRule="auto"/>
        <w:ind w:left="1440" w:hanging="720"/>
        <w:jc w:val="both"/>
      </w:pPr>
      <w:r>
        <w:rPr>
          <w:rFonts w:hint="cs"/>
          <w:rtl/>
        </w:rPr>
        <w:t xml:space="preserve">א. </w:t>
      </w:r>
      <w:r>
        <w:rPr>
          <w:rFonts w:hint="cs"/>
          <w:rtl/>
        </w:rPr>
        <w:tab/>
        <w:t>סדר הגשת התצהירים הוא כמפורט להלן:</w:t>
      </w:r>
    </w:p>
    <w:p w:rsidR="00781196" w:rsidP="00781196" w:rsidRDefault="00781196">
      <w:pPr>
        <w:spacing w:line="360" w:lineRule="auto"/>
        <w:ind w:left="1440" w:hanging="720"/>
        <w:jc w:val="both"/>
        <w:rPr>
          <w:rtl/>
        </w:rPr>
      </w:pPr>
      <w:r>
        <w:rPr>
          <w:rFonts w:hint="cs"/>
          <w:rtl/>
        </w:rPr>
        <w:tab/>
        <w:t>התובע</w:t>
      </w:r>
      <w:r w:rsidR="0017096C">
        <w:rPr>
          <w:rFonts w:hint="cs"/>
          <w:rtl/>
        </w:rPr>
        <w:t>ת תגיש תצהירי עדיה</w:t>
      </w:r>
      <w:r>
        <w:rPr>
          <w:rFonts w:hint="cs"/>
          <w:rtl/>
        </w:rPr>
        <w:t xml:space="preserve"> תוך 90 יום מהיום.</w:t>
      </w:r>
    </w:p>
    <w:p w:rsidR="00781196" w:rsidP="00781196" w:rsidRDefault="0017096C">
      <w:pPr>
        <w:spacing w:line="360" w:lineRule="auto"/>
        <w:ind w:left="1440" w:hanging="720"/>
        <w:jc w:val="both"/>
        <w:rPr>
          <w:rtl/>
        </w:rPr>
      </w:pPr>
      <w:r>
        <w:rPr>
          <w:rFonts w:hint="cs"/>
          <w:rtl/>
        </w:rPr>
        <w:tab/>
        <w:t>הנתבעת תגיש תצהירי עדיה</w:t>
      </w:r>
      <w:r w:rsidR="00781196">
        <w:rPr>
          <w:rFonts w:hint="cs"/>
          <w:rtl/>
        </w:rPr>
        <w:t xml:space="preserve"> תוך 30 יום לאחר מכן.</w:t>
      </w:r>
    </w:p>
    <w:p w:rsidR="00781196" w:rsidP="00781196" w:rsidRDefault="00781196">
      <w:pPr>
        <w:spacing w:line="360" w:lineRule="auto"/>
        <w:ind w:left="1440" w:hanging="720"/>
        <w:jc w:val="both"/>
        <w:rPr>
          <w:rtl/>
        </w:rPr>
      </w:pPr>
      <w:r>
        <w:rPr>
          <w:rFonts w:hint="cs"/>
          <w:rtl/>
        </w:rPr>
        <w:tab/>
      </w:r>
    </w:p>
    <w:p w:rsidR="00781196" w:rsidP="00781196" w:rsidRDefault="00781196">
      <w:pPr>
        <w:spacing w:line="360" w:lineRule="auto"/>
        <w:ind w:left="1440" w:hanging="720"/>
        <w:jc w:val="both"/>
        <w:rPr>
          <w:b/>
          <w:bCs/>
          <w:rtl/>
        </w:rPr>
      </w:pPr>
      <w:r>
        <w:rPr>
          <w:rFonts w:hint="cs"/>
          <w:rtl/>
        </w:rPr>
        <w:tab/>
      </w:r>
      <w:r>
        <w:rPr>
          <w:rFonts w:hint="cs"/>
          <w:b/>
          <w:bCs/>
          <w:rtl/>
        </w:rPr>
        <w:t>ככל שלתצהירים יצורפו למעלה משני נספחים, יש להגיש במועד הגשת התצהירים לתיק הנייר בבית המשפט, עותר כרוך ומסומן ב"דגלונים" המאפשר התמצאות יעילה בנספחי התצהיר</w:t>
      </w:r>
    </w:p>
    <w:p w:rsidR="00781196" w:rsidP="00781196" w:rsidRDefault="00781196">
      <w:pPr>
        <w:ind w:left="720" w:hanging="720"/>
        <w:jc w:val="both"/>
        <w:rPr>
          <w:rtl/>
        </w:rPr>
      </w:pPr>
    </w:p>
    <w:p w:rsidR="00781196" w:rsidP="00781196" w:rsidRDefault="00781196">
      <w:pPr>
        <w:spacing w:line="360" w:lineRule="auto"/>
        <w:ind w:left="1440" w:hanging="720"/>
        <w:jc w:val="both"/>
        <w:rPr>
          <w:rtl/>
        </w:rPr>
      </w:pPr>
      <w:r>
        <w:rPr>
          <w:rFonts w:hint="cs"/>
          <w:rtl/>
        </w:rPr>
        <w:t>ב.</w:t>
      </w:r>
      <w:r>
        <w:rPr>
          <w:rFonts w:hint="cs"/>
          <w:rtl/>
        </w:rPr>
        <w:tab/>
        <w:t>לתצהירי העדים יצורף תיק מסמכים אשר בדעת הצדדים להפכם למוצגים בתיק, וכל חוות דעת של מומחה בעניינים שאינם עניין שברפואה, שבכוונת מי מהצדדים להסתמך עליה להוכחת טענותיו.</w:t>
      </w:r>
    </w:p>
    <w:p w:rsidR="00781196" w:rsidP="00781196" w:rsidRDefault="00781196">
      <w:pPr>
        <w:ind w:left="1440" w:hanging="720"/>
        <w:jc w:val="both"/>
        <w:rPr>
          <w:rtl/>
        </w:rPr>
      </w:pPr>
    </w:p>
    <w:p w:rsidR="00781196" w:rsidP="00781196" w:rsidRDefault="00781196">
      <w:pPr>
        <w:spacing w:line="360" w:lineRule="auto"/>
        <w:ind w:left="1440" w:hanging="720"/>
        <w:jc w:val="both"/>
        <w:rPr>
          <w:rtl/>
        </w:rPr>
      </w:pPr>
      <w:r>
        <w:rPr>
          <w:rFonts w:hint="cs"/>
          <w:rtl/>
        </w:rPr>
        <w:lastRenderedPageBreak/>
        <w:t xml:space="preserve">ג. </w:t>
      </w:r>
      <w:r>
        <w:rPr>
          <w:rFonts w:hint="cs"/>
          <w:rtl/>
        </w:rPr>
        <w:tab/>
        <w:t>אם מבקש בעל דין לזמן למועד שמיעת ההוכחות עדים נוספים שאינם בשליטתו, ידאג לצרף לתצהיריו את רשימת העדים, תוכן עדותם וכן יפרט מדוע לא ניתן להגיש תצהיר מטעמם.</w:t>
      </w:r>
    </w:p>
    <w:p w:rsidR="00781196" w:rsidP="00781196" w:rsidRDefault="00781196">
      <w:pPr>
        <w:spacing w:line="360" w:lineRule="auto"/>
        <w:ind w:left="1440"/>
        <w:jc w:val="both"/>
        <w:rPr>
          <w:rtl/>
        </w:rPr>
      </w:pPr>
      <w:r>
        <w:rPr>
          <w:rFonts w:hint="cs"/>
          <w:rtl/>
        </w:rPr>
        <w:t xml:space="preserve">כל בקשה להזמנת עדים תוגש </w:t>
      </w:r>
      <w:r>
        <w:rPr>
          <w:rFonts w:hint="cs"/>
          <w:b/>
          <w:bCs/>
          <w:rtl/>
        </w:rPr>
        <w:t>במועד שנקבע להגשת התצהירים</w:t>
      </w:r>
      <w:r>
        <w:rPr>
          <w:rFonts w:hint="cs"/>
          <w:rtl/>
        </w:rPr>
        <w:t xml:space="preserve"> והעתקה יומצא ישירות לצד שכנגד.</w:t>
      </w:r>
    </w:p>
    <w:p w:rsidR="00781196" w:rsidP="00781196" w:rsidRDefault="00781196">
      <w:pPr>
        <w:spacing w:line="360" w:lineRule="auto"/>
        <w:ind w:left="1440"/>
        <w:jc w:val="both"/>
        <w:rPr>
          <w:rtl/>
        </w:rPr>
      </w:pPr>
      <w:r>
        <w:rPr>
          <w:rFonts w:hint="cs"/>
          <w:rtl/>
        </w:rPr>
        <w:t>עדים לגביהם לא יקוימו תנאים אלו, עדותם לא תשמע אלא אם אשתכנע כי נסיבות מיוחדות מנעו קיומם.</w:t>
      </w:r>
    </w:p>
    <w:p w:rsidR="00781196" w:rsidP="00781196" w:rsidRDefault="00781196">
      <w:pPr>
        <w:ind w:left="1440" w:hanging="720"/>
        <w:jc w:val="both"/>
        <w:rPr>
          <w:rtl/>
        </w:rPr>
      </w:pPr>
    </w:p>
    <w:p w:rsidR="00781196" w:rsidP="00781196" w:rsidRDefault="00781196">
      <w:pPr>
        <w:spacing w:line="360" w:lineRule="auto"/>
        <w:ind w:left="1440" w:hanging="720"/>
        <w:jc w:val="both"/>
        <w:rPr>
          <w:rtl/>
        </w:rPr>
      </w:pPr>
      <w:r>
        <w:rPr>
          <w:rFonts w:hint="cs"/>
          <w:rtl/>
        </w:rPr>
        <w:t xml:space="preserve">ד. </w:t>
      </w:r>
      <w:r>
        <w:rPr>
          <w:rFonts w:hint="cs"/>
          <w:rtl/>
        </w:rPr>
        <w:tab/>
        <w:t>שום דבר מהאמור בתצהירי הצדדים לא יחרוג מגדר העובדות שהמצהירים יכולים להעיד עליהן מידיעתם האישית, ולתצהירים יצורפו אך ורק מסמכים אשר ניתן היה להגישם באמצעות המצהירים אילו היו מוסרים עדותם בעל פה במהלך המשפט.</w:t>
      </w:r>
    </w:p>
    <w:p w:rsidR="00781196" w:rsidP="00781196" w:rsidRDefault="00781196">
      <w:pPr>
        <w:ind w:left="1440" w:hanging="720"/>
        <w:jc w:val="both"/>
        <w:rPr>
          <w:rtl/>
        </w:rPr>
      </w:pPr>
    </w:p>
    <w:p w:rsidR="00781196" w:rsidP="00781196" w:rsidRDefault="00781196">
      <w:pPr>
        <w:spacing w:line="360" w:lineRule="auto"/>
        <w:ind w:left="1440" w:hanging="720"/>
        <w:jc w:val="both"/>
        <w:rPr>
          <w:rtl/>
        </w:rPr>
      </w:pPr>
      <w:r>
        <w:rPr>
          <w:rFonts w:hint="cs"/>
          <w:rtl/>
        </w:rPr>
        <w:t>ה.</w:t>
      </w:r>
      <w:r>
        <w:rPr>
          <w:rFonts w:hint="cs"/>
          <w:rtl/>
        </w:rPr>
        <w:tab/>
        <w:t xml:space="preserve">כל אחד מבעלי הדין ימציא העתק מתצהירי עדיו ומתיק המסמכים </w:t>
      </w:r>
      <w:r>
        <w:rPr>
          <w:rFonts w:hint="cs"/>
          <w:b/>
          <w:bCs/>
          <w:u w:val="single"/>
          <w:rtl/>
        </w:rPr>
        <w:t>ישירות</w:t>
      </w:r>
      <w:r>
        <w:rPr>
          <w:rFonts w:hint="cs"/>
          <w:rtl/>
        </w:rPr>
        <w:t xml:space="preserve"> לבעל הדין האחר.</w:t>
      </w:r>
    </w:p>
    <w:p w:rsidR="00781196" w:rsidP="00781196" w:rsidRDefault="00781196">
      <w:pPr>
        <w:spacing w:line="360" w:lineRule="auto"/>
        <w:ind w:left="1440" w:hanging="720"/>
        <w:jc w:val="both"/>
        <w:rPr>
          <w:rtl/>
        </w:rPr>
      </w:pPr>
    </w:p>
    <w:p w:rsidR="00781196" w:rsidP="00781196" w:rsidRDefault="00781196">
      <w:pPr>
        <w:spacing w:line="360" w:lineRule="auto"/>
        <w:ind w:left="1440" w:hanging="720"/>
        <w:jc w:val="both"/>
        <w:rPr>
          <w:rtl/>
        </w:rPr>
      </w:pPr>
      <w:r>
        <w:rPr>
          <w:rFonts w:hint="cs"/>
          <w:rtl/>
        </w:rPr>
        <w:t>ו.</w:t>
      </w:r>
      <w:r>
        <w:rPr>
          <w:rFonts w:hint="cs"/>
          <w:rtl/>
        </w:rPr>
        <w:tab/>
        <w:t>צד הסבור שבתצהירי הצד שכנגד נכללו הצהרות או שצורפו להם מסמכים, בניגוד לדיני הראיות, יהיה רשאי להגיש התנגדויותיו בכתב בתוך 14 יום מקבלת תצהירי משנהו.</w:t>
      </w:r>
    </w:p>
    <w:p w:rsidR="00781196" w:rsidP="00781196" w:rsidRDefault="00781196">
      <w:pPr>
        <w:spacing w:line="360" w:lineRule="auto"/>
        <w:ind w:left="1440" w:hanging="720"/>
        <w:jc w:val="both"/>
        <w:rPr>
          <w:rtl/>
        </w:rPr>
      </w:pPr>
      <w:r>
        <w:rPr>
          <w:rFonts w:hint="cs"/>
          <w:rtl/>
        </w:rPr>
        <w:tab/>
        <w:t>לא תשמע התנגדות בפתח ישיבת ההוכחות!</w:t>
      </w:r>
    </w:p>
    <w:p w:rsidR="00781196" w:rsidP="00781196" w:rsidRDefault="00781196">
      <w:pPr>
        <w:spacing w:line="360" w:lineRule="auto"/>
        <w:ind w:left="1440" w:hanging="720"/>
        <w:jc w:val="both"/>
      </w:pPr>
    </w:p>
    <w:p w:rsidR="00781196" w:rsidP="00212303" w:rsidRDefault="00781196">
      <w:pPr>
        <w:spacing w:line="360" w:lineRule="auto"/>
        <w:ind w:left="1440" w:hanging="720"/>
        <w:jc w:val="both"/>
        <w:rPr>
          <w:rtl/>
        </w:rPr>
      </w:pPr>
      <w:r>
        <w:rPr>
          <w:rFonts w:hint="cs"/>
          <w:rtl/>
        </w:rPr>
        <w:t>ז.</w:t>
      </w:r>
      <w:r>
        <w:rPr>
          <w:rFonts w:hint="cs"/>
          <w:rtl/>
        </w:rPr>
        <w:tab/>
        <w:t>לא יוגשו ראיות התובע</w:t>
      </w:r>
      <w:r w:rsidR="00212303">
        <w:rPr>
          <w:rFonts w:hint="cs"/>
          <w:rtl/>
        </w:rPr>
        <w:t>ת</w:t>
      </w:r>
      <w:r>
        <w:rPr>
          <w:rFonts w:hint="cs"/>
          <w:rtl/>
        </w:rPr>
        <w:t xml:space="preserve"> במועד – תמחק התביעה. לא יוגשו ראיות הנתבע</w:t>
      </w:r>
      <w:r w:rsidR="00212303">
        <w:rPr>
          <w:rFonts w:hint="cs"/>
          <w:rtl/>
        </w:rPr>
        <w:t>ת</w:t>
      </w:r>
      <w:r>
        <w:rPr>
          <w:rFonts w:hint="cs"/>
          <w:rtl/>
        </w:rPr>
        <w:t xml:space="preserve"> במועד – תינתן מלוא המשמעות הקבועה בתקנה 168(ב) לתקנות סד"א.</w:t>
      </w:r>
    </w:p>
    <w:p w:rsidR="00781196" w:rsidP="00781196" w:rsidRDefault="00781196">
      <w:pPr>
        <w:spacing w:line="360" w:lineRule="auto"/>
        <w:ind w:left="1440" w:hanging="720"/>
        <w:jc w:val="both"/>
        <w:rPr>
          <w:rtl/>
        </w:rPr>
      </w:pPr>
    </w:p>
    <w:p w:rsidR="00781196" w:rsidP="0017096C" w:rsidRDefault="00781196">
      <w:pPr>
        <w:spacing w:line="360" w:lineRule="auto"/>
        <w:ind w:left="720" w:hanging="720"/>
        <w:jc w:val="both"/>
        <w:rPr>
          <w:rtl/>
        </w:rPr>
      </w:pPr>
      <w:r>
        <w:rPr>
          <w:rFonts w:hint="cs"/>
          <w:rtl/>
        </w:rPr>
        <w:t>4.</w:t>
      </w:r>
      <w:r>
        <w:rPr>
          <w:rFonts w:hint="cs"/>
          <w:rtl/>
        </w:rPr>
        <w:tab/>
        <w:t xml:space="preserve">נקבע לקדם משפט ליום  06.11.2018 בשעה </w:t>
      </w:r>
      <w:r w:rsidR="0017096C">
        <w:rPr>
          <w:rFonts w:hint="cs"/>
          <w:rtl/>
        </w:rPr>
        <w:t>08:30</w:t>
      </w:r>
      <w:r>
        <w:rPr>
          <w:rFonts w:hint="cs"/>
          <w:rtl/>
        </w:rPr>
        <w:t xml:space="preserve"> .</w:t>
      </w:r>
    </w:p>
    <w:p w:rsidR="00781196" w:rsidP="00781196" w:rsidRDefault="00781196">
      <w:pPr>
        <w:jc w:val="both"/>
        <w:rPr>
          <w:rtl/>
        </w:rPr>
      </w:pPr>
    </w:p>
    <w:p w:rsidR="00781196" w:rsidP="00781196" w:rsidRDefault="00781196">
      <w:pPr>
        <w:jc w:val="both"/>
        <w:rPr>
          <w:b/>
          <w:bCs/>
          <w:rtl/>
        </w:rPr>
      </w:pPr>
      <w:r>
        <w:rPr>
          <w:rFonts w:hint="cs"/>
          <w:rtl/>
        </w:rPr>
        <w:tab/>
      </w:r>
      <w:r>
        <w:rPr>
          <w:rFonts w:hint="cs"/>
          <w:b/>
          <w:bCs/>
          <w:sz w:val="32"/>
          <w:szCs w:val="32"/>
          <w:rtl/>
        </w:rPr>
        <w:t>על הצדדים להתייצב לדיון עם באי כוחם</w:t>
      </w:r>
      <w:r>
        <w:rPr>
          <w:rFonts w:hint="cs"/>
          <w:b/>
          <w:bCs/>
          <w:rtl/>
        </w:rPr>
        <w:t>!</w:t>
      </w:r>
    </w:p>
    <w:p w:rsidR="00781196" w:rsidP="00781196" w:rsidRDefault="00781196">
      <w:pPr>
        <w:jc w:val="both"/>
        <w:rPr>
          <w:rtl/>
        </w:rPr>
      </w:pPr>
    </w:p>
    <w:p w:rsidR="00781196" w:rsidP="0017096C" w:rsidRDefault="00781196">
      <w:pPr>
        <w:jc w:val="both"/>
        <w:rPr>
          <w:b/>
          <w:bCs/>
          <w:rtl/>
        </w:rPr>
      </w:pPr>
      <w:r>
        <w:rPr>
          <w:rFonts w:hint="cs"/>
          <w:b/>
          <w:bCs/>
          <w:rtl/>
        </w:rPr>
        <w:tab/>
        <w:t>התיק יובא לעיוני ביום 1</w:t>
      </w:r>
      <w:r w:rsidR="0017096C">
        <w:rPr>
          <w:rFonts w:hint="cs"/>
          <w:b/>
          <w:bCs/>
          <w:rtl/>
        </w:rPr>
        <w:t>5</w:t>
      </w:r>
      <w:r>
        <w:rPr>
          <w:rFonts w:hint="cs"/>
          <w:b/>
          <w:bCs/>
          <w:rtl/>
        </w:rPr>
        <w:t>.7.2018.</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A22F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764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e16950ab5dc4387" cstate="print">
                            <a:extLst>
                              <a:ext uri="{28A0092B-C50C-407E-A947-70E740481C1C}"/>
                            </a:extLst>
                          </a:blip>
                          <a:stretch>
                            <a:fillRect/>
                          </a:stretch>
                        </pic:blipFill>
                        <pic:spPr>
                          <a:xfrm>
                            <a:off x="0" y="0"/>
                            <a:ext cx="1676400" cy="828675"/>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A22F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A22F2">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A22F2">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A22F2">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36727-01-18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צ'רלטון בע"מ נ' כרכבי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758"/>
    <w:multiLevelType w:val="hybridMultilevel"/>
    <w:tmpl w:val="C7E06D7A"/>
    <w:lvl w:ilvl="0" w:tplc="6D04B8A2">
      <w:start w:val="1"/>
      <w:numFmt w:val="decimal"/>
      <w:lvlText w:val="%1."/>
      <w:lvlJc w:val="left"/>
      <w:pPr>
        <w:tabs>
          <w:tab w:val="num" w:pos="720"/>
        </w:tabs>
        <w:ind w:left="720" w:hanging="360"/>
      </w:pPr>
      <w:rPr>
        <w:rFonts w:cs="Times New Roman"/>
      </w:rPr>
    </w:lvl>
    <w:lvl w:ilvl="1" w:tplc="AF9A5972">
      <w:start w:val="1"/>
      <w:numFmt w:val="decimal"/>
      <w:lvlText w:val="%2."/>
      <w:lvlJc w:val="left"/>
      <w:pPr>
        <w:tabs>
          <w:tab w:val="num" w:pos="1440"/>
        </w:tabs>
        <w:ind w:left="1440" w:hanging="360"/>
      </w:pPr>
      <w:rPr>
        <w:rFonts w:cs="Times New Roman"/>
      </w:rPr>
    </w:lvl>
    <w:lvl w:ilvl="2" w:tplc="FDC650A0">
      <w:start w:val="1"/>
      <w:numFmt w:val="decimal"/>
      <w:lvlText w:val="%3."/>
      <w:lvlJc w:val="left"/>
      <w:pPr>
        <w:tabs>
          <w:tab w:val="num" w:pos="2160"/>
        </w:tabs>
        <w:ind w:left="2160" w:hanging="360"/>
      </w:pPr>
      <w:rPr>
        <w:rFonts w:cs="Times New Roman"/>
      </w:rPr>
    </w:lvl>
    <w:lvl w:ilvl="3" w:tplc="A2260636">
      <w:start w:val="1"/>
      <w:numFmt w:val="decimal"/>
      <w:lvlText w:val="%4."/>
      <w:lvlJc w:val="left"/>
      <w:pPr>
        <w:tabs>
          <w:tab w:val="num" w:pos="2880"/>
        </w:tabs>
        <w:ind w:left="2880" w:hanging="360"/>
      </w:pPr>
      <w:rPr>
        <w:rFonts w:cs="Times New Roman"/>
      </w:rPr>
    </w:lvl>
    <w:lvl w:ilvl="4" w:tplc="C4AA67CA">
      <w:start w:val="1"/>
      <w:numFmt w:val="decimal"/>
      <w:lvlText w:val="%5."/>
      <w:lvlJc w:val="left"/>
      <w:pPr>
        <w:tabs>
          <w:tab w:val="num" w:pos="3600"/>
        </w:tabs>
        <w:ind w:left="3600" w:hanging="360"/>
      </w:pPr>
      <w:rPr>
        <w:rFonts w:cs="Times New Roman"/>
      </w:rPr>
    </w:lvl>
    <w:lvl w:ilvl="5" w:tplc="486EFFC2">
      <w:start w:val="1"/>
      <w:numFmt w:val="decimal"/>
      <w:lvlText w:val="%6."/>
      <w:lvlJc w:val="left"/>
      <w:pPr>
        <w:tabs>
          <w:tab w:val="num" w:pos="4320"/>
        </w:tabs>
        <w:ind w:left="4320" w:hanging="360"/>
      </w:pPr>
      <w:rPr>
        <w:rFonts w:cs="Times New Roman"/>
      </w:rPr>
    </w:lvl>
    <w:lvl w:ilvl="6" w:tplc="654A337E">
      <w:start w:val="1"/>
      <w:numFmt w:val="decimal"/>
      <w:lvlText w:val="%7."/>
      <w:lvlJc w:val="left"/>
      <w:pPr>
        <w:tabs>
          <w:tab w:val="num" w:pos="5040"/>
        </w:tabs>
        <w:ind w:left="5040" w:hanging="360"/>
      </w:pPr>
      <w:rPr>
        <w:rFonts w:cs="Times New Roman"/>
      </w:rPr>
    </w:lvl>
    <w:lvl w:ilvl="7" w:tplc="C57807F2">
      <w:start w:val="1"/>
      <w:numFmt w:val="decimal"/>
      <w:lvlText w:val="%8."/>
      <w:lvlJc w:val="left"/>
      <w:pPr>
        <w:tabs>
          <w:tab w:val="num" w:pos="5760"/>
        </w:tabs>
        <w:ind w:left="5760" w:hanging="360"/>
      </w:pPr>
      <w:rPr>
        <w:rFonts w:cs="Times New Roman"/>
      </w:rPr>
    </w:lvl>
    <w:lvl w:ilvl="8" w:tplc="3F90C636">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7096C"/>
    <w:rsid w:val="00180519"/>
    <w:rsid w:val="00191C82"/>
    <w:rsid w:val="001A22F2"/>
    <w:rsid w:val="001C4003"/>
    <w:rsid w:val="001D4DBF"/>
    <w:rsid w:val="001E75CA"/>
    <w:rsid w:val="00212303"/>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81196"/>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45287"/>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62C421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014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7e16950ab5dc438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F3DA5" w:rsidP="005F3DA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F3DA5" w:rsidP="005F3DA5">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F3DA5"/>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3DA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F3DA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F3DA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337</Words>
  <Characters>1689</Characters>
  <Application>Microsoft Office Word</Application>
  <DocSecurity>0</DocSecurity>
  <Lines>14</Lines>
  <Paragraphs>4</Paragraphs>
  <ScaleCrop>false</ScaleCrop>
  <Company>Microsoft Corporation</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סיגלית גץ-אופיר</cp:lastModifiedBy>
  <cp:revision>118</cp:revision>
  <dcterms:created xsi:type="dcterms:W3CDTF">2012-08-06T05:16:00Z</dcterms:created>
  <dcterms:modified xsi:type="dcterms:W3CDTF">2018-04-11T11:34:00Z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