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3</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עידו כפכפי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103C87" w:rsidP="004D6A71" w:rsidRDefault="00E60DCE">
            <w:pPr>
              <w:suppressLineNumbers/>
              <w:rPr>
                <w:rFonts w:ascii="Arial" w:hAnsi="Arial"/>
                <w:b/>
                <w:bCs/>
                <w:noProof w:val="0"/>
                <w:sz w:val="26"/>
                <w:szCs w:val="26"/>
                <w:rtl/>
              </w:rPr>
            </w:pPr>
            <w:sdt>
              <w:sdtPr>
                <w:rPr>
                  <w:rtl/>
                </w:rPr>
                <w:alias w:val="1180"/>
                <w:tag w:val="1180"/>
                <w:id w:val="637458750"/>
                <w:text w:multiLine="1"/>
              </w:sdtPr>
              <w:sdtEndPr/>
              <w:sdtContent>
                <w:r>
                  <w:rPr>
                    <w:rFonts w:ascii="Arial" w:hAnsi="Arial"/>
                    <w:b/>
                    <w:bCs/>
                    <w:noProof w:val="0"/>
                    <w:sz w:val="26"/>
                    <w:szCs w:val="26"/>
                    <w:rtl/>
                  </w:rPr>
                  <w:t>מבקש</w:t>
                </w:r>
                <w:r w:rsidR="004D6A71">
                  <w:rPr>
                    <w:rFonts w:hint="cs" w:ascii="Arial" w:hAnsi="Arial"/>
                    <w:b/>
                    <w:bCs/>
                    <w:noProof w:val="0"/>
                    <w:sz w:val="26"/>
                    <w:szCs w:val="26"/>
                    <w:rtl/>
                  </w:rPr>
                  <w:t>ת</w:t>
                </w:r>
              </w:sdtContent>
            </w:sdt>
            <w:r w:rsidR="004D6A71">
              <w:rPr>
                <w:rFonts w:hint="cs" w:ascii="Arial" w:hAnsi="Arial"/>
                <w:b/>
                <w:bCs/>
                <w:noProof w:val="0"/>
                <w:sz w:val="26"/>
                <w:szCs w:val="26"/>
                <w:rtl/>
              </w:rPr>
              <w:t>/נתבעת</w:t>
            </w:r>
          </w:p>
        </w:tc>
        <w:tc>
          <w:tcPr>
            <w:tcW w:w="5571" w:type="dxa"/>
            <w:gridSpan w:val="2"/>
          </w:tcPr>
          <w:p w:rsidR="0094424E" w:rsidP="00D44968" w:rsidRDefault="00E60DC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מטרולייט בע"מ</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4D6A71" w:rsidRDefault="00E60DCE">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4D6A71">
                  <w:rPr>
                    <w:rFonts w:hint="cs" w:ascii="Arial" w:hAnsi="Arial"/>
                    <w:b/>
                    <w:bCs/>
                    <w:noProof w:val="0"/>
                    <w:sz w:val="26"/>
                    <w:szCs w:val="26"/>
                    <w:rtl/>
                  </w:rPr>
                  <w:t>ה/תובעת</w:t>
                </w:r>
              </w:sdtContent>
            </w:sdt>
          </w:p>
        </w:tc>
        <w:tc>
          <w:tcPr>
            <w:tcW w:w="5571" w:type="dxa"/>
            <w:gridSpan w:val="2"/>
          </w:tcPr>
          <w:p w:rsidR="0094424E" w:rsidP="00D44968" w:rsidRDefault="00E60DCE">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א.כ.לדיטק בע"מ</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rPr>
                <w:rtl/>
              </w:rPr>
            </w:pPr>
          </w:p>
        </w:tc>
      </w:tr>
      <w:tr w:rsidR="00CF6BB7">
        <w:trPr>
          <w:jc w:val="center"/>
        </w:trPr>
        <w:tc>
          <w:tcPr>
            <w:tcW w:w="3249" w:type="dxa"/>
            <w:gridSpan w:val="2"/>
          </w:tcPr>
          <w:p w:rsidR="00103C87" w:rsidRDefault="00103C87">
            <w:pPr>
              <w:rPr>
                <w:rFonts w:ascii="David" w:hAnsi="David" w:eastAsia="David"/>
                <w:noProof w:val="0"/>
              </w:rPr>
            </w:pPr>
          </w:p>
        </w:tc>
        <w:tc>
          <w:tcPr>
            <w:tcW w:w="5571" w:type="dxa"/>
            <w:gridSpan w:val="2"/>
          </w:tcPr>
          <w:p w:rsidR="00CF6BB7" w:rsidP="00CF6BB7" w:rsidRDefault="00CF6BB7">
            <w:pPr>
              <w:rPr>
                <w:rFonts w:cs="Times New Roman"/>
              </w:rPr>
            </w:pPr>
          </w:p>
        </w:tc>
      </w:tr>
      <w:tr w:rsidR="004C17EE" w:rsidTr="004D6A71">
        <w:trPr>
          <w:trHeight w:val="80"/>
          <w:jc w:val="center"/>
        </w:trPr>
        <w:tc>
          <w:tcPr>
            <w:tcW w:w="8820" w:type="dxa"/>
            <w:gridSpan w:val="4"/>
          </w:tcPr>
          <w:p w:rsidR="00103C87" w:rsidRDefault="00103C8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4D6A71" w:rsidRDefault="004D6A71">
      <w:pPr>
        <w:spacing w:line="360" w:lineRule="auto"/>
        <w:ind w:left="720" w:hanging="720"/>
        <w:jc w:val="both"/>
        <w:rPr>
          <w:rFonts w:ascii="Arial" w:hAnsi="Arial"/>
          <w:noProof w:val="0"/>
          <w:rtl/>
        </w:rPr>
      </w:pPr>
      <w:bookmarkStart w:name="NGCSBookmark" w:id="0"/>
      <w:bookmarkEnd w:id="0"/>
      <w:r>
        <w:rPr>
          <w:rFonts w:hint="cs" w:ascii="Arial" w:hAnsi="Arial"/>
          <w:noProof w:val="0"/>
          <w:rtl/>
        </w:rPr>
        <w:t>1.</w:t>
      </w:r>
      <w:r>
        <w:rPr>
          <w:rFonts w:hint="cs" w:ascii="Arial" w:hAnsi="Arial"/>
          <w:noProof w:val="0"/>
          <w:rtl/>
        </w:rPr>
        <w:tab/>
        <w:t>המבקשת כנגדה הוגשה תביעה בסך של כ- 160,000 ₪ בטענה כי קיבלה תשלום עבור בקרים חשמליים שלא סופקו למשיבה, הגישה בקשה לחיוב המשיבה בהפקדת ערובה להוצאותיה.</w:t>
      </w:r>
    </w:p>
    <w:p w:rsidR="004D6A71" w:rsidP="004D6A71" w:rsidRDefault="004D6A71">
      <w:pPr>
        <w:spacing w:line="360" w:lineRule="auto"/>
        <w:ind w:left="720" w:hanging="720"/>
        <w:jc w:val="both"/>
        <w:rPr>
          <w:rFonts w:ascii="Arial" w:hAnsi="Arial"/>
          <w:noProof w:val="0"/>
          <w:rtl/>
        </w:rPr>
      </w:pPr>
    </w:p>
    <w:p w:rsidR="004D6A71" w:rsidP="008805B4" w:rsidRDefault="004D6A7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הבקשה נסמכת על סעיף 353א לחוק החברות ועל הטענה כי עת שילמה לה המשיבה הסבירה כי מגייסת כספים לצורך כך. המשיבה מתנגדת לבקשה בטענה כי תביעתה מוצקה והמבקשת מנסה להכביד על בירור ההליך בבקשות שונות, שעה שקיבלה את כל התמורה ולא סיפקה סחורה.</w:t>
      </w:r>
      <w:r w:rsidR="008805B4">
        <w:rPr>
          <w:rFonts w:hint="cs" w:ascii="Arial" w:hAnsi="Arial"/>
          <w:noProof w:val="0"/>
          <w:rtl/>
        </w:rPr>
        <w:t xml:space="preserve"> לכן נטען כי נסיבות העניין אינן מצדיקות חיוב בערובה. כמו כן טענה כי הוכיחה את איתנותה הכלכלית בכך ש</w:t>
      </w:r>
      <w:r>
        <w:rPr>
          <w:rFonts w:hint="cs" w:ascii="Arial" w:hAnsi="Arial"/>
          <w:noProof w:val="0"/>
          <w:rtl/>
        </w:rPr>
        <w:t>צירפה לתגובתה דו"ח כלכלי המעיד כי אין תיעוד כנגדה על חובות ואי תשלום לספקים וכי מניותיה מוחזקות בחציין על ידי חברה בורסאית יציבה, אלמור</w:t>
      </w:r>
      <w:r w:rsidR="008805B4">
        <w:rPr>
          <w:rFonts w:hint="cs" w:ascii="Arial" w:hAnsi="Arial"/>
          <w:noProof w:val="0"/>
          <w:rtl/>
        </w:rPr>
        <w:t xml:space="preserve"> חשמל התקנות ושירותים בע"מ. כן צירפה אישור רו"ח על יציבות החברה ואישור סניף הבנק כי החשבון מנוהל לשביעות רצונו.</w:t>
      </w:r>
    </w:p>
    <w:p w:rsidR="008805B4" w:rsidP="004D6A71" w:rsidRDefault="008805B4">
      <w:pPr>
        <w:spacing w:line="360" w:lineRule="auto"/>
        <w:ind w:left="720" w:hanging="720"/>
        <w:jc w:val="both"/>
        <w:rPr>
          <w:rFonts w:ascii="Arial" w:hAnsi="Arial"/>
          <w:noProof w:val="0"/>
          <w:rtl/>
        </w:rPr>
      </w:pPr>
    </w:p>
    <w:p w:rsidR="008805B4" w:rsidP="004D6A71" w:rsidRDefault="008805B4">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בתשובת המבקשת אין התייחסות לתיעוד שצורף לתגובה ולא נטען כי יש חשש ממשי כי המבקשת לא תוכל לעמוד בהוצאות ההליך, אם ייפסקו לחובתה.</w:t>
      </w:r>
    </w:p>
    <w:p w:rsidR="004D6A71" w:rsidRDefault="004D6A71">
      <w:pPr>
        <w:spacing w:line="360" w:lineRule="auto"/>
        <w:jc w:val="both"/>
        <w:rPr>
          <w:rFonts w:ascii="Arial" w:hAnsi="Arial"/>
          <w:noProof w:val="0"/>
          <w:rtl/>
        </w:rPr>
      </w:pPr>
    </w:p>
    <w:p w:rsidRPr="004D6A71" w:rsidR="004D6A71" w:rsidP="008805B4" w:rsidRDefault="008805B4">
      <w:pPr>
        <w:spacing w:line="360" w:lineRule="auto"/>
        <w:ind w:left="720" w:hanging="720"/>
        <w:jc w:val="both"/>
        <w:rPr>
          <w:rFonts w:ascii="Arial" w:hAnsi="Arial"/>
          <w:noProof w:val="0"/>
        </w:rPr>
      </w:pPr>
      <w:r>
        <w:rPr>
          <w:rFonts w:hint="cs" w:ascii="Arial" w:hAnsi="Arial"/>
          <w:noProof w:val="0"/>
          <w:rtl/>
        </w:rPr>
        <w:t>2.</w:t>
      </w:r>
      <w:r>
        <w:rPr>
          <w:rFonts w:hint="cs" w:ascii="Arial" w:hAnsi="Arial"/>
          <w:noProof w:val="0"/>
          <w:rtl/>
        </w:rPr>
        <w:tab/>
      </w:r>
      <w:r w:rsidRPr="004D6A71" w:rsidR="004D6A71">
        <w:rPr>
          <w:rFonts w:ascii="Arial" w:hAnsi="Arial"/>
          <w:noProof w:val="0"/>
          <w:rtl/>
        </w:rPr>
        <w:t xml:space="preserve">בבר"ע 10905/07 נאות אואזיס מלונות בע"מ נ' מרדכי (מוטי) זיסר, 13.7.08 קבע כב' השופט א' גרוניס כי הכלל </w:t>
      </w:r>
      <w:r w:rsidRPr="008805B4" w:rsidR="004D6A71">
        <w:rPr>
          <w:rFonts w:ascii="Arial" w:hAnsi="Arial"/>
          <w:noProof w:val="0"/>
          <w:rtl/>
        </w:rPr>
        <w:t xml:space="preserve">הנגזר מהוראות </w:t>
      </w:r>
      <w:hyperlink w:history="1" r:id="rId9">
        <w:r w:rsidRPr="008805B4" w:rsidR="004D6A71">
          <w:rPr>
            <w:rStyle w:val="Hyperlink"/>
            <w:rFonts w:ascii="Arial" w:hAnsi="Arial"/>
            <w:noProof w:val="0"/>
            <w:u w:val="none"/>
            <w:rtl/>
          </w:rPr>
          <w:t>סעיף 353א</w:t>
        </w:r>
      </w:hyperlink>
      <w:r w:rsidRPr="008805B4" w:rsidR="004D6A71">
        <w:rPr>
          <w:rFonts w:ascii="Arial" w:hAnsi="Arial"/>
          <w:noProof w:val="0"/>
          <w:rtl/>
        </w:rPr>
        <w:t xml:space="preserve"> ל</w:t>
      </w:r>
      <w:hyperlink w:history="1" r:id="rId10">
        <w:r w:rsidRPr="008805B4" w:rsidR="004D6A71">
          <w:rPr>
            <w:rStyle w:val="Hyperlink"/>
            <w:rFonts w:ascii="Arial" w:hAnsi="Arial"/>
            <w:noProof w:val="0"/>
            <w:u w:val="none"/>
            <w:rtl/>
          </w:rPr>
          <w:t>חוק החברות</w:t>
        </w:r>
      </w:hyperlink>
      <w:r w:rsidRPr="008805B4" w:rsidR="004D6A71">
        <w:rPr>
          <w:rFonts w:ascii="Arial" w:hAnsi="Arial"/>
          <w:noProof w:val="0"/>
          <w:rtl/>
        </w:rPr>
        <w:t xml:space="preserve"> הוא כי חברה התובעת מחויבת להפקיד, לפי בקשת הנתבע, ערובה להוצאות. חזקה זו ניתנת לסתירה</w:t>
      </w:r>
      <w:r w:rsidRPr="004D6A71" w:rsidR="004D6A71">
        <w:rPr>
          <w:rFonts w:ascii="Arial" w:hAnsi="Arial"/>
          <w:noProof w:val="0"/>
          <w:rtl/>
        </w:rPr>
        <w:t xml:space="preserve"> אם הוכיחה התובעת כי באפשרותה לשלם הוצאות ההליך או אם נסיבות העניין אינן מצדיקות את חיוב החברה </w:t>
      </w:r>
      <w:r w:rsidRPr="004D6A71" w:rsidR="004D6A71">
        <w:rPr>
          <w:rFonts w:ascii="Arial" w:hAnsi="Arial"/>
          <w:noProof w:val="0"/>
          <w:rtl/>
        </w:rPr>
        <w:lastRenderedPageBreak/>
        <w:t xml:space="preserve">בערובה. בשיקול השני יובאו בחשבון סיכויי התביעה, האם הבקשה לחיוב בערובה נועדה למנוע תביעה אמיתית של החברה וכן תרומת הנתבע למצבה הכספי של החברה. </w:t>
      </w:r>
    </w:p>
    <w:p w:rsidRPr="008805B4" w:rsidR="004D6A71" w:rsidP="004D6A71" w:rsidRDefault="004D6A71">
      <w:pPr>
        <w:spacing w:line="360" w:lineRule="auto"/>
        <w:jc w:val="both"/>
        <w:rPr>
          <w:rFonts w:ascii="Arial" w:hAnsi="Arial"/>
          <w:noProof w:val="0"/>
          <w:rtl/>
        </w:rPr>
      </w:pPr>
    </w:p>
    <w:p w:rsidRPr="008805B4" w:rsidR="004D6A71" w:rsidP="008805B4" w:rsidRDefault="004D6A71">
      <w:pPr>
        <w:spacing w:line="360" w:lineRule="auto"/>
        <w:ind w:left="720"/>
        <w:jc w:val="both"/>
        <w:rPr>
          <w:rFonts w:ascii="Arial" w:hAnsi="Arial"/>
          <w:noProof w:val="0"/>
          <w:rtl/>
        </w:rPr>
      </w:pPr>
      <w:r w:rsidRPr="008805B4">
        <w:rPr>
          <w:rFonts w:ascii="Arial" w:hAnsi="Arial"/>
          <w:noProof w:val="0"/>
          <w:rtl/>
        </w:rPr>
        <w:t>ב</w:t>
      </w:r>
      <w:hyperlink w:history="1" r:id="rId11">
        <w:r w:rsidRPr="008805B4">
          <w:rPr>
            <w:rStyle w:val="Hyperlink"/>
            <w:rFonts w:ascii="Arial" w:hAnsi="Arial"/>
            <w:noProof w:val="0"/>
            <w:u w:val="none"/>
            <w:rtl/>
          </w:rPr>
          <w:t>רע"א 10376/07</w:t>
        </w:r>
      </w:hyperlink>
      <w:r w:rsidRPr="008805B4">
        <w:rPr>
          <w:rFonts w:ascii="Arial" w:hAnsi="Arial"/>
          <w:noProof w:val="0"/>
          <w:rtl/>
        </w:rPr>
        <w:t xml:space="preserve"> ל.נ. הנדסה ממוחשבת בע"מ נ' בנק הפועלים בע"מ, 11.2.09 חידד כב' השופט ח' מלצר, את היחס בין </w:t>
      </w:r>
      <w:hyperlink w:history="1" r:id="rId12">
        <w:r w:rsidRPr="008805B4">
          <w:rPr>
            <w:rStyle w:val="Hyperlink"/>
            <w:rFonts w:ascii="Arial" w:hAnsi="Arial"/>
            <w:noProof w:val="0"/>
            <w:u w:val="none"/>
            <w:rtl/>
          </w:rPr>
          <w:t>סעיף 353א</w:t>
        </w:r>
      </w:hyperlink>
      <w:r w:rsidRPr="008805B4">
        <w:rPr>
          <w:rFonts w:ascii="Arial" w:hAnsi="Arial"/>
          <w:noProof w:val="0"/>
          <w:rtl/>
        </w:rPr>
        <w:t xml:space="preserve"> ל</w:t>
      </w:r>
      <w:hyperlink w:history="1" r:id="rId13">
        <w:r w:rsidRPr="008805B4">
          <w:rPr>
            <w:rStyle w:val="Hyperlink"/>
            <w:rFonts w:ascii="Arial" w:hAnsi="Arial"/>
            <w:noProof w:val="0"/>
            <w:u w:val="none"/>
            <w:rtl/>
          </w:rPr>
          <w:t>חוק החברות</w:t>
        </w:r>
      </w:hyperlink>
      <w:r w:rsidRPr="008805B4">
        <w:rPr>
          <w:rFonts w:ascii="Arial" w:hAnsi="Arial"/>
          <w:noProof w:val="0"/>
          <w:rtl/>
        </w:rPr>
        <w:t xml:space="preserve"> </w:t>
      </w:r>
      <w:hyperlink w:history="1" r:id="rId14">
        <w:r w:rsidRPr="008805B4">
          <w:rPr>
            <w:rStyle w:val="Hyperlink"/>
            <w:rFonts w:ascii="Arial" w:hAnsi="Arial"/>
            <w:noProof w:val="0"/>
            <w:u w:val="none"/>
            <w:rtl/>
          </w:rPr>
          <w:t>לתקנה 519</w:t>
        </w:r>
      </w:hyperlink>
      <w:r w:rsidRPr="008805B4">
        <w:rPr>
          <w:rFonts w:ascii="Arial" w:hAnsi="Arial"/>
          <w:noProof w:val="0"/>
          <w:rtl/>
        </w:rPr>
        <w:t xml:space="preserve"> ל</w:t>
      </w:r>
      <w:hyperlink w:history="1" r:id="rId15">
        <w:r w:rsidRPr="008805B4">
          <w:rPr>
            <w:rStyle w:val="Hyperlink"/>
            <w:rFonts w:ascii="Arial" w:hAnsi="Arial"/>
            <w:noProof w:val="0"/>
            <w:u w:val="none"/>
            <w:rtl/>
          </w:rPr>
          <w:t>תקנות סדר הדין האזרחי</w:t>
        </w:r>
      </w:hyperlink>
      <w:r w:rsidRPr="008805B4">
        <w:rPr>
          <w:rFonts w:ascii="Arial" w:hAnsi="Arial"/>
          <w:noProof w:val="0"/>
          <w:rtl/>
        </w:rPr>
        <w:t xml:space="preserve"> תוך מתן דגש לזכות הגישה לערכאות ביישום ובקביעת שיעור הערובה בנסיבות כל עניין ועניין. </w:t>
      </w:r>
    </w:p>
    <w:p w:rsidRPr="008805B4" w:rsidR="004D6A71" w:rsidP="004D6A71" w:rsidRDefault="004D6A71">
      <w:pPr>
        <w:spacing w:line="360" w:lineRule="auto"/>
        <w:jc w:val="both"/>
        <w:rPr>
          <w:rFonts w:ascii="Arial" w:hAnsi="Arial"/>
          <w:noProof w:val="0"/>
          <w:rtl/>
        </w:rPr>
      </w:pPr>
    </w:p>
    <w:p w:rsidRPr="004D6A71" w:rsidR="004D6A71" w:rsidP="008805B4" w:rsidRDefault="004D6A71">
      <w:pPr>
        <w:spacing w:line="360" w:lineRule="auto"/>
        <w:ind w:left="720"/>
        <w:jc w:val="both"/>
        <w:rPr>
          <w:rFonts w:ascii="Arial" w:hAnsi="Arial"/>
          <w:noProof w:val="0"/>
          <w:rtl/>
        </w:rPr>
      </w:pPr>
      <w:r w:rsidRPr="004D6A71">
        <w:rPr>
          <w:rFonts w:ascii="Arial" w:hAnsi="Arial"/>
          <w:noProof w:val="0"/>
          <w:rtl/>
        </w:rPr>
        <w:t xml:space="preserve">מהוראות </w:t>
      </w:r>
      <w:hyperlink w:history="1" r:id="rId16">
        <w:r w:rsidRPr="004D6A71">
          <w:rPr>
            <w:rStyle w:val="Hyperlink"/>
            <w:rFonts w:ascii="Arial" w:hAnsi="Arial"/>
            <w:noProof w:val="0"/>
            <w:rtl/>
          </w:rPr>
          <w:t>חוק החברות</w:t>
        </w:r>
      </w:hyperlink>
      <w:r w:rsidRPr="004D6A71">
        <w:rPr>
          <w:rFonts w:ascii="Arial" w:hAnsi="Arial"/>
          <w:noProof w:val="0"/>
          <w:rtl/>
        </w:rPr>
        <w:t xml:space="preserve"> ופרשנותו עולה כי אין חולק כי ההוראות המהותיות ביחס לחיוב החברה בערובה להוצאות מחייבות ככלל הטלת ערובה, אלא אם עמדה החברה בנטל להוכיח כי נסיבות העניין או יכולתה הכלכלית מצדיקות לה</w:t>
      </w:r>
      <w:r w:rsidR="008805B4">
        <w:rPr>
          <w:rFonts w:hint="cs" w:ascii="Arial" w:hAnsi="Arial"/>
          <w:noProof w:val="0"/>
          <w:rtl/>
        </w:rPr>
        <w:t>י</w:t>
      </w:r>
      <w:r w:rsidRPr="004D6A71">
        <w:rPr>
          <w:rFonts w:ascii="Arial" w:hAnsi="Arial"/>
          <w:noProof w:val="0"/>
          <w:rtl/>
        </w:rPr>
        <w:t>מנע מהטלת ערובה כאמור. בבחינת החריגים, נעזרים בכלי הדיוני של הטלת ה</w:t>
      </w:r>
      <w:r w:rsidR="008805B4">
        <w:rPr>
          <w:rFonts w:hint="cs" w:ascii="Arial" w:hAnsi="Arial"/>
          <w:noProof w:val="0"/>
          <w:rtl/>
        </w:rPr>
        <w:t>ערובה</w:t>
      </w:r>
      <w:r w:rsidRPr="004D6A71">
        <w:rPr>
          <w:rFonts w:ascii="Arial" w:hAnsi="Arial"/>
          <w:noProof w:val="0"/>
          <w:rtl/>
        </w:rPr>
        <w:t xml:space="preserve"> בהוצאות, </w:t>
      </w:r>
      <w:hyperlink w:history="1" r:id="rId17">
        <w:r w:rsidRPr="004D6A71">
          <w:rPr>
            <w:rStyle w:val="Hyperlink"/>
            <w:rFonts w:ascii="Arial" w:hAnsi="Arial"/>
            <w:noProof w:val="0"/>
            <w:rtl/>
          </w:rPr>
          <w:t>תקנה 519</w:t>
        </w:r>
      </w:hyperlink>
      <w:r w:rsidRPr="004D6A71">
        <w:rPr>
          <w:rFonts w:ascii="Arial" w:hAnsi="Arial"/>
          <w:noProof w:val="0"/>
          <w:rtl/>
        </w:rPr>
        <w:t xml:space="preserve"> ל</w:t>
      </w:r>
      <w:hyperlink w:history="1" r:id="rId18">
        <w:r w:rsidRPr="004D6A71">
          <w:rPr>
            <w:rStyle w:val="Hyperlink"/>
            <w:rFonts w:ascii="Arial" w:hAnsi="Arial"/>
            <w:noProof w:val="0"/>
            <w:rtl/>
          </w:rPr>
          <w:t>תקנות סדר הדין האזרחי</w:t>
        </w:r>
      </w:hyperlink>
      <w:r w:rsidRPr="004D6A71">
        <w:rPr>
          <w:rFonts w:ascii="Arial" w:hAnsi="Arial"/>
          <w:noProof w:val="0"/>
          <w:rtl/>
        </w:rPr>
        <w:t>, ופרשנותה. סיכויי ההליך ישפיעו רק במקרי הקיצון, קרי אם סיכויי התביעה טובים מאוד או גרועים מאוד. עם זאת, עיון בפסיקת בית המשפט העליון מלמד כי גם בתביעות בסכום משמעותי, סכום הערובה נקבע באופן מתון בדרך כלל נוכח מעמדה של זכות הגישה לערכאות.</w:t>
      </w:r>
    </w:p>
    <w:p w:rsidRPr="004D6A71" w:rsidR="004D6A71" w:rsidP="004D6A71" w:rsidRDefault="004D6A71">
      <w:pPr>
        <w:spacing w:line="360" w:lineRule="auto"/>
        <w:jc w:val="both"/>
        <w:rPr>
          <w:rFonts w:ascii="Arial" w:hAnsi="Arial"/>
          <w:noProof w:val="0"/>
          <w:rtl/>
        </w:rPr>
      </w:pPr>
    </w:p>
    <w:p w:rsidR="004D6A71" w:rsidP="008862BE" w:rsidRDefault="004D6A71">
      <w:pPr>
        <w:spacing w:line="360" w:lineRule="auto"/>
        <w:ind w:left="720" w:hanging="720"/>
        <w:jc w:val="both"/>
        <w:rPr>
          <w:rFonts w:hint="cs" w:ascii="Arial" w:hAnsi="Arial"/>
          <w:noProof w:val="0"/>
          <w:rtl/>
        </w:rPr>
      </w:pPr>
      <w:r w:rsidRPr="004D6A71">
        <w:rPr>
          <w:rFonts w:ascii="Arial" w:hAnsi="Arial"/>
          <w:noProof w:val="0"/>
          <w:rtl/>
        </w:rPr>
        <w:t>3.</w:t>
      </w:r>
      <w:r w:rsidRPr="004D6A71">
        <w:rPr>
          <w:rFonts w:ascii="Arial" w:hAnsi="Arial"/>
          <w:noProof w:val="0"/>
          <w:rtl/>
        </w:rPr>
        <w:tab/>
        <w:t xml:space="preserve">במקרה הנדון </w:t>
      </w:r>
      <w:r w:rsidR="008805B4">
        <w:rPr>
          <w:rFonts w:hint="cs" w:ascii="Arial" w:hAnsi="Arial"/>
          <w:noProof w:val="0"/>
          <w:rtl/>
        </w:rPr>
        <w:t xml:space="preserve">מדובר בסכסוך מסחרי בין שתי חברות. בנסיבות אלו יש לבחון בזהירות את הצורך בשינוי האיזון בין הצדדים בדרך של ערובה להוצאות. סכום התביעה אינו גבוה יחסית לעיסוק הצדדים </w:t>
      </w:r>
      <w:r w:rsidR="008862BE">
        <w:rPr>
          <w:rFonts w:hint="cs" w:ascii="Arial" w:hAnsi="Arial"/>
          <w:noProof w:val="0"/>
          <w:rtl/>
        </w:rPr>
        <w:t xml:space="preserve">והטענות בכתב התביעה מגלות עילה ברורה של תשלום התמורה וקבלת רק חלק מהסחורה בגינה שולם הסכום. בחינת טענות ההגנה, בשלב מקדמי זה, מלמד על קושי לעקוב אחר ההגיון הפנימי של הטענות ולא הובהרה דיה הטענה הפשוטה האם סופק כל הציוד בגינו שולמה התמורה ואם לא מדוע לא. הטענות מנוסחות באופן מסורבל ויש חשש כי </w:t>
      </w:r>
      <w:r w:rsidRPr="004D6A71">
        <w:rPr>
          <w:rFonts w:ascii="Arial" w:hAnsi="Arial"/>
          <w:noProof w:val="0"/>
          <w:rtl/>
        </w:rPr>
        <w:t xml:space="preserve">מדובר במקרה </w:t>
      </w:r>
      <w:r w:rsidR="008862BE">
        <w:rPr>
          <w:rFonts w:hint="cs" w:ascii="Arial" w:hAnsi="Arial"/>
          <w:noProof w:val="0"/>
          <w:rtl/>
        </w:rPr>
        <w:t>בו</w:t>
      </w:r>
      <w:r w:rsidRPr="004D6A71">
        <w:rPr>
          <w:rFonts w:ascii="Arial" w:hAnsi="Arial"/>
          <w:noProof w:val="0"/>
          <w:rtl/>
        </w:rPr>
        <w:t xml:space="preserve"> נגרם עוול לתובע</w:t>
      </w:r>
      <w:r w:rsidR="008862BE">
        <w:rPr>
          <w:rFonts w:hint="cs" w:ascii="Arial" w:hAnsi="Arial"/>
          <w:noProof w:val="0"/>
          <w:rtl/>
        </w:rPr>
        <w:t>ת</w:t>
      </w:r>
      <w:r w:rsidRPr="004D6A71">
        <w:rPr>
          <w:rFonts w:ascii="Arial" w:hAnsi="Arial"/>
          <w:noProof w:val="0"/>
          <w:rtl/>
        </w:rPr>
        <w:t xml:space="preserve"> על ידי הנתבע</w:t>
      </w:r>
      <w:r w:rsidR="008862BE">
        <w:rPr>
          <w:rFonts w:hint="cs" w:ascii="Arial" w:hAnsi="Arial"/>
          <w:noProof w:val="0"/>
          <w:rtl/>
        </w:rPr>
        <w:t>ת</w:t>
      </w:r>
      <w:r w:rsidRPr="004D6A71">
        <w:rPr>
          <w:rFonts w:ascii="Arial" w:hAnsi="Arial"/>
          <w:noProof w:val="0"/>
          <w:rtl/>
        </w:rPr>
        <w:t xml:space="preserve"> אשר מנסה למנוע הגשת תביעה כנגד</w:t>
      </w:r>
      <w:r w:rsidR="008862BE">
        <w:rPr>
          <w:rFonts w:hint="cs" w:ascii="Arial" w:hAnsi="Arial"/>
          <w:noProof w:val="0"/>
          <w:rtl/>
        </w:rPr>
        <w:t>ה, או לסרבל ניהולה,</w:t>
      </w:r>
      <w:r w:rsidRPr="004D6A71">
        <w:rPr>
          <w:rFonts w:ascii="Arial" w:hAnsi="Arial"/>
          <w:noProof w:val="0"/>
          <w:rtl/>
        </w:rPr>
        <w:t xml:space="preserve"> על ידי דרישה לחיוב בערובה להוצאות.</w:t>
      </w:r>
      <w:r w:rsidR="008862BE">
        <w:rPr>
          <w:rFonts w:hint="cs" w:ascii="Arial" w:hAnsi="Arial"/>
          <w:noProof w:val="0"/>
          <w:rtl/>
        </w:rPr>
        <w:t xml:space="preserve"> התרשמות זו עולה גם מההתעקשות על שאלת הסמכות המקומית.</w:t>
      </w:r>
    </w:p>
    <w:p w:rsidR="008862BE" w:rsidP="008862BE" w:rsidRDefault="008862BE">
      <w:pPr>
        <w:spacing w:line="360" w:lineRule="auto"/>
        <w:ind w:left="720" w:hanging="720"/>
        <w:jc w:val="both"/>
        <w:rPr>
          <w:rFonts w:ascii="Arial" w:hAnsi="Arial"/>
          <w:noProof w:val="0"/>
          <w:rtl/>
        </w:rPr>
      </w:pPr>
    </w:p>
    <w:p w:rsidR="008862BE" w:rsidP="008862BE" w:rsidRDefault="008862BE">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על כן מצאתי כי נסיבות העניין אינן מצדיקות הפקדת ערובה להוצאות.</w:t>
      </w:r>
    </w:p>
    <w:p w:rsidR="008862BE" w:rsidP="008862BE" w:rsidRDefault="008862BE">
      <w:pPr>
        <w:spacing w:line="360" w:lineRule="auto"/>
        <w:ind w:left="720" w:hanging="720"/>
        <w:jc w:val="both"/>
        <w:rPr>
          <w:rFonts w:ascii="Arial" w:hAnsi="Arial"/>
          <w:noProof w:val="0"/>
          <w:rtl/>
        </w:rPr>
      </w:pPr>
    </w:p>
    <w:p w:rsidR="0004560C" w:rsidP="0004560C" w:rsidRDefault="008862BE">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יתרה מכך, ה</w:t>
      </w:r>
      <w:r w:rsidR="0004560C">
        <w:rPr>
          <w:rFonts w:hint="cs" w:ascii="Arial" w:hAnsi="Arial"/>
          <w:noProof w:val="0"/>
          <w:rtl/>
        </w:rPr>
        <w:t>תובעת</w:t>
      </w:r>
      <w:r>
        <w:rPr>
          <w:rFonts w:hint="cs" w:ascii="Arial" w:hAnsi="Arial"/>
          <w:noProof w:val="0"/>
          <w:rtl/>
        </w:rPr>
        <w:t xml:space="preserve"> עמדה בנטל להוכיח כי תוכל לשלם את הוצאות ההליך, אם ייפסקו. מדובר בהליך לא מורכב במיוחד ושיעור ההוצאות הינו בגבולות של עד כ- 20,000 ₪. סכום זה על רקע</w:t>
      </w:r>
      <w:r w:rsidR="0004560C">
        <w:rPr>
          <w:rFonts w:hint="cs" w:ascii="Arial" w:hAnsi="Arial"/>
          <w:noProof w:val="0"/>
          <w:rtl/>
        </w:rPr>
        <w:t xml:space="preserve"> העובדה כי התובעת העבירה תשלומים בסכומים הגבוהים בהרבה, ואין עדות כי </w:t>
      </w:r>
      <w:r w:rsidR="0004560C">
        <w:rPr>
          <w:rFonts w:hint="cs" w:ascii="Arial" w:hAnsi="Arial"/>
          <w:noProof w:val="0"/>
          <w:rtl/>
        </w:rPr>
        <w:lastRenderedPageBreak/>
        <w:t>חזרו שיקים או הייתה  בעיית פירעון אחרת, מלמדת כשלעצמה על יכולת כלכלית. אין די בטענת המבקשת כי המתינה לתשלומים כדי שהתובעת תשלם תשלומים.</w:t>
      </w:r>
    </w:p>
    <w:p w:rsidR="0004560C" w:rsidP="0004560C" w:rsidRDefault="0004560C">
      <w:pPr>
        <w:spacing w:line="360" w:lineRule="auto"/>
        <w:ind w:left="720" w:hanging="720"/>
        <w:jc w:val="both"/>
        <w:rPr>
          <w:rFonts w:ascii="Arial" w:hAnsi="Arial"/>
          <w:noProof w:val="0"/>
          <w:rtl/>
        </w:rPr>
      </w:pPr>
    </w:p>
    <w:p w:rsidR="008862BE" w:rsidP="0004560C" w:rsidRDefault="0004560C">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התובעת לא הסתפקה בכך והציגה מסמכים המלמדים על איתנות כלכלית מספקת לשאת בהוצאות ההליך. אמנם התובעת בחרה לא לחשוף את הנתונים הכלכליים, אולם לאור העדר אינדיקציה לבעיות כלכליות מצאתי כי ניתן להסתפק במסמכים שצורפו.</w:t>
      </w:r>
    </w:p>
    <w:p w:rsidR="0004560C" w:rsidP="0004560C" w:rsidRDefault="0004560C">
      <w:pPr>
        <w:spacing w:line="360" w:lineRule="auto"/>
        <w:ind w:left="720" w:hanging="720"/>
        <w:jc w:val="both"/>
        <w:rPr>
          <w:rFonts w:ascii="Arial" w:hAnsi="Arial"/>
          <w:noProof w:val="0"/>
          <w:rtl/>
        </w:rPr>
      </w:pPr>
    </w:p>
    <w:p w:rsidR="0004560C" w:rsidP="0004560C" w:rsidRDefault="0004560C">
      <w:pPr>
        <w:spacing w:line="360" w:lineRule="auto"/>
        <w:ind w:left="720" w:hanging="720"/>
        <w:jc w:val="both"/>
        <w:rPr>
          <w:rFonts w:hint="cs" w:ascii="Arial" w:hAnsi="Arial"/>
          <w:noProof w:val="0"/>
          <w:rtl/>
        </w:rPr>
      </w:pPr>
      <w:r>
        <w:rPr>
          <w:rFonts w:hint="cs" w:ascii="Arial" w:hAnsi="Arial"/>
          <w:noProof w:val="0"/>
          <w:rtl/>
        </w:rPr>
        <w:t>5.</w:t>
      </w:r>
      <w:r>
        <w:rPr>
          <w:rFonts w:hint="cs" w:ascii="Arial" w:hAnsi="Arial"/>
          <w:noProof w:val="0"/>
          <w:rtl/>
        </w:rPr>
        <w:tab/>
        <w:t>על כן הבקשה לחיוב התובעת בהפקדת ערובה להוצאות נדחית. למרות החזקה בפקודה, אין מקום לעשות שימוש בכלי זה ללא ראשית ראיה לצורך אמיתי ב</w:t>
      </w:r>
      <w:r w:rsidR="00144AFA">
        <w:rPr>
          <w:rFonts w:hint="cs" w:ascii="Arial" w:hAnsi="Arial"/>
          <w:noProof w:val="0"/>
          <w:rtl/>
        </w:rPr>
        <w:t>ערובה להוצאות, קל וחומר בתביעה בין שתי חברות.</w:t>
      </w:r>
    </w:p>
    <w:p w:rsidR="00144AFA" w:rsidP="0004560C" w:rsidRDefault="00144AFA">
      <w:pPr>
        <w:spacing w:line="360" w:lineRule="auto"/>
        <w:ind w:left="720" w:hanging="720"/>
        <w:jc w:val="both"/>
        <w:rPr>
          <w:rFonts w:ascii="Arial" w:hAnsi="Arial"/>
          <w:noProof w:val="0"/>
          <w:rtl/>
        </w:rPr>
      </w:pPr>
    </w:p>
    <w:p w:rsidR="00144AFA" w:rsidP="0004560C" w:rsidRDefault="00144AFA">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על כן הבקשה נדחית.</w:t>
      </w:r>
    </w:p>
    <w:p w:rsidR="00144AFA" w:rsidP="0004560C" w:rsidRDefault="00144AFA">
      <w:pPr>
        <w:spacing w:line="360" w:lineRule="auto"/>
        <w:ind w:left="720" w:hanging="720"/>
        <w:jc w:val="both"/>
        <w:rPr>
          <w:rFonts w:ascii="Arial" w:hAnsi="Arial"/>
          <w:noProof w:val="0"/>
          <w:rtl/>
        </w:rPr>
      </w:pPr>
    </w:p>
    <w:p w:rsidRPr="004D6A71" w:rsidR="00144AFA" w:rsidP="0004560C" w:rsidRDefault="00144AF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המבקשת תישא בהוצאות המשיבה בסך 2,500 ₪.</w:t>
      </w:r>
      <w:bookmarkStart w:name="_GoBack" w:id="1"/>
      <w:bookmarkEnd w:id="1"/>
    </w:p>
    <w:p w:rsidRPr="004D6A71" w:rsidR="004D6A71" w:rsidP="004D6A71" w:rsidRDefault="004D6A71">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60DC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7844"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3895e690e9148e0" cstate="print">
                            <a:extLst>
                              <a:ext uri="{28A0092B-C50C-407E-A947-70E740481C1C}"/>
                            </a:extLst>
                          </a:blip>
                          <a:stretch>
                            <a:fillRect/>
                          </a:stretch>
                        </pic:blipFill>
                        <pic:spPr>
                          <a:xfrm>
                            <a:off x="0" y="0"/>
                            <a:ext cx="1037844" cy="489204"/>
                          </a:xfrm>
                          <a:prstGeom prst="rect">
                            <a:avLst/>
                          </a:prstGeom>
                        </pic:spPr>
                      </pic:pic>
                    </a:graphicData>
                  </a:graphic>
                </wp:inline>
              </w:drawing>
            </w:r>
          </w:p>
        </w:sdtContent>
      </w:sdt>
    </w:p>
    <w:sectPr w:rsidR="00694556" w:rsidSect="006C30C5">
      <w:headerReference w:type="even" r:id="rId19"/>
      <w:headerReference w:type="default" r:id="rId20"/>
      <w:footerReference w:type="even" r:id="rId21"/>
      <w:footerReference w:type="default" r:id="rId22"/>
      <w:headerReference w:type="first" r:id="rId23"/>
      <w:footerReference w:type="first" r:id="rId2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A71" w:rsidRDefault="004D6A7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60DC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60DCE">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A71" w:rsidRDefault="004D6A7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A71" w:rsidRDefault="004D6A7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D6A7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E60DC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68884-01-18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א.כ.לדיטק בע"מ נ' מטרולייט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A71" w:rsidRDefault="004D6A7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4560C"/>
    <w:rsid w:val="000529D2"/>
    <w:rsid w:val="000564AB"/>
    <w:rsid w:val="00064FBD"/>
    <w:rsid w:val="00082AB2"/>
    <w:rsid w:val="000906FE"/>
    <w:rsid w:val="00096AF7"/>
    <w:rsid w:val="000B344B"/>
    <w:rsid w:val="000C3B0F"/>
    <w:rsid w:val="000C3B60"/>
    <w:rsid w:val="000E0DD2"/>
    <w:rsid w:val="000E3AF1"/>
    <w:rsid w:val="000F0BC8"/>
    <w:rsid w:val="000F0DD6"/>
    <w:rsid w:val="00103C87"/>
    <w:rsid w:val="00107E6D"/>
    <w:rsid w:val="0011194C"/>
    <w:rsid w:val="0011424C"/>
    <w:rsid w:val="001173C6"/>
    <w:rsid w:val="001367BC"/>
    <w:rsid w:val="00144AFA"/>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D6A71"/>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05B4"/>
    <w:rsid w:val="0088479D"/>
    <w:rsid w:val="008862BE"/>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60DCE"/>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7CE92B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nhideWhenUsed/>
    <w:rsid w:val="004D6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71858" TargetMode="External" Id="rId13" /><Relationship Type="http://schemas.openxmlformats.org/officeDocument/2006/relationships/hyperlink" Target="http://www.nevo.co.il/law/74880" TargetMode="External" Id="rId18" /><Relationship Type="http://schemas.openxmlformats.org/officeDocument/2006/relationships/glossaryDocument" Target="glossary/document.xml" Id="rId26"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hyperlink" Target="http://www.nevo.co.il/law/71858/353a" TargetMode="External" Id="rId12" /><Relationship Type="http://schemas.openxmlformats.org/officeDocument/2006/relationships/hyperlink" Target="http://www.nevo.co.il/law/74880/519" TargetMode="External" Id="rId17" /><Relationship Type="http://schemas.openxmlformats.org/officeDocument/2006/relationships/fontTable" Target="fontTable.xml" Id="rId25" /><Relationship Type="http://schemas.openxmlformats.org/officeDocument/2006/relationships/hyperlink" Target="http://www.nevo.co.il/law/71858" TargetMode="External" Id="rId16" /><Relationship Type="http://schemas.openxmlformats.org/officeDocument/2006/relationships/header" Target="header2.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6113584" TargetMode="External" Id="rId11" /><Relationship Type="http://schemas.openxmlformats.org/officeDocument/2006/relationships/footer" Target="footer3.xml" Id="rId24" /><Relationship Type="http://schemas.openxmlformats.org/officeDocument/2006/relationships/settings" Target="settings.xml" Id="rId5" /><Relationship Type="http://schemas.openxmlformats.org/officeDocument/2006/relationships/hyperlink" Target="http://www.nevo.co.il/law/74880" TargetMode="External" Id="rId15" /><Relationship Type="http://schemas.openxmlformats.org/officeDocument/2006/relationships/header" Target="header3.xml" Id="rId23" /><Relationship Type="http://schemas.openxmlformats.org/officeDocument/2006/relationships/hyperlink" Target="http://www.nevo.co.il/law/71858"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www.nevo.co.il/law/71858/353a" TargetMode="External" Id="rId9" /><Relationship Type="http://schemas.openxmlformats.org/officeDocument/2006/relationships/hyperlink" Target="http://www.nevo.co.il/law/74880/519" TargetMode="External" Id="rId14" /><Relationship Type="http://schemas.openxmlformats.org/officeDocument/2006/relationships/footer" Target="footer2.xml" Id="rId22" /><Relationship Type="http://schemas.openxmlformats.org/officeDocument/2006/relationships/theme" Target="theme/theme1.xml" Id="rId27" /><Relationship Type="http://schemas.openxmlformats.org/officeDocument/2006/relationships/image" Target="/media/image2.jpg" Id="R03895e690e9148e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57493" w:rsidP="0015749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57493" w:rsidP="00157493">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57493"/>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749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5749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5749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736</Words>
  <Characters>3685</Characters>
  <Application>Microsoft Office Word</Application>
  <DocSecurity>0</DocSecurity>
  <Lines>30</Lines>
  <Paragraphs>8</Paragraphs>
  <ScaleCrop>false</ScaleCrop>
  <Company>Microsoft Corporation</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עידו כפכפי</cp:lastModifiedBy>
  <cp:revision>120</cp:revision>
  <dcterms:created xsi:type="dcterms:W3CDTF">2012-08-06T05:16:00Z</dcterms:created>
  <dcterms:modified xsi:type="dcterms:W3CDTF">2018-04-11T09:36:00Z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