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3598/2018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דניאל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גולדנברג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207212143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מאוריציו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13 אפריל 1998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בר יוחאי 106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tl/>
            </w:rPr>
            <w:alias w:val="1764"/>
            <w:tag w:val="1764"/>
            <w:id w:val="6957219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color w:val="0000FF"/>
                  <w:sz w:val="24"/>
                  <w:szCs w:val="24"/>
                  <w:rtl/>
                </w:rPr>
              </w:pPr>
              <w:r>
                <w:rPr>
                  <w:rFonts w:hint="cs" w:cs="FrankRuehl"/>
                  <w:color w:val="0000FF"/>
                  <w:sz w:val="28"/>
                  <w:szCs w:val="28"/>
                  <w:rtl/>
                </w:rPr>
                <w:t xml:space="preserve"> </w:t>
              </w: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ייעצר עד תום ההליכים.</w:t>
              </w:r>
            </w:p>
            <w:p w:rsidR="006D68F1" w:rsidP="006D68F1" w:rsidRDefault="006D68F1">
              <w:pPr>
                <w:rPr>
                  <w:rFonts w:cs="FrankRuehl"/>
                  <w:sz w:val="28"/>
                  <w:szCs w:val="28"/>
                </w:rPr>
              </w:pP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מס' ת"פ </w:t>
              </w:r>
              <w:sdt>
                <w:sdtPr>
                  <w:rPr>
                    <w:rtl/>
                  </w:rPr>
                  <w:alias w:val="2696"/>
                  <w:tag w:val="2696"/>
                  <w:id w:val="2110545658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31513-03-18</w:t>
                  </w:r>
                </w:sdtContent>
              </w:sdt>
            </w:p>
          </w:sdtContent>
        </w:sdt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4"/>
              <w:tag w:val="1764"/>
              <w:id w:val="1250076914"/>
              <w:text w:multiLine="1"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التوقيف الى حين انتهاء الاجراءات</w:t>
              </w:r>
            </w:sdtContent>
          </w:sdt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43612-03-18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גולדנברג(עציר)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12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a6347a6705a344bb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009f73b690be40fa" /></Relationships>
</file>

<file path=customXML/item.xml><?xml version="1.0" encoding="utf-8"?>
<CourtOrderDS>
  <dt_OrderCaseParty>
    <OrderID>0</OrderID>
    <CasePartyID>179666638</CasePartyID>
    <CaseID>75332689</CaseID>
    <CourtOrderTemplateDS>
      <dt_CaseParties>
        <FullName>דניאל גולדנברג (עציר)</FullName>
        <PartyID>2</PartyID>
        <CasePartyID>179666638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2018-03-20T12:05:00+02:00</CaseOpenDate>
        <ProceedingID>18</ProceedingID>
        <CourtID>30</CourtID>
        <CaseName>מדינת ישראל נ' גולדנברג(עציר)</CaseName>
        <CaseTypeDesc/>
        <CaseTypeID>10049</CaseTypeID>
        <CaseTypeShortName>מ"ת</CaseTypeShortName>
        <CaseDisplayIdentifier>43612-03-18</CaseDisplayIdentifier>
      </dt_OrderData>
      <dt_OrderManagment>
        <FatherName>מאוריציו</FatherName>
        <FirstName>דניאל</FirstName>
        <LastName>גולדנברג</LastName>
        <LegalEntityNumber>207212143</LegalEntityNumber>
        <AuthenticationTypeID>1</AuthenticationTypeID>
        <LegalEntityAddress>בר יוחאי 106 ירושלים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בר יוחאי 106 ירושלים </LegalEntityCasePartyAddress>
      </dt_OrderManagment>
      <dt_ExternalLinkCaseNumber>
        <ExternalLinkCaseNumber>3598/2018</ExternalLinkCaseNumber>
        <ExternalCaseType>-1</ExternalCaseType>
      </dt_ExternalLinkCaseNumber>
      <dt_CaseData>
        <FirstCriminalCase>31513-03-18</FirstCriminalCase>
      </dt_CaseData>
    </CourtOrderTemplateDS>
    <RoleName>משיב 1</RoleName>
    <CaseDisplayIdentifier>43612-03-18</CaseDisplayIdentifier>
    <FullName>דניאל גולדנברג (עציר)</FullName>
    <AuthenticationTypeAndNumber>ת.ז. 207212143</AuthenticationTypeAndNumber>
    <FullAddress>בר יוחאי 106 ירושלים </FullAddress>
    <BirthDate>13/04/1998 00:00:00</BirthDate>
    <FatherName>מאוריציו</FatherName>
    <AuthenticationTypeID>1</AuthenticationTypeID>
    <LegalEntityNumber>207212143</LegalEntityNumber>
    <LegalEntityID>71133684</LegalEntityID>
    <FirstName>דניאל</FirstName>
    <LastName>גולדנברג</LastName>
    <PartyPropertyID>6</PartyPropertyID>
  </dt_OrderCaseParty>
  <dt_Document>
    <RowID>0</RowID>
    <DocumentTypeID>3</DocumentTypeID>
    <DocumentName>מסמך צו</DocumentName>
    <DocumentID>265858339</DocumentID>
    <DocumentURL>\\CTLNFSV02\doc_repository\115\504\622a572ed4d6426cbfcb66e0994e7506.docx</DocumentURL>
  </dt_Document>
  <dt_Order>
    <OrderID>0</OrderID>
    <DecisionID>111920050</DecisionID>
    <OrderStatusID>2</OrderStatusID>
    <IsCancelled>false</IsCancelled>
    <CreationDate>2018-04-12T12:32:53.4102367+03:00</CreationDate>
    <ProcedureID>2</ProcedureID>
    <OrderTypeID>120</OrderTypeID>
    <ActivationDate>2018-04-12T00:00:00+03:00</ActivationDate>
    <RealSignedUserID>028996007@GOV.IL</RealSignedUserID>
    <OrderDesc/>
    <CreationUserID>028996007@GOV.IL</CreationUserID>
    <DocumentID>265858339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2001907</OrderNumber>
    <OrderNumerator>02001907מע</OrderNumerator>
    <IsNotificationProcess>false</IsNotificationProcess>
    <IsPaperCase>false</IsPaperCase>
  </dt_Order>
  <dt_OrderCase>
    <OrderID>0</OrderID>
    <CaseID>75332689</CaseID>
    <CourtOrderTemplateDS>
      <dt_CaseParties>
        <FullName>דניאל גולדנברג (עציר)</FullName>
        <PartyID>2</PartyID>
        <CasePartyID>179666638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2018-03-20T12:05:00+02:00</CaseOpenDate>
        <ProceedingID>18</ProceedingID>
        <CourtID>30</CourtID>
        <CaseName>מדינת ישראל נ' גולדנברג(עציר)</CaseName>
        <CaseTypeDesc/>
        <CaseTypeID>10049</CaseTypeID>
        <CaseTypeShortName>מ"ת</CaseTypeShortName>
        <CaseDisplayIdentifier>43612-03-18</CaseDisplayIdentifier>
      </dt_OrderData>
      <dt_OrderManagment>
        <FatherName>מאוריציו</FatherName>
        <FirstName>דניאל</FirstName>
        <LastName>גולדנברג</LastName>
        <LegalEntityNumber>207212143</LegalEntityNumber>
        <AuthenticationTypeID>1</AuthenticationTypeID>
        <LegalEntityAddress>בר יוחאי 106 ירושלים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בר יוחאי 106 ירושלים </LegalEntityCasePartyAddress>
      </dt_OrderManagment>
      <dt_ExternalLinkCaseNumber>
        <ExternalLinkCaseNumber>3598/2018</ExternalLinkCaseNumber>
        <ExternalCaseType>-1</ExternalCaseType>
      </dt_ExternalLinkCaseNumber>
      <dt_CaseData>
        <FirstCriminalCase>31513-03-18</FirstCriminalCase>
      </dt_CaseData>
    </CourtOrderTemplateDS>
    <IsOriginal>true</IsOriginal>
    <IsCurrent>true</IsCurrent>
  </dt_OrderCase>
  <dt_OrderDetention>
    <OrderDetentionID>0</OrderDetentionID>
    <OrderID>0</OrderID>
    <FirstName>דניאל</FirstName>
    <LastName>גולדנברג</LastName>
    <AuthenticationTypeID>1</AuthenticationTypeID>
    <LegalEntityNumber>207212143</LegalEntityNumber>
    <FatherName>מאוריציו</FatherName>
    <BirthDate>1998-04-13T00:00:00+03:00</BirthDate>
    <LegalEntityAddress>בר יוחאי 106 ירושלים </LegalEntityAddress>
    <PoliceStationID>37</PoliceStationID>
    <DetentionPeriodTypeID>4</DetentionPeriodTypeID>
    <ExecutionDate>2018-04-12T12:33:03.6522608+03:00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EA4793DF-2D37-4264-874D-F6D0699D8E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