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E962E3" w:rsidRDefault="0094424E">
            <w:pPr>
              <w:jc w:val="both"/>
              <w:rPr>
                <w:rFonts w:ascii="Arial" w:hAnsi="Arial"/>
                <w:b/>
                <w:bCs/>
                <w:rtl/>
              </w:rPr>
            </w:pPr>
            <w:bookmarkStart w:name="_GoBack" w:id="0"/>
            <w:bookmarkEnd w:id="0"/>
            <w:r>
              <w:rPr>
                <w:rtl/>
              </w:rPr>
              <w:t xml:space="preserve"> </w:t>
            </w:r>
            <w:r>
              <w:rPr>
                <w:rFonts w:hint="cs" w:ascii="Arial" w:hAnsi="Arial"/>
                <w:b/>
                <w:bCs/>
                <w:rtl/>
              </w:rPr>
              <w:t>ב</w:t>
            </w:r>
            <w:r>
              <w:rPr>
                <w:rFonts w:ascii="Arial" w:hAnsi="Arial"/>
                <w:b/>
                <w:bCs/>
                <w:rtl/>
              </w:rPr>
              <w:t xml:space="preserve">פני </w:t>
            </w:r>
          </w:p>
        </w:tc>
        <w:tc>
          <w:tcPr>
            <w:tcW w:w="8077" w:type="dxa"/>
            <w:gridSpan w:val="2"/>
          </w:tcPr>
          <w:p w:rsidR="0094424E" w:rsidRDefault="000529D2">
            <w:pPr>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שופטת</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חגית מאק-קלמנוביץ</w:t>
                </w:r>
              </w:sdtContent>
            </w:sdt>
          </w:p>
          <w:p w:rsidR="0094424E" w:rsidRDefault="0094424E">
            <w:pPr>
              <w:rPr>
                <w:rFonts w:ascii="Arial" w:hAnsi="Arial" w:cs="FrankRuehl"/>
                <w:sz w:val="28"/>
                <w:szCs w:val="28"/>
                <w:highlight w:val="yellow"/>
              </w:rPr>
            </w:pPr>
          </w:p>
        </w:tc>
      </w:tr>
      <w:tr w:rsidR="0094424E" w:rsidTr="00465D36">
        <w:trPr>
          <w:jc w:val="center"/>
        </w:trPr>
        <w:tc>
          <w:tcPr>
            <w:tcW w:w="3249" w:type="dxa"/>
            <w:gridSpan w:val="2"/>
          </w:tcPr>
          <w:sdt>
            <w:sdtPr>
              <w:rPr>
                <w:rtl/>
              </w:rPr>
              <w:alias w:val="1180"/>
              <w:tag w:val="1180"/>
              <w:id w:val="637458750"/>
              <w:text w:multiLine="1"/>
            </w:sdtPr>
            <w:sdtEndPr/>
            <w:sdtContent>
              <w:p w:rsidR="00E71254" w:rsidRDefault="00F00568">
                <w:pPr>
                  <w:rPr>
                    <w:rFonts w:ascii="Arial" w:hAnsi="Arial"/>
                    <w:b/>
                    <w:bCs/>
                    <w:noProof w:val="0"/>
                    <w:sz w:val="26"/>
                    <w:szCs w:val="26"/>
                    <w:rtl/>
                  </w:rPr>
                </w:pPr>
                <w:r>
                  <w:rPr>
                    <w:rFonts w:hint="cs" w:ascii="Arial" w:hAnsi="Arial"/>
                    <w:b/>
                    <w:bCs/>
                    <w:noProof w:val="0"/>
                    <w:sz w:val="26"/>
                    <w:szCs w:val="26"/>
                    <w:rtl/>
                  </w:rPr>
                  <w:t>ה</w:t>
                </w:r>
                <w:r w:rsidR="002B77B7">
                  <w:rPr>
                    <w:rFonts w:ascii="Arial" w:hAnsi="Arial"/>
                    <w:b/>
                    <w:bCs/>
                    <w:noProof w:val="0"/>
                    <w:sz w:val="26"/>
                    <w:szCs w:val="26"/>
                    <w:rtl/>
                  </w:rPr>
                  <w:t>תובע</w:t>
                </w:r>
                <w:r w:rsidR="002B77B7">
                  <w:rPr>
                    <w:rFonts w:hint="cs" w:ascii="Arial" w:hAnsi="Arial"/>
                    <w:b/>
                    <w:bCs/>
                    <w:noProof w:val="0"/>
                    <w:sz w:val="26"/>
                    <w:szCs w:val="26"/>
                    <w:rtl/>
                  </w:rPr>
                  <w:t>ת</w:t>
                </w:r>
              </w:p>
            </w:sdtContent>
          </w:sdt>
        </w:tc>
        <w:tc>
          <w:tcPr>
            <w:tcW w:w="5571" w:type="dxa"/>
          </w:tcPr>
          <w:p w:rsidR="0094424E" w:rsidRDefault="00563203">
            <w:pPr>
              <w:rPr>
                <w:rFonts w:ascii="Arial" w:hAnsi="Arial"/>
                <w:b/>
                <w:bCs/>
                <w:noProof w:val="0"/>
                <w:sz w:val="26"/>
                <w:szCs w:val="26"/>
                <w:rtl/>
              </w:rPr>
            </w:pPr>
            <w:r>
              <w:rPr>
                <w:rFonts w:hint="cs" w:ascii="Arial" w:hAnsi="Arial"/>
                <w:b/>
                <w:bCs/>
                <w:noProof w:val="0"/>
                <w:sz w:val="26"/>
                <w:szCs w:val="26"/>
                <w:rtl/>
              </w:rPr>
              <w:t>פלוני</w:t>
            </w:r>
            <w:r w:rsidR="002B77B7">
              <w:rPr>
                <w:rFonts w:hint="cs" w:ascii="Arial" w:hAnsi="Arial"/>
                <w:b/>
                <w:bCs/>
                <w:noProof w:val="0"/>
                <w:sz w:val="26"/>
                <w:szCs w:val="26"/>
                <w:rtl/>
              </w:rPr>
              <w:t>ת</w:t>
            </w:r>
          </w:p>
          <w:p w:rsidR="0094424E" w:rsidP="00F852D0" w:rsidRDefault="007B70EA">
            <w:pPr>
              <w:rPr>
                <w:b/>
                <w:bCs/>
                <w:noProof w:val="0"/>
                <w:sz w:val="26"/>
                <w:szCs w:val="26"/>
              </w:rPr>
            </w:pPr>
            <w:r>
              <w:rPr>
                <w:rFonts w:hint="cs"/>
                <w:b/>
                <w:bCs/>
                <w:noProof w:val="0"/>
                <w:sz w:val="26"/>
                <w:szCs w:val="26"/>
                <w:rtl/>
              </w:rPr>
              <w:t>ע"י ב"כ עו"ד עמוס גבעון</w:t>
            </w:r>
          </w:p>
        </w:tc>
      </w:tr>
      <w:tr w:rsidR="0094424E">
        <w:trPr>
          <w:jc w:val="center"/>
        </w:trPr>
        <w:tc>
          <w:tcPr>
            <w:tcW w:w="8820" w:type="dxa"/>
            <w:gridSpan w:val="3"/>
          </w:tcPr>
          <w:p w:rsidR="0094424E" w:rsidRDefault="0094424E">
            <w:pPr>
              <w:rPr>
                <w:rFonts w:ascii="Arial" w:hAnsi="Arial"/>
                <w:b/>
                <w:bCs/>
                <w:noProof w:val="0"/>
                <w:sz w:val="26"/>
                <w:szCs w:val="26"/>
                <w:rtl/>
              </w:rPr>
            </w:pPr>
          </w:p>
          <w:p w:rsidR="0094424E" w:rsidRDefault="0094424E">
            <w:pPr>
              <w:jc w:val="center"/>
              <w:rPr>
                <w:rFonts w:ascii="Arial" w:hAnsi="Arial"/>
                <w:b/>
                <w:bCs/>
                <w:noProof w:val="0"/>
                <w:sz w:val="26"/>
                <w:szCs w:val="26"/>
                <w:rtl/>
              </w:rPr>
            </w:pPr>
            <w:r>
              <w:rPr>
                <w:rFonts w:ascii="Arial" w:hAnsi="Arial"/>
                <w:b/>
                <w:bCs/>
                <w:noProof w:val="0"/>
                <w:sz w:val="26"/>
                <w:szCs w:val="26"/>
                <w:rtl/>
              </w:rPr>
              <w:t>נגד</w:t>
            </w:r>
          </w:p>
          <w:p w:rsidR="0094424E" w:rsidRDefault="0094424E">
            <w:pPr>
              <w:rPr>
                <w:rFonts w:ascii="Arial" w:hAnsi="Arial"/>
                <w:b/>
                <w:bCs/>
                <w:noProof w:val="0"/>
                <w:sz w:val="26"/>
                <w:szCs w:val="26"/>
              </w:rPr>
            </w:pPr>
          </w:p>
        </w:tc>
      </w:tr>
      <w:tr w:rsidR="0094424E">
        <w:trPr>
          <w:jc w:val="center"/>
        </w:trPr>
        <w:tc>
          <w:tcPr>
            <w:tcW w:w="3249" w:type="dxa"/>
            <w:gridSpan w:val="2"/>
          </w:tcPr>
          <w:p w:rsidR="0094424E" w:rsidRDefault="00FC3AAF">
            <w:pPr>
              <w:rPr>
                <w:rFonts w:ascii="Arial" w:hAnsi="Arial"/>
                <w:b/>
                <w:bCs/>
                <w:noProof w:val="0"/>
                <w:sz w:val="26"/>
                <w:szCs w:val="26"/>
              </w:rPr>
            </w:pPr>
            <w:sdt>
              <w:sdtPr>
                <w:rPr>
                  <w:rtl/>
                </w:rPr>
                <w:alias w:val="1184"/>
                <w:tag w:val="1184"/>
                <w:id w:val="-340621022"/>
                <w:text w:multiLine="1"/>
              </w:sdtPr>
              <w:sdtEndPr/>
              <w:sdtContent>
                <w:r w:rsidR="00F00568">
                  <w:rPr>
                    <w:rFonts w:hint="cs" w:ascii="Arial" w:hAnsi="Arial"/>
                    <w:b/>
                    <w:bCs/>
                    <w:noProof w:val="0"/>
                    <w:sz w:val="26"/>
                    <w:szCs w:val="26"/>
                    <w:rtl/>
                  </w:rPr>
                  <w:t>ה</w:t>
                </w:r>
                <w:r w:rsidR="00F00568">
                  <w:rPr>
                    <w:rFonts w:ascii="Arial" w:hAnsi="Arial"/>
                    <w:b/>
                    <w:bCs/>
                    <w:noProof w:val="0"/>
                    <w:sz w:val="26"/>
                    <w:szCs w:val="26"/>
                    <w:rtl/>
                  </w:rPr>
                  <w:t>נתבע</w:t>
                </w:r>
                <w:r w:rsidR="00F00568">
                  <w:rPr>
                    <w:rFonts w:hint="cs" w:ascii="Arial" w:hAnsi="Arial"/>
                    <w:b/>
                    <w:bCs/>
                    <w:noProof w:val="0"/>
                    <w:sz w:val="26"/>
                    <w:szCs w:val="26"/>
                    <w:rtl/>
                  </w:rPr>
                  <w:t>ות</w:t>
                </w:r>
              </w:sdtContent>
            </w:sdt>
          </w:p>
        </w:tc>
        <w:tc>
          <w:tcPr>
            <w:tcW w:w="5571" w:type="dxa"/>
          </w:tcPr>
          <w:p w:rsidRPr="0016154F" w:rsidR="0094424E" w:rsidP="00785242" w:rsidRDefault="00FC3AAF">
            <w:pPr>
              <w:rPr>
                <w:b/>
                <w:bCs/>
                <w:rtl/>
              </w:rPr>
            </w:pPr>
            <w:sdt>
              <w:sdtPr>
                <w:rPr>
                  <w:rFonts w:hint="cs"/>
                  <w:rtl/>
                </w:rPr>
                <w:alias w:val="1571"/>
                <w:tag w:val="1571"/>
                <w:id w:val="1028836282"/>
                <w:text w:multiLine="1"/>
              </w:sdtPr>
              <w:sdtEndPr/>
              <w:sdtContent>
                <w:r w:rsidR="00563203">
                  <w:rPr>
                    <w:rFonts w:hint="cs" w:ascii="Arial" w:hAnsi="Arial"/>
                    <w:b/>
                    <w:bCs/>
                    <w:noProof w:val="0"/>
                    <w:sz w:val="26"/>
                    <w:szCs w:val="26"/>
                    <w:rtl/>
                  </w:rPr>
                  <w:t>1</w:t>
                </w:r>
              </w:sdtContent>
            </w:sdt>
            <w:r w:rsidR="00785242">
              <w:rPr>
                <w:rFonts w:hint="cs" w:ascii="Arial" w:hAnsi="Arial"/>
                <w:b/>
                <w:bCs/>
                <w:noProof w:val="0"/>
                <w:sz w:val="26"/>
                <w:szCs w:val="26"/>
                <w:rtl/>
              </w:rPr>
              <w:t xml:space="preserve">. </w:t>
            </w:r>
            <w:sdt>
              <w:sdtPr>
                <w:rPr>
                  <w:rFonts w:hint="cs"/>
                  <w:b/>
                  <w:bCs/>
                  <w:rtl/>
                </w:rPr>
                <w:alias w:val="1486"/>
                <w:tag w:val="1486"/>
                <w:id w:val="-309872140"/>
                <w:text w:multiLine="1"/>
              </w:sdtPr>
              <w:sdtEndPr/>
              <w:sdtContent>
                <w:r w:rsidRPr="0016154F" w:rsidR="00563203">
                  <w:rPr>
                    <w:rFonts w:hint="cs" w:ascii="Arial" w:hAnsi="Arial"/>
                    <w:b/>
                    <w:bCs/>
                    <w:noProof w:val="0"/>
                    <w:sz w:val="26"/>
                    <w:szCs w:val="26"/>
                    <w:rtl/>
                  </w:rPr>
                  <w:t>משרד הבריאות</w:t>
                </w:r>
                <w:r w:rsidRPr="0016154F" w:rsidR="0016154F">
                  <w:rPr>
                    <w:b/>
                    <w:bCs/>
                    <w:rtl/>
                  </w:rPr>
                  <w:br/>
                </w:r>
                <w:r w:rsidRPr="0016154F" w:rsidR="0016154F">
                  <w:rPr>
                    <w:rFonts w:hint="cs"/>
                    <w:b/>
                    <w:bCs/>
                    <w:rtl/>
                  </w:rPr>
                  <w:t>ע"י ב"כ עו"ד אפרת פגורה קורן</w:t>
                </w:r>
              </w:sdtContent>
            </w:sdt>
          </w:p>
          <w:p w:rsidR="0016154F" w:rsidP="00785242" w:rsidRDefault="0016154F">
            <w:pPr>
              <w:rPr>
                <w:rtl/>
              </w:rPr>
            </w:pPr>
          </w:p>
          <w:p w:rsidRPr="00785242" w:rsidR="0094424E" w:rsidP="00785242" w:rsidRDefault="00FC3AAF">
            <w:pPr>
              <w:rPr>
                <w:rtl/>
              </w:rPr>
            </w:pPr>
            <w:sdt>
              <w:sdtPr>
                <w:rPr>
                  <w:rFonts w:hint="cs"/>
                  <w:rtl/>
                </w:rPr>
                <w:alias w:val="1571"/>
                <w:tag w:val="1571"/>
                <w:id w:val="-1309706423"/>
                <w:text w:multiLine="1"/>
              </w:sdtPr>
              <w:sdtEndPr/>
              <w:sdtContent>
                <w:r w:rsidR="00563203">
                  <w:rPr>
                    <w:rFonts w:hint="cs" w:ascii="Arial" w:hAnsi="Arial"/>
                    <w:b/>
                    <w:bCs/>
                    <w:noProof w:val="0"/>
                    <w:sz w:val="26"/>
                    <w:szCs w:val="26"/>
                    <w:rtl/>
                  </w:rPr>
                  <w:t>2</w:t>
                </w:r>
              </w:sdtContent>
            </w:sdt>
            <w:r w:rsidR="00785242">
              <w:rPr>
                <w:rFonts w:hint="cs" w:ascii="Arial" w:hAnsi="Arial"/>
                <w:b/>
                <w:bCs/>
                <w:noProof w:val="0"/>
                <w:sz w:val="26"/>
                <w:szCs w:val="26"/>
                <w:rtl/>
              </w:rPr>
              <w:t xml:space="preserve">. </w:t>
            </w:r>
            <w:sdt>
              <w:sdtPr>
                <w:rPr>
                  <w:rFonts w:hint="cs"/>
                  <w:b/>
                  <w:bCs/>
                  <w:rtl/>
                </w:rPr>
                <w:alias w:val="1486"/>
                <w:tag w:val="1486"/>
                <w:id w:val="-1478605781"/>
                <w:text w:multiLine="1"/>
              </w:sdtPr>
              <w:sdtEndPr/>
              <w:sdtContent>
                <w:r w:rsidRPr="0016154F" w:rsidR="00563203">
                  <w:rPr>
                    <w:rFonts w:hint="cs" w:ascii="Arial" w:hAnsi="Arial"/>
                    <w:b/>
                    <w:bCs/>
                    <w:noProof w:val="0"/>
                    <w:sz w:val="26"/>
                    <w:szCs w:val="26"/>
                    <w:rtl/>
                  </w:rPr>
                  <w:t xml:space="preserve">שירותי </w:t>
                </w:r>
                <w:r w:rsidRPr="0016154F" w:rsidR="0016154F">
                  <w:rPr>
                    <w:rFonts w:hint="cs" w:ascii="Arial" w:hAnsi="Arial"/>
                    <w:b/>
                    <w:bCs/>
                    <w:noProof w:val="0"/>
                    <w:sz w:val="26"/>
                    <w:szCs w:val="26"/>
                    <w:rtl/>
                  </w:rPr>
                  <w:t>בריאות כללית</w:t>
                </w:r>
                <w:r w:rsidRPr="0016154F" w:rsidR="0016154F">
                  <w:rPr>
                    <w:rFonts w:ascii="Arial" w:hAnsi="Arial"/>
                    <w:b/>
                    <w:bCs/>
                    <w:noProof w:val="0"/>
                    <w:sz w:val="26"/>
                    <w:szCs w:val="26"/>
                    <w:rtl/>
                  </w:rPr>
                  <w:br/>
                </w:r>
                <w:r w:rsidRPr="0016154F" w:rsidR="0016154F">
                  <w:rPr>
                    <w:rFonts w:hint="cs"/>
                    <w:b/>
                    <w:bCs/>
                    <w:rtl/>
                  </w:rPr>
                  <w:t>ע"י ב"כ עו"ד שרון רום</w:t>
                </w:r>
              </w:sdtContent>
            </w:sdt>
          </w:p>
        </w:tc>
      </w:tr>
    </w:tbl>
    <w:p w:rsidR="0094424E" w:rsidP="0094424E" w:rsidRDefault="0094424E">
      <w:pPr>
        <w:rPr>
          <w:rtl/>
        </w:rPr>
      </w:pPr>
    </w:p>
    <w:p w:rsidR="00E31C2B" w:rsidP="006D3B31" w:rsidRDefault="00E31C2B">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p w:rsidR="00DD3E5D" w:rsidP="00DD3E5D" w:rsidRDefault="00DD3E5D">
            <w:pPr>
              <w:bidi w:val="0"/>
              <w:jc w:val="center"/>
              <w:rPr>
                <w:rFonts w:ascii="Arial" w:hAnsi="Arial"/>
                <w:b/>
                <w:bCs/>
                <w:noProof w:val="0"/>
                <w:sz w:val="28"/>
                <w:szCs w:val="28"/>
                <w:u w:val="single"/>
              </w:rPr>
            </w:pPr>
            <w:r>
              <w:rPr>
                <w:rFonts w:hint="cs" w:ascii="Arial" w:hAnsi="Arial"/>
                <w:b/>
                <w:bCs/>
                <w:noProof w:val="0"/>
                <w:sz w:val="28"/>
                <w:szCs w:val="28"/>
                <w:u w:val="single"/>
                <w:rtl/>
              </w:rPr>
              <w:t>בבקשה להפקדת ערובה</w:t>
            </w:r>
          </w:p>
        </w:tc>
      </w:tr>
    </w:tbl>
    <w:p w:rsidR="00694556" w:rsidRDefault="00694556">
      <w:pPr>
        <w:spacing w:line="360" w:lineRule="auto"/>
        <w:jc w:val="both"/>
        <w:rPr>
          <w:rFonts w:ascii="Arial" w:hAnsi="Arial"/>
          <w:noProof w:val="0"/>
          <w:rtl/>
        </w:rPr>
      </w:pPr>
    </w:p>
    <w:p w:rsidRPr="0007165C" w:rsidR="0007165C" w:rsidP="006E234C" w:rsidRDefault="0007165C">
      <w:pPr>
        <w:spacing w:after="240" w:line="360" w:lineRule="auto"/>
        <w:jc w:val="both"/>
        <w:rPr>
          <w:rFonts w:ascii="Arial" w:hAnsi="Arial"/>
          <w:b/>
          <w:bCs/>
          <w:noProof w:val="0"/>
          <w:sz w:val="26"/>
          <w:szCs w:val="26"/>
          <w:u w:val="single"/>
          <w:rtl/>
        </w:rPr>
      </w:pPr>
      <w:bookmarkStart w:name="NGCSBookmark" w:id="1"/>
      <w:bookmarkEnd w:id="1"/>
      <w:r>
        <w:rPr>
          <w:rFonts w:hint="cs" w:ascii="Arial" w:hAnsi="Arial"/>
          <w:b/>
          <w:bCs/>
          <w:noProof w:val="0"/>
          <w:sz w:val="26"/>
          <w:szCs w:val="26"/>
          <w:u w:val="single"/>
          <w:rtl/>
        </w:rPr>
        <w:t>העובדות וטענות הצדדים</w:t>
      </w:r>
    </w:p>
    <w:p w:rsidRPr="006E234C" w:rsidR="00694556" w:rsidP="006E234C" w:rsidRDefault="007B70EA">
      <w:pPr>
        <w:spacing w:after="240" w:line="360" w:lineRule="auto"/>
        <w:jc w:val="both"/>
        <w:rPr>
          <w:rFonts w:ascii="Arial" w:hAnsi="Arial"/>
          <w:noProof w:val="0"/>
          <w:sz w:val="26"/>
          <w:szCs w:val="26"/>
          <w:rtl/>
        </w:rPr>
      </w:pPr>
      <w:r>
        <w:rPr>
          <w:rFonts w:hint="cs" w:ascii="Arial" w:hAnsi="Arial"/>
          <w:noProof w:val="0"/>
          <w:sz w:val="26"/>
          <w:szCs w:val="26"/>
          <w:rtl/>
        </w:rPr>
        <w:t>1.</w:t>
      </w:r>
      <w:r>
        <w:rPr>
          <w:rFonts w:hint="cs" w:ascii="Arial" w:hAnsi="Arial"/>
          <w:noProof w:val="0"/>
          <w:sz w:val="26"/>
          <w:szCs w:val="26"/>
          <w:rtl/>
        </w:rPr>
        <w:tab/>
      </w:r>
      <w:r w:rsidRPr="006E234C" w:rsidR="005C774E">
        <w:rPr>
          <w:rFonts w:hint="cs" w:ascii="Arial" w:hAnsi="Arial"/>
          <w:noProof w:val="0"/>
          <w:sz w:val="26"/>
          <w:szCs w:val="26"/>
          <w:rtl/>
        </w:rPr>
        <w:t>בפני ב</w:t>
      </w:r>
      <w:r w:rsidRPr="006E234C" w:rsidR="00F00568">
        <w:rPr>
          <w:rFonts w:hint="cs" w:ascii="Arial" w:hAnsi="Arial"/>
          <w:noProof w:val="0"/>
          <w:sz w:val="26"/>
          <w:szCs w:val="26"/>
          <w:rtl/>
        </w:rPr>
        <w:t>קשתן של הנתבעות לחייב את  התובע</w:t>
      </w:r>
      <w:r w:rsidRPr="006E234C" w:rsidR="002B77B7">
        <w:rPr>
          <w:rFonts w:hint="cs" w:ascii="Arial" w:hAnsi="Arial"/>
          <w:noProof w:val="0"/>
          <w:sz w:val="26"/>
          <w:szCs w:val="26"/>
          <w:rtl/>
        </w:rPr>
        <w:t>ת</w:t>
      </w:r>
      <w:r w:rsidRPr="006E234C" w:rsidR="005C774E">
        <w:rPr>
          <w:rFonts w:hint="cs" w:ascii="Arial" w:hAnsi="Arial"/>
          <w:noProof w:val="0"/>
          <w:sz w:val="26"/>
          <w:szCs w:val="26"/>
          <w:rtl/>
        </w:rPr>
        <w:t xml:space="preserve"> בהפקדת ערובה להוצאותיהן בסכום שלא יפחת מ-50,000 ₪. </w:t>
      </w:r>
    </w:p>
    <w:p w:rsidRPr="006E234C" w:rsidR="005C774E" w:rsidP="007B70EA" w:rsidRDefault="005C774E">
      <w:pPr>
        <w:spacing w:after="240" w:line="360" w:lineRule="auto"/>
        <w:ind w:firstLine="720"/>
        <w:jc w:val="both"/>
        <w:rPr>
          <w:rFonts w:ascii="Arial" w:hAnsi="Arial"/>
          <w:noProof w:val="0"/>
          <w:sz w:val="26"/>
          <w:szCs w:val="26"/>
          <w:rtl/>
        </w:rPr>
      </w:pPr>
      <w:r w:rsidRPr="006E234C">
        <w:rPr>
          <w:rFonts w:hint="cs" w:ascii="Arial" w:hAnsi="Arial"/>
          <w:noProof w:val="0"/>
          <w:sz w:val="26"/>
          <w:szCs w:val="26"/>
          <w:rtl/>
        </w:rPr>
        <w:t>אלה עיקרי העובדות הצריכות לעניין:</w:t>
      </w:r>
    </w:p>
    <w:p w:rsidRPr="006E234C" w:rsidR="002B77B7" w:rsidP="007B70EA" w:rsidRDefault="005C774E">
      <w:pPr>
        <w:spacing w:after="240" w:line="360" w:lineRule="auto"/>
        <w:ind w:firstLine="720"/>
        <w:jc w:val="both"/>
        <w:rPr>
          <w:rFonts w:ascii="Arial" w:hAnsi="Arial"/>
          <w:noProof w:val="0"/>
          <w:sz w:val="26"/>
          <w:szCs w:val="26"/>
          <w:rtl/>
        </w:rPr>
      </w:pPr>
      <w:r w:rsidRPr="006E234C">
        <w:rPr>
          <w:rFonts w:hint="cs" w:ascii="Arial" w:hAnsi="Arial"/>
          <w:noProof w:val="0"/>
          <w:sz w:val="26"/>
          <w:szCs w:val="26"/>
          <w:rtl/>
        </w:rPr>
        <w:t>התובעת</w:t>
      </w:r>
      <w:r w:rsidRPr="006E234C" w:rsidR="00FB778F">
        <w:rPr>
          <w:rFonts w:hint="cs" w:ascii="Arial" w:hAnsi="Arial"/>
          <w:noProof w:val="0"/>
          <w:sz w:val="26"/>
          <w:szCs w:val="26"/>
          <w:rtl/>
        </w:rPr>
        <w:t>, באמצעות הוריה,</w:t>
      </w:r>
      <w:r w:rsidRPr="006E234C">
        <w:rPr>
          <w:rFonts w:hint="cs" w:ascii="Arial" w:hAnsi="Arial"/>
          <w:noProof w:val="0"/>
          <w:sz w:val="26"/>
          <w:szCs w:val="26"/>
          <w:rtl/>
        </w:rPr>
        <w:t xml:space="preserve"> הגישה נגד הנתבעו</w:t>
      </w:r>
      <w:r w:rsidR="007B70EA">
        <w:rPr>
          <w:rFonts w:hint="cs" w:ascii="Arial" w:hAnsi="Arial"/>
          <w:noProof w:val="0"/>
          <w:sz w:val="26"/>
          <w:szCs w:val="26"/>
          <w:rtl/>
        </w:rPr>
        <w:t>ת תביעת רשלנות רפואית לאחר</w:t>
      </w:r>
      <w:r w:rsidRPr="006E234C">
        <w:rPr>
          <w:rFonts w:hint="cs" w:ascii="Arial" w:hAnsi="Arial"/>
          <w:noProof w:val="0"/>
          <w:sz w:val="26"/>
          <w:szCs w:val="26"/>
          <w:rtl/>
        </w:rPr>
        <w:t xml:space="preserve"> שלא מנעו את הולדתה עם פיגור התפתחותי רב </w:t>
      </w:r>
      <w:r w:rsidR="007B70EA">
        <w:rPr>
          <w:rFonts w:hint="cs" w:ascii="Arial" w:hAnsi="Arial"/>
          <w:noProof w:val="0"/>
          <w:sz w:val="26"/>
          <w:szCs w:val="26"/>
          <w:rtl/>
        </w:rPr>
        <w:t>תחומי ונכות בשיעור 100% לצמיתות</w:t>
      </w:r>
      <w:r w:rsidRPr="006E234C">
        <w:rPr>
          <w:rFonts w:hint="cs" w:ascii="Arial" w:hAnsi="Arial"/>
          <w:noProof w:val="0"/>
          <w:sz w:val="26"/>
          <w:szCs w:val="26"/>
          <w:rtl/>
        </w:rPr>
        <w:t>. התביעה הוגשה נגד נתבעת 1 בהיות המפעילה של סניף טיפת חלב במקום מגוריה של התובעת, ונגד נתבעת 2 ב</w:t>
      </w:r>
      <w:r w:rsidRPr="006E234C" w:rsidR="00FB778F">
        <w:rPr>
          <w:rFonts w:hint="cs" w:ascii="Arial" w:hAnsi="Arial"/>
          <w:noProof w:val="0"/>
          <w:sz w:val="26"/>
          <w:szCs w:val="26"/>
          <w:rtl/>
        </w:rPr>
        <w:t xml:space="preserve">ה היו הורי התובעת חברים. </w:t>
      </w:r>
      <w:r w:rsidRPr="006E234C" w:rsidR="002B77B7">
        <w:rPr>
          <w:rFonts w:hint="cs" w:ascii="Arial" w:hAnsi="Arial"/>
          <w:noProof w:val="0"/>
          <w:sz w:val="26"/>
          <w:szCs w:val="26"/>
          <w:rtl/>
        </w:rPr>
        <w:t xml:space="preserve">(בשולי הדברים אעיר כי בבקשה לחיוב בהפקדת ערובה מופיעים כמשיבים גם הוריה של התובעת, אולם לא מצתי בתיק החלטה על הוספת תובעים). </w:t>
      </w:r>
    </w:p>
    <w:p w:rsidRPr="006E234C" w:rsidR="00BA1CB3" w:rsidP="007B70EA" w:rsidRDefault="00FB778F">
      <w:pPr>
        <w:spacing w:after="240" w:line="360" w:lineRule="auto"/>
        <w:ind w:firstLine="720"/>
        <w:jc w:val="both"/>
        <w:rPr>
          <w:rFonts w:ascii="Arial" w:hAnsi="Arial"/>
          <w:noProof w:val="0"/>
          <w:sz w:val="26"/>
          <w:szCs w:val="26"/>
          <w:rtl/>
        </w:rPr>
      </w:pPr>
      <w:r w:rsidRPr="006E234C">
        <w:rPr>
          <w:rFonts w:hint="cs" w:ascii="Arial" w:hAnsi="Arial"/>
          <w:noProof w:val="0"/>
          <w:sz w:val="26"/>
          <w:szCs w:val="26"/>
          <w:rtl/>
        </w:rPr>
        <w:t xml:space="preserve">על פי האמור בכתב התביעה, התובעת שהיא תאומה נולדה בלידת תאומים רגילה עם מיקרוצפליה. לתובעת פנים דיסמורפיים. לטענת התובעת הנתבעות גרמו להולדתה בעוולה או גרמו לה לחיות בעוולה </w:t>
      </w:r>
      <w:r w:rsidR="007B70EA">
        <w:rPr>
          <w:rFonts w:hint="cs" w:ascii="Arial" w:hAnsi="Arial"/>
          <w:noProof w:val="0"/>
          <w:sz w:val="26"/>
          <w:szCs w:val="26"/>
          <w:rtl/>
        </w:rPr>
        <w:t>בכך שלא ביצעו מעקב הריון כנדרש,</w:t>
      </w:r>
      <w:r w:rsidRPr="006E234C">
        <w:rPr>
          <w:rFonts w:hint="cs" w:ascii="Arial" w:hAnsi="Arial"/>
          <w:noProof w:val="0"/>
          <w:sz w:val="26"/>
          <w:szCs w:val="26"/>
          <w:rtl/>
        </w:rPr>
        <w:t xml:space="preserve"> </w:t>
      </w:r>
      <w:r w:rsidR="007B70EA">
        <w:rPr>
          <w:rFonts w:hint="cs" w:ascii="Arial" w:hAnsi="Arial"/>
          <w:noProof w:val="0"/>
          <w:sz w:val="26"/>
          <w:szCs w:val="26"/>
          <w:rtl/>
        </w:rPr>
        <w:t>ו</w:t>
      </w:r>
      <w:r w:rsidRPr="006E234C">
        <w:rPr>
          <w:rFonts w:hint="cs" w:ascii="Arial" w:hAnsi="Arial"/>
          <w:noProof w:val="0"/>
          <w:sz w:val="26"/>
          <w:szCs w:val="26"/>
          <w:rtl/>
        </w:rPr>
        <w:t>הנתבעות</w:t>
      </w:r>
      <w:r w:rsidR="007B70EA">
        <w:rPr>
          <w:rFonts w:hint="cs" w:ascii="Arial" w:hAnsi="Arial"/>
          <w:noProof w:val="0"/>
          <w:sz w:val="26"/>
          <w:szCs w:val="26"/>
          <w:rtl/>
        </w:rPr>
        <w:t xml:space="preserve"> אף</w:t>
      </w:r>
      <w:r w:rsidRPr="006E234C">
        <w:rPr>
          <w:rFonts w:hint="cs" w:ascii="Arial" w:hAnsi="Arial"/>
          <w:noProof w:val="0"/>
          <w:sz w:val="26"/>
          <w:szCs w:val="26"/>
          <w:rtl/>
        </w:rPr>
        <w:t xml:space="preserve"> פגעו ביכולתה להוכיח את טענותיה בכך שלא המציאו לה ולהוריה את הרשומות הרפואיות הדרושות להוכחת רשלנותן. בכתב התביעה נכללה בקשה לפטור את התובעת מהגשת חוות דעת רפואית בתחום הגניקולוגיה והמיילדות, מאחר ששום מומחה בתחום זה לא הסכים לתת חוות דעת כאשר לא היה בפניו מלוא התיעוד הרפ</w:t>
      </w:r>
      <w:r w:rsidRPr="006E234C" w:rsidR="00DD3E5D">
        <w:rPr>
          <w:rFonts w:hint="cs" w:ascii="Arial" w:hAnsi="Arial"/>
          <w:noProof w:val="0"/>
          <w:sz w:val="26"/>
          <w:szCs w:val="26"/>
          <w:rtl/>
        </w:rPr>
        <w:t>ואי.</w:t>
      </w:r>
      <w:r w:rsidRPr="006E234C">
        <w:rPr>
          <w:rFonts w:hint="cs" w:ascii="Arial" w:hAnsi="Arial"/>
          <w:noProof w:val="0"/>
          <w:sz w:val="26"/>
          <w:szCs w:val="26"/>
          <w:rtl/>
        </w:rPr>
        <w:t xml:space="preserve"> </w:t>
      </w:r>
      <w:r w:rsidR="007B70EA">
        <w:rPr>
          <w:rFonts w:hint="cs" w:ascii="Arial" w:hAnsi="Arial"/>
          <w:noProof w:val="0"/>
          <w:sz w:val="26"/>
          <w:szCs w:val="26"/>
          <w:rtl/>
        </w:rPr>
        <w:t>כמו כן</w:t>
      </w:r>
      <w:r w:rsidRPr="006E234C" w:rsidR="00BA1CB3">
        <w:rPr>
          <w:rFonts w:hint="cs" w:ascii="Arial" w:hAnsi="Arial"/>
          <w:noProof w:val="0"/>
          <w:sz w:val="26"/>
          <w:szCs w:val="26"/>
          <w:rtl/>
        </w:rPr>
        <w:t xml:space="preserve"> מתוארים שורה של ליקויים במעקב ההריון </w:t>
      </w:r>
      <w:r w:rsidRPr="006E234C" w:rsidR="00BA1CB3">
        <w:rPr>
          <w:rFonts w:hint="cs" w:ascii="Arial" w:hAnsi="Arial"/>
          <w:noProof w:val="0"/>
          <w:sz w:val="26"/>
          <w:szCs w:val="26"/>
          <w:rtl/>
        </w:rPr>
        <w:lastRenderedPageBreak/>
        <w:t xml:space="preserve">שהתובעת טוענת להם, בין היתר הימנעות מהמלצות לבצע בדיקות שגרתיות וייעוץ גנטי. עוד נטען כי  בהתאם לחוזרי משרד הבריאות יש לשקול לבצע דילול עוברים בכל מקרה של הריון רב עוברים, כולל תאומים ושלישיות, וכי הנתבעות לא הציעו להורים "דילול התובעת". </w:t>
      </w:r>
    </w:p>
    <w:p w:rsidRPr="006E234C" w:rsidR="00DD3E5D" w:rsidP="0016154F" w:rsidRDefault="007B70EA">
      <w:pPr>
        <w:spacing w:after="240" w:line="360" w:lineRule="auto"/>
        <w:jc w:val="both"/>
        <w:rPr>
          <w:rFonts w:ascii="Arial" w:hAnsi="Arial"/>
          <w:noProof w:val="0"/>
          <w:sz w:val="26"/>
          <w:szCs w:val="26"/>
          <w:rtl/>
        </w:rPr>
      </w:pPr>
      <w:r>
        <w:rPr>
          <w:rFonts w:hint="cs" w:ascii="Arial" w:hAnsi="Arial"/>
          <w:noProof w:val="0"/>
          <w:sz w:val="26"/>
          <w:szCs w:val="26"/>
          <w:rtl/>
        </w:rPr>
        <w:t>2.</w:t>
      </w:r>
      <w:r>
        <w:rPr>
          <w:rFonts w:hint="cs" w:ascii="Arial" w:hAnsi="Arial"/>
          <w:noProof w:val="0"/>
          <w:sz w:val="26"/>
          <w:szCs w:val="26"/>
          <w:rtl/>
        </w:rPr>
        <w:tab/>
      </w:r>
      <w:r w:rsidRPr="006E234C" w:rsidR="00DD3E5D">
        <w:rPr>
          <w:rFonts w:hint="cs" w:ascii="Arial" w:hAnsi="Arial"/>
          <w:noProof w:val="0"/>
          <w:sz w:val="26"/>
          <w:szCs w:val="26"/>
          <w:rtl/>
        </w:rPr>
        <w:t xml:space="preserve">כאמור, הנתבעות הגישו בקשה להפקדת ערובה בהתאם לתקנה 519 לתקנות סדר הדין האזרחי התשמ"ד-1984, וזאת מחמת סיכוייה הקלושים של התביעה להתקבל. בבקשה טוענות הנתבעות כי </w:t>
      </w:r>
      <w:r w:rsidRPr="006E234C" w:rsidR="00B97F07">
        <w:rPr>
          <w:rFonts w:hint="cs" w:ascii="Arial" w:hAnsi="Arial"/>
          <w:noProof w:val="0"/>
          <w:sz w:val="26"/>
          <w:szCs w:val="26"/>
          <w:rtl/>
        </w:rPr>
        <w:t>בכתב התב</w:t>
      </w:r>
      <w:r w:rsidR="00CA0352">
        <w:rPr>
          <w:rFonts w:hint="cs" w:ascii="Arial" w:hAnsi="Arial"/>
          <w:noProof w:val="0"/>
          <w:sz w:val="26"/>
          <w:szCs w:val="26"/>
          <w:rtl/>
        </w:rPr>
        <w:t>יעה נטען כי עד היום לא אובחנה ה</w:t>
      </w:r>
      <w:r w:rsidRPr="006E234C" w:rsidR="00B97F07">
        <w:rPr>
          <w:rFonts w:hint="cs" w:ascii="Arial" w:hAnsi="Arial"/>
          <w:noProof w:val="0"/>
          <w:sz w:val="26"/>
          <w:szCs w:val="26"/>
          <w:rtl/>
        </w:rPr>
        <w:t>ת</w:t>
      </w:r>
      <w:r w:rsidR="00CA0352">
        <w:rPr>
          <w:rFonts w:hint="cs" w:ascii="Arial" w:hAnsi="Arial"/>
          <w:noProof w:val="0"/>
          <w:sz w:val="26"/>
          <w:szCs w:val="26"/>
          <w:rtl/>
        </w:rPr>
        <w:t>ס</w:t>
      </w:r>
      <w:r w:rsidRPr="006E234C" w:rsidR="00B97F07">
        <w:rPr>
          <w:rFonts w:hint="cs" w:ascii="Arial" w:hAnsi="Arial"/>
          <w:noProof w:val="0"/>
          <w:sz w:val="26"/>
          <w:szCs w:val="26"/>
          <w:rtl/>
        </w:rPr>
        <w:t xml:space="preserve">מונת ממנה סובלת התובעת, וכי אם התובעת לא הופנתה למעקב הריון בסיכון גבוה, וכתוצאה מכך לא הופנתה לייעוץ גנטי, לא בוצע דילול עוברים ולא הוצעו לה בדיקות שגרתיות, באופן שגרם להחמצת המום. לתמיכה בטענות הוגשו מטעם התובעת חוות דעת של ד"ר עאמר רמדאן, מומחה בתחום הגנטי, ושל ד"ר אדוארד מילר, בתחום רפואת המשפחה. </w:t>
      </w:r>
      <w:r w:rsidRPr="006E234C" w:rsidR="00B74F28">
        <w:rPr>
          <w:rFonts w:hint="cs" w:ascii="Arial" w:hAnsi="Arial"/>
          <w:noProof w:val="0"/>
          <w:sz w:val="26"/>
          <w:szCs w:val="26"/>
          <w:rtl/>
        </w:rPr>
        <w:t>לא צורפה חוות דעת מומחה בתחום המיילדות והגניקולוגיה, על אף שטענות התביעה נוגעות כול</w:t>
      </w:r>
      <w:r w:rsidR="0016154F">
        <w:rPr>
          <w:rFonts w:hint="cs" w:ascii="Arial" w:hAnsi="Arial"/>
          <w:noProof w:val="0"/>
          <w:sz w:val="26"/>
          <w:szCs w:val="26"/>
          <w:rtl/>
        </w:rPr>
        <w:t>ן</w:t>
      </w:r>
      <w:r w:rsidRPr="006E234C" w:rsidR="00B74F28">
        <w:rPr>
          <w:rFonts w:hint="cs" w:ascii="Arial" w:hAnsi="Arial"/>
          <w:noProof w:val="0"/>
          <w:sz w:val="26"/>
          <w:szCs w:val="26"/>
          <w:rtl/>
        </w:rPr>
        <w:t xml:space="preserve"> לתחום זה, שאינו בתחום מומחיותם של נותני חוות הדעת. </w:t>
      </w:r>
    </w:p>
    <w:p w:rsidRPr="006E234C" w:rsidR="00C15937" w:rsidP="0074119A" w:rsidRDefault="00B74F28">
      <w:pPr>
        <w:spacing w:after="240" w:line="360" w:lineRule="auto"/>
        <w:ind w:firstLine="720"/>
        <w:jc w:val="both"/>
        <w:rPr>
          <w:rFonts w:ascii="Arial" w:hAnsi="Arial"/>
          <w:noProof w:val="0"/>
          <w:sz w:val="26"/>
          <w:szCs w:val="26"/>
          <w:rtl/>
        </w:rPr>
      </w:pPr>
      <w:r w:rsidRPr="006E234C">
        <w:rPr>
          <w:rFonts w:hint="cs" w:ascii="Arial" w:hAnsi="Arial"/>
          <w:noProof w:val="0"/>
          <w:sz w:val="26"/>
          <w:szCs w:val="26"/>
          <w:rtl/>
        </w:rPr>
        <w:t>אל מול אלה הוגשו מטעם הנתבעת חוות דעת של פרופ' יצחק בליקשטיין ופרופ' אייל ענתבי, אשר, על פי הנטען</w:t>
      </w:r>
      <w:r w:rsidRPr="006E234C" w:rsidR="00C15937">
        <w:rPr>
          <w:rFonts w:hint="cs" w:ascii="Arial" w:hAnsi="Arial"/>
          <w:noProof w:val="0"/>
          <w:sz w:val="26"/>
          <w:szCs w:val="26"/>
          <w:rtl/>
        </w:rPr>
        <w:t>,</w:t>
      </w:r>
      <w:r w:rsidRPr="006E234C">
        <w:rPr>
          <w:rFonts w:hint="cs" w:ascii="Arial" w:hAnsi="Arial"/>
          <w:noProof w:val="0"/>
          <w:sz w:val="26"/>
          <w:szCs w:val="26"/>
          <w:rtl/>
        </w:rPr>
        <w:t xml:space="preserve"> דוחות את טענות התובעת וקובעות כי בנסיבות בהן עד היום טרם אובחנה התסמונת, ברור שאין היא ניתנת לזיהוי בכלל, ובמעקב הריון בפרט. </w:t>
      </w:r>
      <w:r w:rsidRPr="006E234C" w:rsidR="00C15937">
        <w:rPr>
          <w:rFonts w:hint="cs" w:ascii="Arial" w:hAnsi="Arial"/>
          <w:noProof w:val="0"/>
          <w:sz w:val="26"/>
          <w:szCs w:val="26"/>
          <w:rtl/>
        </w:rPr>
        <w:t>על כן גם אילו היתה התובעת מבצעת את כל הבדיקות, לא היה סי</w:t>
      </w:r>
      <w:r w:rsidR="0074119A">
        <w:rPr>
          <w:rFonts w:hint="cs" w:ascii="Arial" w:hAnsi="Arial"/>
          <w:noProof w:val="0"/>
          <w:sz w:val="26"/>
          <w:szCs w:val="26"/>
          <w:rtl/>
        </w:rPr>
        <w:t>כ</w:t>
      </w:r>
      <w:r w:rsidRPr="006E234C" w:rsidR="00C15937">
        <w:rPr>
          <w:rFonts w:hint="cs" w:ascii="Arial" w:hAnsi="Arial"/>
          <w:noProof w:val="0"/>
          <w:sz w:val="26"/>
          <w:szCs w:val="26"/>
          <w:rtl/>
        </w:rPr>
        <w:t xml:space="preserve">וי להגיע לאבחנה, ולא היתה מתגלה אינדיקציה להמלצה על הפסקת ההריון, כיון שהתובעת נולדה ללא מומים מבניים ופיגור שכלי אינו ניתן לזיהוי במסגרת החיים העובריים. עוד נטען בבקשה כי מאחר שהתובעת פנתה לראשונה לטיפת חלב בשבוע ה-25 להריון, והריון התאומים אובחן בשבוע 29, הרי שדילול העוברים לא עלה כלל על הפרק. הנתבעות טוענות, איפוא, כי מדובר בטענות בעלמא, כי לא יעלה בידי התובעת להוכיח את טענותיה וסיכויי התביעה להתקבל קלושים מאד. </w:t>
      </w:r>
    </w:p>
    <w:p w:rsidR="00B74F28" w:rsidP="006E234C" w:rsidRDefault="00C15937">
      <w:pPr>
        <w:spacing w:after="240" w:line="360" w:lineRule="auto"/>
        <w:jc w:val="both"/>
        <w:rPr>
          <w:rFonts w:ascii="Arial" w:hAnsi="Arial"/>
          <w:noProof w:val="0"/>
          <w:sz w:val="26"/>
          <w:szCs w:val="26"/>
          <w:rtl/>
        </w:rPr>
      </w:pPr>
      <w:r w:rsidRPr="006E234C">
        <w:rPr>
          <w:rFonts w:hint="cs" w:ascii="Arial" w:hAnsi="Arial"/>
          <w:noProof w:val="0"/>
          <w:sz w:val="26"/>
          <w:szCs w:val="26"/>
          <w:rtl/>
        </w:rPr>
        <w:t>הנתבעות הוסיפו וטענו כי זכות הגישה לערכאות, ככל זכות אחרת, היא יחסית ואינה מוחלטת. מניעת תביעות סרק וסיכויים קלושים להצליח בתביעה הו</w:t>
      </w:r>
      <w:r w:rsidRPr="006E234C" w:rsidR="00857E9E">
        <w:rPr>
          <w:rFonts w:hint="cs" w:ascii="Arial" w:hAnsi="Arial"/>
          <w:noProof w:val="0"/>
          <w:sz w:val="26"/>
          <w:szCs w:val="26"/>
          <w:rtl/>
        </w:rPr>
        <w:t xml:space="preserve">כרו בפסיקה כשיקולים המצדיקים חיוב בהפקדת ערובה, </w:t>
      </w:r>
      <w:r w:rsidRPr="006E234C">
        <w:rPr>
          <w:rFonts w:hint="cs" w:ascii="Arial" w:hAnsi="Arial"/>
          <w:noProof w:val="0"/>
          <w:sz w:val="26"/>
          <w:szCs w:val="26"/>
          <w:rtl/>
        </w:rPr>
        <w:t xml:space="preserve"> </w:t>
      </w:r>
      <w:r w:rsidRPr="006E234C" w:rsidR="00857E9E">
        <w:rPr>
          <w:rFonts w:hint="cs" w:ascii="Arial" w:hAnsi="Arial"/>
          <w:noProof w:val="0"/>
          <w:sz w:val="26"/>
          <w:szCs w:val="26"/>
          <w:rtl/>
        </w:rPr>
        <w:t xml:space="preserve">במיוחד כשמדובר בתביעת רשלנות רפואית המחייבת את הנתבע להוצאות בסכומים גדולים. </w:t>
      </w:r>
      <w:r w:rsidRPr="006E234C">
        <w:rPr>
          <w:rFonts w:hint="cs" w:ascii="Arial" w:hAnsi="Arial"/>
          <w:noProof w:val="0"/>
          <w:sz w:val="26"/>
          <w:szCs w:val="26"/>
          <w:rtl/>
        </w:rPr>
        <w:t xml:space="preserve">לפיכך הן מבקשות לחייב את התובעת בהפקדת ערובה </w:t>
      </w:r>
      <w:r w:rsidRPr="006E234C" w:rsidR="00857E9E">
        <w:rPr>
          <w:rFonts w:hint="cs" w:ascii="Arial" w:hAnsi="Arial"/>
          <w:noProof w:val="0"/>
          <w:sz w:val="26"/>
          <w:szCs w:val="26"/>
          <w:rtl/>
        </w:rPr>
        <w:t xml:space="preserve">בסכום שלא יפחת מ-50,000 ₪ או בסכום אחר שייקבע. </w:t>
      </w:r>
    </w:p>
    <w:p w:rsidR="00EC52B0" w:rsidP="009E1EFF" w:rsidRDefault="0074119A">
      <w:pPr>
        <w:spacing w:after="240" w:line="360" w:lineRule="auto"/>
        <w:jc w:val="both"/>
        <w:rPr>
          <w:rFonts w:ascii="Arial" w:hAnsi="Arial"/>
          <w:noProof w:val="0"/>
          <w:sz w:val="26"/>
          <w:szCs w:val="26"/>
          <w:rtl/>
        </w:rPr>
      </w:pPr>
      <w:r>
        <w:rPr>
          <w:rFonts w:hint="cs" w:ascii="Arial" w:hAnsi="Arial"/>
          <w:noProof w:val="0"/>
          <w:sz w:val="26"/>
          <w:szCs w:val="26"/>
          <w:rtl/>
        </w:rPr>
        <w:t>3.</w:t>
      </w:r>
      <w:r>
        <w:rPr>
          <w:rFonts w:hint="cs" w:ascii="Arial" w:hAnsi="Arial"/>
          <w:noProof w:val="0"/>
          <w:sz w:val="26"/>
          <w:szCs w:val="26"/>
          <w:rtl/>
        </w:rPr>
        <w:tab/>
      </w:r>
      <w:r w:rsidR="00EC52B0">
        <w:rPr>
          <w:rFonts w:hint="cs" w:ascii="Arial" w:hAnsi="Arial"/>
          <w:noProof w:val="0"/>
          <w:sz w:val="26"/>
          <w:szCs w:val="26"/>
          <w:rtl/>
        </w:rPr>
        <w:t>התובעת הגישה תגובה לבקשה לחיוב בהפקדת ערובה.</w:t>
      </w:r>
      <w:r w:rsidR="00BF6E99">
        <w:rPr>
          <w:rFonts w:hint="cs" w:ascii="Arial" w:hAnsi="Arial"/>
          <w:noProof w:val="0"/>
          <w:sz w:val="26"/>
          <w:szCs w:val="26"/>
          <w:rtl/>
        </w:rPr>
        <w:t xml:space="preserve"> </w:t>
      </w:r>
      <w:r w:rsidR="0095561E">
        <w:rPr>
          <w:rFonts w:hint="cs" w:ascii="Arial" w:hAnsi="Arial"/>
          <w:noProof w:val="0"/>
          <w:sz w:val="26"/>
          <w:szCs w:val="26"/>
          <w:rtl/>
        </w:rPr>
        <w:t xml:space="preserve">היא ציינה כי הבקשה הוגשה בשלב מאוחר, לאחר הגשת תצהירי עדות ראשית וכאשר התיק קבוע להוכחות, והיא מהווה </w:t>
      </w:r>
      <w:r w:rsidR="0095561E">
        <w:rPr>
          <w:rFonts w:hint="cs" w:ascii="Arial" w:hAnsi="Arial"/>
          <w:noProof w:val="0"/>
          <w:sz w:val="26"/>
          <w:szCs w:val="26"/>
          <w:rtl/>
        </w:rPr>
        <w:lastRenderedPageBreak/>
        <w:t>ניצול לרעה של ההליכים בנ</w:t>
      </w:r>
      <w:r w:rsidR="0007165C">
        <w:rPr>
          <w:rFonts w:hint="cs" w:ascii="Arial" w:hAnsi="Arial"/>
          <w:noProof w:val="0"/>
          <w:sz w:val="26"/>
          <w:szCs w:val="26"/>
          <w:rtl/>
        </w:rPr>
        <w:t>י</w:t>
      </w:r>
      <w:r w:rsidR="0095561E">
        <w:rPr>
          <w:rFonts w:hint="cs" w:ascii="Arial" w:hAnsi="Arial"/>
          <w:noProof w:val="0"/>
          <w:sz w:val="26"/>
          <w:szCs w:val="26"/>
          <w:rtl/>
        </w:rPr>
        <w:t>סיון לחסום את דרכה של התובעת לבית המשפט. התובעת ביקשה לדחות את הבקשה על הסף בשל מספר נימוקים: ראשית טענה התובעת כי היה על הנתבעות להגיש את הבקשה לפני קדם המשפט ולא בשלב הנוכחי. שנית טענה כי הבקשה אינה נתמכת בתצהיר. עוד טענה התובעת כי לנתבעות אין תשובות לטענו</w:t>
      </w:r>
      <w:r w:rsidR="0007165C">
        <w:rPr>
          <w:rFonts w:hint="cs" w:ascii="Arial" w:hAnsi="Arial"/>
          <w:noProof w:val="0"/>
          <w:sz w:val="26"/>
          <w:szCs w:val="26"/>
          <w:rtl/>
        </w:rPr>
        <w:t>ת חמורות שהעלתה התובעת, לפיהן הן</w:t>
      </w:r>
      <w:r w:rsidR="0095561E">
        <w:rPr>
          <w:rFonts w:hint="cs" w:ascii="Arial" w:hAnsi="Arial"/>
          <w:noProof w:val="0"/>
          <w:sz w:val="26"/>
          <w:szCs w:val="26"/>
          <w:rtl/>
        </w:rPr>
        <w:t xml:space="preserve"> מונעות ממנה את הרשומות הרפואיות הדרושות לה. עוד נטען כי התובעת מסתמכת על הוראות משרד הבריאות וקופת חולים כללית ועל תעודות רפואיות, וכי אף רופא נשים אינו מוכן ויכול לתת חוות </w:t>
      </w:r>
      <w:r w:rsidR="009E1EFF">
        <w:rPr>
          <w:rFonts w:hint="cs" w:ascii="Arial" w:hAnsi="Arial"/>
          <w:noProof w:val="0"/>
          <w:sz w:val="26"/>
          <w:szCs w:val="26"/>
          <w:rtl/>
        </w:rPr>
        <w:t>דעת נאותה ללא תיקי מעקב ההריון. ב"כ התובעת התייחס גם לתצהירים של שני</w:t>
      </w:r>
      <w:r w:rsidR="00A561F5">
        <w:rPr>
          <w:rFonts w:hint="cs" w:ascii="Arial" w:hAnsi="Arial"/>
          <w:noProof w:val="0"/>
          <w:sz w:val="26"/>
          <w:szCs w:val="26"/>
          <w:rtl/>
        </w:rPr>
        <w:t xml:space="preserve"> מצהירים מטעם הנתבעות, אשר הצהירו בנוגע להיעדר רשומות של בדיקת אולטרה סאונד ומעקב הריון. לטענת התובעת אין סיכוי להגנת הנתבעת, ומכל מקום נטל השכנוע מועבר אליה. </w:t>
      </w:r>
    </w:p>
    <w:p w:rsidR="004B274D" w:rsidP="0007165C" w:rsidRDefault="004B274D">
      <w:pPr>
        <w:spacing w:after="240" w:line="360" w:lineRule="auto"/>
        <w:ind w:firstLine="720"/>
        <w:jc w:val="both"/>
        <w:rPr>
          <w:rFonts w:ascii="Arial" w:hAnsi="Arial"/>
          <w:noProof w:val="0"/>
          <w:sz w:val="26"/>
          <w:szCs w:val="26"/>
          <w:rtl/>
        </w:rPr>
      </w:pPr>
      <w:r>
        <w:rPr>
          <w:rFonts w:hint="cs" w:ascii="Arial" w:hAnsi="Arial"/>
          <w:noProof w:val="0"/>
          <w:sz w:val="26"/>
          <w:szCs w:val="26"/>
          <w:rtl/>
        </w:rPr>
        <w:t>התובעת טענה כי סיכויי התביעה טובים, כי טענותיה העובדתיות ראויות להתברר וכי די בכך שהתביעה נתמכת בחוות דעת רפואיות הקובעות את רשלנות הנתבעות כדי להביא לדחיית הבקשה. היא הוסיפה כי במקרה זה לא מתקיימות נסיבות אחרות המצד</w:t>
      </w:r>
      <w:r w:rsidR="009A198D">
        <w:rPr>
          <w:rFonts w:hint="cs" w:ascii="Arial" w:hAnsi="Arial"/>
          <w:noProof w:val="0"/>
          <w:sz w:val="26"/>
          <w:szCs w:val="26"/>
          <w:rtl/>
        </w:rPr>
        <w:t>יקות חיוב בהפקדת ערובה, כגון מגורים מחוץ לתחום מדינת ישראל.</w:t>
      </w:r>
    </w:p>
    <w:p w:rsidR="00A561F5" w:rsidP="0007165C" w:rsidRDefault="00A561F5">
      <w:pPr>
        <w:spacing w:after="240" w:line="360" w:lineRule="auto"/>
        <w:ind w:firstLine="720"/>
        <w:jc w:val="both"/>
        <w:rPr>
          <w:rFonts w:ascii="Arial" w:hAnsi="Arial"/>
          <w:noProof w:val="0"/>
          <w:sz w:val="26"/>
          <w:szCs w:val="26"/>
          <w:rtl/>
        </w:rPr>
      </w:pPr>
      <w:r>
        <w:rPr>
          <w:rFonts w:hint="cs" w:ascii="Arial" w:hAnsi="Arial"/>
          <w:noProof w:val="0"/>
          <w:sz w:val="26"/>
          <w:szCs w:val="26"/>
          <w:rtl/>
        </w:rPr>
        <w:t>התובעת טענה, איפוא, כי הנ</w:t>
      </w:r>
      <w:r w:rsidR="004B274D">
        <w:rPr>
          <w:rFonts w:hint="cs" w:ascii="Arial" w:hAnsi="Arial"/>
          <w:noProof w:val="0"/>
          <w:sz w:val="26"/>
          <w:szCs w:val="26"/>
          <w:rtl/>
        </w:rPr>
        <w:t>תבעות עושות שימוש בכוחן הכלכלי ת</w:t>
      </w:r>
      <w:r>
        <w:rPr>
          <w:rFonts w:hint="cs" w:ascii="Arial" w:hAnsi="Arial"/>
          <w:noProof w:val="0"/>
          <w:sz w:val="26"/>
          <w:szCs w:val="26"/>
          <w:rtl/>
        </w:rPr>
        <w:t xml:space="preserve">וך ניצול לרעה של ההליכים, כשהתיק קבוע כבר להוכחות. היא הוסיפה כי בהתאם לפסיקה החיוב בהפקדת ערובה נקבע במשורה, כשמדובר בהליך סרק מוחלט, בהתקיים נסיבות מיוחדות וחריגות ולא כשגרה. לטענת התובעת סיכוייה לשכות בתביעה טובים, ואין לחסום את דרכה על ידי חיובה בהפקדת ערובה. </w:t>
      </w:r>
    </w:p>
    <w:p w:rsidR="00A561F5" w:rsidP="009E1EFF" w:rsidRDefault="0007165C">
      <w:pPr>
        <w:spacing w:after="240" w:line="360" w:lineRule="auto"/>
        <w:jc w:val="both"/>
        <w:rPr>
          <w:rFonts w:ascii="Arial" w:hAnsi="Arial"/>
          <w:noProof w:val="0"/>
          <w:sz w:val="26"/>
          <w:szCs w:val="26"/>
          <w:rtl/>
        </w:rPr>
      </w:pPr>
      <w:r>
        <w:rPr>
          <w:rFonts w:hint="cs" w:ascii="Arial" w:hAnsi="Arial"/>
          <w:noProof w:val="0"/>
          <w:sz w:val="26"/>
          <w:szCs w:val="26"/>
          <w:rtl/>
        </w:rPr>
        <w:t>4.</w:t>
      </w:r>
      <w:r>
        <w:rPr>
          <w:rFonts w:hint="cs" w:ascii="Arial" w:hAnsi="Arial"/>
          <w:noProof w:val="0"/>
          <w:sz w:val="26"/>
          <w:szCs w:val="26"/>
          <w:rtl/>
        </w:rPr>
        <w:tab/>
      </w:r>
      <w:r w:rsidR="00A561F5">
        <w:rPr>
          <w:rFonts w:hint="cs" w:ascii="Arial" w:hAnsi="Arial"/>
          <w:noProof w:val="0"/>
          <w:sz w:val="26"/>
          <w:szCs w:val="26"/>
          <w:rtl/>
        </w:rPr>
        <w:t>הנתבעות הגישו תשובה לתגובה בה טענו כי אין בתגובה</w:t>
      </w:r>
      <w:r w:rsidR="00DA64E2">
        <w:rPr>
          <w:rFonts w:hint="cs" w:ascii="Arial" w:hAnsi="Arial"/>
          <w:noProof w:val="0"/>
          <w:sz w:val="26"/>
          <w:szCs w:val="26"/>
          <w:rtl/>
        </w:rPr>
        <w:t xml:space="preserve"> התייחסות עניינית לטענותיהן, ולא בכדי. הן חזרו על הטענה שלא ניתן היה לאבחן</w:t>
      </w:r>
      <w:r>
        <w:rPr>
          <w:rFonts w:hint="cs" w:ascii="Arial" w:hAnsi="Arial"/>
          <w:noProof w:val="0"/>
          <w:sz w:val="26"/>
          <w:szCs w:val="26"/>
          <w:rtl/>
        </w:rPr>
        <w:t xml:space="preserve"> במהלך ההריון</w:t>
      </w:r>
      <w:r w:rsidR="00DA64E2">
        <w:rPr>
          <w:rFonts w:hint="cs" w:ascii="Arial" w:hAnsi="Arial"/>
          <w:noProof w:val="0"/>
          <w:sz w:val="26"/>
          <w:szCs w:val="26"/>
          <w:rtl/>
        </w:rPr>
        <w:t xml:space="preserve"> תסמונת שלא אובחנה עד היום, והוסיפו כי אין בפני בית המשפט חוות דעת מטעם התובעת בתחום המיילדות והגניקולוגיה, או מטעם רופאים העוסקים במעקב הריון. באשר לטענות התובעת בנוגע להעדר המסמכים טענו הנתבעות כי מדובר בטענות חסרות שחר, ציינו כי אין כל בקשה תלויה ועומדת מטעם התובעת למתן צו גילוי מסמכים או לעיון במסמך כלשהו, והוסיפו כי צירפו לראיות מטעמן את מלוא הרשומות הרפואיות שברשותן הנוגעות לתביעה. </w:t>
      </w:r>
    </w:p>
    <w:p w:rsidR="009B1D64" w:rsidP="009E1EFF" w:rsidRDefault="009B1D64">
      <w:pPr>
        <w:spacing w:after="240" w:line="360" w:lineRule="auto"/>
        <w:jc w:val="both"/>
        <w:rPr>
          <w:rFonts w:ascii="Arial" w:hAnsi="Arial"/>
          <w:noProof w:val="0"/>
          <w:sz w:val="26"/>
          <w:szCs w:val="26"/>
          <w:rtl/>
        </w:rPr>
      </w:pPr>
    </w:p>
    <w:p w:rsidR="00DA64E2" w:rsidP="009E1EFF" w:rsidRDefault="00DA64E2">
      <w:pPr>
        <w:spacing w:after="240" w:line="360" w:lineRule="auto"/>
        <w:jc w:val="both"/>
        <w:rPr>
          <w:rFonts w:ascii="Arial" w:hAnsi="Arial"/>
          <w:noProof w:val="0"/>
          <w:sz w:val="26"/>
          <w:szCs w:val="26"/>
          <w:rtl/>
        </w:rPr>
      </w:pPr>
      <w:r>
        <w:rPr>
          <w:rFonts w:hint="cs" w:ascii="Arial" w:hAnsi="Arial"/>
          <w:b/>
          <w:bCs/>
          <w:noProof w:val="0"/>
          <w:sz w:val="26"/>
          <w:szCs w:val="26"/>
          <w:u w:val="single"/>
          <w:rtl/>
        </w:rPr>
        <w:lastRenderedPageBreak/>
        <w:t>דיון והכרעה</w:t>
      </w:r>
    </w:p>
    <w:p w:rsidR="00DA64E2" w:rsidP="009B1D64" w:rsidRDefault="009B1D64">
      <w:pPr>
        <w:spacing w:after="240" w:line="360" w:lineRule="auto"/>
        <w:jc w:val="both"/>
        <w:rPr>
          <w:rFonts w:ascii="Arial" w:hAnsi="Arial"/>
          <w:noProof w:val="0"/>
          <w:sz w:val="26"/>
          <w:szCs w:val="26"/>
          <w:rtl/>
        </w:rPr>
      </w:pPr>
      <w:r>
        <w:rPr>
          <w:rFonts w:hint="cs" w:ascii="Arial" w:hAnsi="Arial"/>
          <w:noProof w:val="0"/>
          <w:sz w:val="26"/>
          <w:szCs w:val="26"/>
          <w:rtl/>
        </w:rPr>
        <w:t>5.</w:t>
      </w:r>
      <w:r>
        <w:rPr>
          <w:rFonts w:hint="cs" w:ascii="Arial" w:hAnsi="Arial"/>
          <w:noProof w:val="0"/>
          <w:sz w:val="26"/>
          <w:szCs w:val="26"/>
          <w:rtl/>
        </w:rPr>
        <w:tab/>
      </w:r>
      <w:r w:rsidR="004B274D">
        <w:rPr>
          <w:rFonts w:hint="cs" w:ascii="Arial" w:hAnsi="Arial"/>
          <w:noProof w:val="0"/>
          <w:sz w:val="26"/>
          <w:szCs w:val="26"/>
          <w:rtl/>
        </w:rPr>
        <w:t>ההליך של חיוב תובע בהפקדת ערובה אינו הליך הננקט בדרך שגרה, ונדרש</w:t>
      </w:r>
      <w:r>
        <w:rPr>
          <w:rFonts w:hint="cs" w:ascii="Arial" w:hAnsi="Arial"/>
          <w:noProof w:val="0"/>
          <w:sz w:val="26"/>
          <w:szCs w:val="26"/>
          <w:rtl/>
        </w:rPr>
        <w:t>ות</w:t>
      </w:r>
      <w:r w:rsidR="008E4425">
        <w:rPr>
          <w:rFonts w:hint="cs" w:ascii="Arial" w:hAnsi="Arial"/>
          <w:noProof w:val="0"/>
          <w:sz w:val="26"/>
          <w:szCs w:val="26"/>
          <w:rtl/>
        </w:rPr>
        <w:t xml:space="preserve"> נסיבות המצדיקות צעד זה. תקנה 519 אינה מפרטת את הנימוקים בגינם ניתן לחייב תובע בהפקדת ערובה, אולם בפסיקה גובשו מבחנים שונים, אחד מהם </w:t>
      </w:r>
      <w:r>
        <w:rPr>
          <w:rFonts w:hint="cs" w:ascii="Arial" w:hAnsi="Arial"/>
          <w:noProof w:val="0"/>
          <w:sz w:val="26"/>
          <w:szCs w:val="26"/>
          <w:rtl/>
        </w:rPr>
        <w:t>נוגע לסיכויים</w:t>
      </w:r>
      <w:r w:rsidR="008E4425">
        <w:rPr>
          <w:rFonts w:hint="cs" w:ascii="Arial" w:hAnsi="Arial"/>
          <w:noProof w:val="0"/>
          <w:sz w:val="26"/>
          <w:szCs w:val="26"/>
          <w:rtl/>
        </w:rPr>
        <w:t xml:space="preserve"> לזכות בתביעה.</w:t>
      </w:r>
    </w:p>
    <w:p w:rsidR="00496B74" w:rsidP="00496B74" w:rsidRDefault="008E4425">
      <w:pPr>
        <w:spacing w:after="240" w:line="360" w:lineRule="auto"/>
        <w:ind w:firstLine="720"/>
        <w:jc w:val="both"/>
        <w:rPr>
          <w:rFonts w:ascii="Arial" w:hAnsi="Arial"/>
          <w:noProof w:val="0"/>
          <w:sz w:val="26"/>
          <w:szCs w:val="26"/>
          <w:rtl/>
        </w:rPr>
      </w:pPr>
      <w:r>
        <w:rPr>
          <w:rFonts w:hint="cs" w:ascii="Arial" w:hAnsi="Arial"/>
          <w:noProof w:val="0"/>
          <w:sz w:val="26"/>
          <w:szCs w:val="26"/>
          <w:rtl/>
        </w:rPr>
        <w:t>כך נפסק:</w:t>
      </w:r>
    </w:p>
    <w:p w:rsidR="00496B74" w:rsidP="00496B74" w:rsidRDefault="00496B74">
      <w:pPr>
        <w:spacing w:after="240" w:line="360" w:lineRule="auto"/>
        <w:ind w:left="720" w:right="709"/>
        <w:jc w:val="both"/>
        <w:rPr>
          <w:rFonts w:ascii="Arial" w:hAnsi="Arial"/>
          <w:noProof w:val="0"/>
          <w:sz w:val="26"/>
          <w:szCs w:val="26"/>
          <w:rtl/>
        </w:rPr>
      </w:pPr>
      <w:r>
        <w:rPr>
          <w:rFonts w:hint="cs" w:ascii="Arial" w:hAnsi="Arial"/>
          <w:noProof w:val="0"/>
          <w:sz w:val="26"/>
          <w:szCs w:val="26"/>
          <w:rtl/>
        </w:rPr>
        <w:t>"13</w:t>
      </w:r>
      <w:r w:rsidRPr="00496B74">
        <w:rPr>
          <w:rFonts w:hint="cs" w:ascii="Arial" w:hAnsi="Arial"/>
          <w:noProof w:val="0"/>
          <w:sz w:val="26"/>
          <w:szCs w:val="26"/>
          <w:rtl/>
        </w:rPr>
        <w:t>.</w:t>
      </w:r>
      <w:r w:rsidRPr="00496B74">
        <w:rPr>
          <w:rFonts w:hint="cs" w:ascii="Arial" w:hAnsi="Arial"/>
          <w:noProof w:val="0"/>
          <w:sz w:val="26"/>
          <w:szCs w:val="26"/>
          <w:rtl/>
        </w:rPr>
        <w:tab/>
      </w:r>
      <w:r w:rsidRPr="00496B74">
        <w:rPr>
          <w:rFonts w:ascii="Arial" w:hAnsi="Arial"/>
          <w:noProof w:val="0"/>
          <w:sz w:val="26"/>
          <w:szCs w:val="26"/>
          <w:rtl/>
        </w:rPr>
        <w:t xml:space="preserve">אכן, בתי משפט נוהגים במשורה בחיוב בהפקדת ערובה להוצאות, ומקובל, כי אמצעי זה לא יופעל כדבר שבשגרה, הן מתוך התחשבות בזכות הגישה לבית המשפט (ראו: </w:t>
      </w:r>
      <w:hyperlink w:history="1" r:id="rId9">
        <w:r w:rsidRPr="00496B74">
          <w:rPr>
            <w:rStyle w:val="Hyperlink"/>
            <w:rFonts w:ascii="Arial" w:hAnsi="Arial" w:cs="David"/>
            <w:noProof w:val="0"/>
            <w:color w:val="auto"/>
            <w:sz w:val="26"/>
            <w:szCs w:val="26"/>
            <w:u w:val="none"/>
            <w:rtl/>
          </w:rPr>
          <w:t>רע"א 544/89 אויקל תעשיות (1985) בע"מ נ' נילי, מפעילים מתכת בע"מ, פ"ד מד</w:t>
        </w:r>
      </w:hyperlink>
      <w:r w:rsidRPr="00496B74">
        <w:rPr>
          <w:rFonts w:ascii="Arial" w:hAnsi="Arial"/>
          <w:noProof w:val="0"/>
          <w:sz w:val="26"/>
          <w:szCs w:val="26"/>
          <w:rtl/>
        </w:rPr>
        <w:t xml:space="preserve">(1)647, 650), והן על מנת שלא לפגוע יתר על המידה בזכות הקניין של התובע (ראו: ד"ר ש. לוין, תורת הפרוצדורה האזרחית, מבוא ועקרונות יסוד, עמ' 35). </w:t>
      </w:r>
      <w:hyperlink w:history="1" r:id="rId10">
        <w:r w:rsidRPr="00496B74">
          <w:rPr>
            <w:rStyle w:val="Hyperlink"/>
            <w:rFonts w:ascii="Arial" w:hAnsi="Arial" w:cs="David"/>
            <w:noProof w:val="0"/>
            <w:color w:val="auto"/>
            <w:sz w:val="26"/>
            <w:szCs w:val="26"/>
            <w:u w:val="none"/>
            <w:rtl/>
          </w:rPr>
          <w:t>תקנה 519</w:t>
        </w:r>
      </w:hyperlink>
      <w:r w:rsidRPr="00496B74">
        <w:rPr>
          <w:rFonts w:ascii="Arial" w:hAnsi="Arial"/>
          <w:noProof w:val="0"/>
          <w:sz w:val="26"/>
          <w:szCs w:val="26"/>
          <w:rtl/>
        </w:rPr>
        <w:t xml:space="preserve"> לתקנות מאפשרת להגיע לאיזון בין הצורך להבטיח את הוצאותיו של צד ה"נגרר" להליך משפטי, באופן הגורם לו לשאת בהוצאות שונות, ובין הרצון שלא להטיל מגבלות על המבקש לפנות לבית המשפט כדי לממש את זכויותיו, שיש בהן כדי לסכל את יכולתו להיזקק להליך המשפטי. </w:t>
      </w:r>
      <w:hyperlink w:history="1" r:id="rId11">
        <w:r w:rsidRPr="00496B74">
          <w:rPr>
            <w:rStyle w:val="Hyperlink"/>
            <w:rFonts w:ascii="Arial" w:hAnsi="Arial" w:cs="David"/>
            <w:noProof w:val="0"/>
            <w:color w:val="auto"/>
            <w:sz w:val="26"/>
            <w:szCs w:val="26"/>
            <w:u w:val="none"/>
            <w:rtl/>
          </w:rPr>
          <w:t>תקנה 519</w:t>
        </w:r>
      </w:hyperlink>
      <w:r w:rsidRPr="00496B74">
        <w:rPr>
          <w:rFonts w:ascii="Arial" w:hAnsi="Arial"/>
          <w:noProof w:val="0"/>
          <w:sz w:val="26"/>
          <w:szCs w:val="26"/>
          <w:rtl/>
        </w:rPr>
        <w:t xml:space="preserve"> לתקנות נועדה למנוע תביעות סרק ולהבטיח את תשלום הוצאות הנתבע, במיוחד כאשר נראה לבית המשפט שהסיכויים של התובע להצליח בתביעה, קלושים, כמו במקרה שלפנינו</w:t>
      </w:r>
      <w:r w:rsidRPr="00496B74">
        <w:rPr>
          <w:rFonts w:hint="cs" w:ascii="Arial" w:hAnsi="Arial"/>
          <w:noProof w:val="0"/>
          <w:sz w:val="26"/>
          <w:szCs w:val="26"/>
          <w:rtl/>
        </w:rPr>
        <w:t>..."</w:t>
      </w:r>
      <w:r w:rsidR="00313B31">
        <w:rPr>
          <w:rFonts w:hint="cs" w:ascii="Arial" w:hAnsi="Arial"/>
          <w:noProof w:val="0"/>
          <w:sz w:val="26"/>
          <w:szCs w:val="26"/>
          <w:rtl/>
        </w:rPr>
        <w:t xml:space="preserve"> (ע"א 8440/03, </w:t>
      </w:r>
      <w:r w:rsidR="00313B31">
        <w:rPr>
          <w:rFonts w:hint="cs" w:ascii="Arial" w:hAnsi="Arial"/>
          <w:b/>
          <w:bCs/>
          <w:noProof w:val="0"/>
          <w:sz w:val="26"/>
          <w:szCs w:val="26"/>
          <w:rtl/>
        </w:rPr>
        <w:t>בן ציון כהן נ' חיה לחוביץ</w:t>
      </w:r>
      <w:r w:rsidR="00313B31">
        <w:rPr>
          <w:rFonts w:hint="cs" w:ascii="Arial" w:hAnsi="Arial"/>
          <w:noProof w:val="0"/>
          <w:sz w:val="26"/>
          <w:szCs w:val="26"/>
          <w:rtl/>
        </w:rPr>
        <w:t xml:space="preserve"> (21.7.04). </w:t>
      </w:r>
    </w:p>
    <w:p w:rsidR="000C45D3" w:rsidP="00496B74" w:rsidRDefault="000C45D3">
      <w:pPr>
        <w:spacing w:after="240" w:line="360" w:lineRule="auto"/>
        <w:ind w:left="720" w:right="709"/>
        <w:jc w:val="both"/>
        <w:rPr>
          <w:rFonts w:ascii="Arial" w:hAnsi="Arial"/>
          <w:noProof w:val="0"/>
          <w:sz w:val="26"/>
          <w:szCs w:val="26"/>
          <w:rtl/>
        </w:rPr>
      </w:pPr>
      <w:r>
        <w:rPr>
          <w:rFonts w:hint="cs" w:ascii="Arial" w:hAnsi="Arial"/>
          <w:noProof w:val="0"/>
          <w:sz w:val="26"/>
          <w:szCs w:val="26"/>
          <w:rtl/>
        </w:rPr>
        <w:t xml:space="preserve">ועוד: </w:t>
      </w:r>
    </w:p>
    <w:p w:rsidR="000C45D3" w:rsidP="009B1D64" w:rsidRDefault="000C45D3">
      <w:pPr>
        <w:spacing w:after="240" w:line="360" w:lineRule="auto"/>
        <w:ind w:left="720" w:right="709"/>
        <w:jc w:val="both"/>
        <w:rPr>
          <w:rFonts w:ascii="Arial" w:hAnsi="Arial"/>
          <w:noProof w:val="0"/>
          <w:sz w:val="26"/>
          <w:szCs w:val="26"/>
          <w:rtl/>
        </w:rPr>
      </w:pPr>
      <w:r>
        <w:rPr>
          <w:rFonts w:hint="cs" w:ascii="Arial" w:hAnsi="Arial"/>
          <w:noProof w:val="0"/>
          <w:sz w:val="26"/>
          <w:szCs w:val="26"/>
          <w:rtl/>
        </w:rPr>
        <w:t>"</w:t>
      </w:r>
      <w:r w:rsidRPr="000C45D3">
        <w:rPr>
          <w:rFonts w:ascii="Arial" w:hAnsi="Arial"/>
          <w:noProof w:val="0"/>
          <w:sz w:val="26"/>
          <w:szCs w:val="26"/>
          <w:rtl/>
        </w:rPr>
        <w:t xml:space="preserve">הלכה היא כי, ככלל, אין להתנות את זכותו של תובע להביא את עניינו לבירור לפני ערכאות שיפוטיות בהפקדת ערובה כספית להבטחת הוצאות הנתבע אלא במקרים נדירים ובנסיבות חריגות, </w:t>
      </w:r>
      <w:r w:rsidRPr="000C45D3">
        <w:rPr>
          <w:rFonts w:hint="eastAsia" w:ascii="Arial" w:hAnsi="Arial"/>
          <w:noProof w:val="0"/>
          <w:sz w:val="26"/>
          <w:szCs w:val="26"/>
          <w:rtl/>
        </w:rPr>
        <w:t>וכי</w:t>
      </w:r>
      <w:r w:rsidRPr="000C45D3">
        <w:rPr>
          <w:rFonts w:ascii="Arial" w:hAnsi="Arial"/>
          <w:noProof w:val="0"/>
          <w:sz w:val="26"/>
          <w:szCs w:val="26"/>
          <w:rtl/>
        </w:rPr>
        <w:t xml:space="preserve"> אין לחייב תובע במתן ערובה להוצאות הנתבע מחמת עוניו בלבד; עקרון </w:t>
      </w:r>
      <w:r w:rsidRPr="009B1D64">
        <w:rPr>
          <w:rFonts w:ascii="Arial" w:hAnsi="Arial"/>
          <w:noProof w:val="0"/>
          <w:sz w:val="26"/>
          <w:szCs w:val="26"/>
          <w:rtl/>
        </w:rPr>
        <w:t xml:space="preserve">זה נובע </w:t>
      </w:r>
      <w:r w:rsidRPr="009B1D64">
        <w:rPr>
          <w:rFonts w:hint="eastAsia" w:ascii="Arial" w:hAnsi="Arial"/>
          <w:noProof w:val="0"/>
          <w:sz w:val="26"/>
          <w:szCs w:val="26"/>
          <w:rtl/>
        </w:rPr>
        <w:t>מ</w:t>
      </w:r>
      <w:r w:rsidRPr="009B1D64">
        <w:rPr>
          <w:rFonts w:ascii="Arial" w:hAnsi="Arial"/>
          <w:noProof w:val="0"/>
          <w:sz w:val="26"/>
          <w:szCs w:val="26"/>
          <w:rtl/>
        </w:rPr>
        <w:t>חשיבותה של זכות הגישה לערכאות שהיא זכות חוקתית (</w:t>
      </w:r>
      <w:hyperlink w:history="1" r:id="rId12">
        <w:r w:rsidRPr="009B1D64">
          <w:rPr>
            <w:rStyle w:val="Hyperlink"/>
            <w:rFonts w:ascii="Arial" w:hAnsi="Arial" w:cs="David"/>
            <w:noProof w:val="0"/>
            <w:color w:val="auto"/>
            <w:sz w:val="26"/>
            <w:szCs w:val="26"/>
            <w:u w:val="none"/>
            <w:rtl/>
          </w:rPr>
          <w:t>רע"א 3601/04</w:t>
        </w:r>
      </w:hyperlink>
      <w:r w:rsidRPr="009B1D64">
        <w:rPr>
          <w:rFonts w:ascii="Arial" w:hAnsi="Arial"/>
          <w:noProof w:val="0"/>
          <w:sz w:val="26"/>
          <w:szCs w:val="26"/>
          <w:rtl/>
        </w:rPr>
        <w:t xml:space="preserve"> ו'נצ'ון נ' מדינת ישראל ([פורסם בנבו], 18.10.2007), להלן: עניין ו'נצ'ון; </w:t>
      </w:r>
      <w:hyperlink w:history="1" r:id="rId13">
        <w:r w:rsidRPr="009B1D64">
          <w:rPr>
            <w:rStyle w:val="Hyperlink"/>
            <w:rFonts w:hint="eastAsia" w:ascii="Arial" w:hAnsi="Arial" w:cs="David"/>
            <w:noProof w:val="0"/>
            <w:color w:val="auto"/>
            <w:sz w:val="26"/>
            <w:szCs w:val="26"/>
            <w:u w:val="none"/>
            <w:rtl/>
          </w:rPr>
          <w:t>רע</w:t>
        </w:r>
        <w:r w:rsidRPr="009B1D64">
          <w:rPr>
            <w:rStyle w:val="Hyperlink"/>
            <w:rFonts w:ascii="Arial" w:hAnsi="Arial" w:cs="David"/>
            <w:noProof w:val="0"/>
            <w:color w:val="auto"/>
            <w:sz w:val="26"/>
            <w:szCs w:val="26"/>
            <w:u w:val="none"/>
            <w:rtl/>
          </w:rPr>
          <w:t>"</w:t>
        </w:r>
        <w:r w:rsidRPr="009B1D64">
          <w:rPr>
            <w:rStyle w:val="Hyperlink"/>
            <w:rFonts w:hint="eastAsia" w:ascii="Arial" w:hAnsi="Arial" w:cs="David"/>
            <w:noProof w:val="0"/>
            <w:color w:val="auto"/>
            <w:sz w:val="26"/>
            <w:szCs w:val="26"/>
            <w:u w:val="none"/>
            <w:rtl/>
          </w:rPr>
          <w:t>א</w:t>
        </w:r>
        <w:r w:rsidRPr="009B1D64">
          <w:rPr>
            <w:rStyle w:val="Hyperlink"/>
            <w:rFonts w:ascii="Arial" w:hAnsi="Arial" w:cs="David"/>
            <w:noProof w:val="0"/>
            <w:color w:val="auto"/>
            <w:sz w:val="26"/>
            <w:szCs w:val="26"/>
            <w:u w:val="none"/>
            <w:rtl/>
          </w:rPr>
          <w:t xml:space="preserve"> 7543/04</w:t>
        </w:r>
      </w:hyperlink>
      <w:r w:rsidRPr="009B1D64">
        <w:rPr>
          <w:rFonts w:ascii="Arial" w:hAnsi="Arial"/>
          <w:noProof w:val="0"/>
          <w:sz w:val="26"/>
          <w:szCs w:val="26"/>
          <w:rtl/>
        </w:rPr>
        <w:t xml:space="preserve"> ליסטר נ' ליסטר (3.10.2004), </w:t>
      </w:r>
      <w:r w:rsidRPr="009B1D64">
        <w:rPr>
          <w:rFonts w:hint="eastAsia" w:ascii="Arial" w:hAnsi="Arial"/>
          <w:noProof w:val="0"/>
          <w:sz w:val="26"/>
          <w:szCs w:val="26"/>
          <w:rtl/>
        </w:rPr>
        <w:t>להלן</w:t>
      </w:r>
      <w:r w:rsidRPr="009B1D64">
        <w:rPr>
          <w:rFonts w:ascii="Arial" w:hAnsi="Arial"/>
          <w:noProof w:val="0"/>
          <w:sz w:val="26"/>
          <w:szCs w:val="26"/>
          <w:rtl/>
        </w:rPr>
        <w:t xml:space="preserve">: עניין ליסטר); יואל </w:t>
      </w:r>
      <w:r w:rsidRPr="000C45D3">
        <w:rPr>
          <w:rFonts w:ascii="Arial" w:hAnsi="Arial"/>
          <w:noProof w:val="0"/>
          <w:sz w:val="26"/>
          <w:szCs w:val="26"/>
          <w:rtl/>
        </w:rPr>
        <w:t xml:space="preserve">זוסמן סדרי הדין האזרחי (מה' </w:t>
      </w:r>
      <w:r w:rsidRPr="000C45D3">
        <w:rPr>
          <w:rFonts w:ascii="Arial" w:hAnsi="Arial"/>
          <w:noProof w:val="0"/>
          <w:sz w:val="26"/>
          <w:szCs w:val="26"/>
          <w:rtl/>
        </w:rPr>
        <w:lastRenderedPageBreak/>
        <w:t>שביעית, 1995) 899, להלן: זוסמן). יתרה מכך, חיוב תובע בערובה להוצאות נתבע פוגע בזכות הקניין שלו</w:t>
      </w:r>
      <w:r>
        <w:rPr>
          <w:rFonts w:hint="cs" w:ascii="Arial" w:hAnsi="Arial"/>
          <w:noProof w:val="0"/>
          <w:sz w:val="26"/>
          <w:szCs w:val="26"/>
          <w:rtl/>
        </w:rPr>
        <w:t>....</w:t>
      </w:r>
    </w:p>
    <w:p w:rsidR="000C45D3" w:rsidP="000C45D3" w:rsidRDefault="000C45D3">
      <w:pPr>
        <w:spacing w:after="240" w:line="360" w:lineRule="auto"/>
        <w:ind w:left="720" w:right="709"/>
        <w:jc w:val="both"/>
        <w:rPr>
          <w:rFonts w:ascii="Arial" w:hAnsi="Arial"/>
          <w:noProof w:val="0"/>
          <w:sz w:val="26"/>
          <w:szCs w:val="26"/>
          <w:rtl/>
        </w:rPr>
      </w:pPr>
      <w:r w:rsidRPr="000C45D3">
        <w:rPr>
          <w:rFonts w:ascii="Arial" w:hAnsi="Arial"/>
          <w:noProof w:val="0"/>
          <w:sz w:val="26"/>
          <w:szCs w:val="26"/>
          <w:rtl/>
        </w:rPr>
        <w:t xml:space="preserve">עם זאת נפסק, כי בין יתר השיקולים שניתן לשקול כאשר נבחנת בקשה לחייב תובע בערובה להוצאות נתבע יובאו בחשבון סיכויי קבלתה של התביעה והשאלה כלום מדובר בתביעת סרק. אלא שלטעמי, בין היתר בשל הקושי להעריך את סיכויי התביעה כאשר עסקינן בהליך בערכאה הראשונה, שיקול זה כשלעצמו אינו יכול, בדרך כלל, להביא לחיוב תובע בערובה להוצאות הנתבע, אלא במקרים של הליך </w:t>
      </w:r>
      <w:r>
        <w:rPr>
          <w:rFonts w:ascii="Arial" w:hAnsi="Arial"/>
          <w:noProof w:val="0"/>
          <w:sz w:val="26"/>
          <w:szCs w:val="26"/>
          <w:rtl/>
        </w:rPr>
        <w:t xml:space="preserve">שניתן להגדירו כהליך סרק מובהק. </w:t>
      </w:r>
      <w:r w:rsidRPr="000C45D3">
        <w:rPr>
          <w:rFonts w:ascii="Arial" w:hAnsi="Arial"/>
          <w:noProof w:val="0"/>
          <w:sz w:val="26"/>
          <w:szCs w:val="26"/>
          <w:rtl/>
        </w:rPr>
        <w:tab/>
      </w:r>
    </w:p>
    <w:p w:rsidRPr="008E4425" w:rsidR="00624745" w:rsidP="00624745" w:rsidRDefault="000C45D3">
      <w:pPr>
        <w:spacing w:after="240" w:line="360" w:lineRule="auto"/>
        <w:ind w:left="720" w:right="709"/>
        <w:jc w:val="both"/>
        <w:rPr>
          <w:rFonts w:ascii="Arial" w:hAnsi="Arial"/>
          <w:noProof w:val="0"/>
          <w:sz w:val="26"/>
          <w:szCs w:val="26"/>
          <w:rtl/>
        </w:rPr>
      </w:pPr>
      <w:r w:rsidRPr="000C45D3">
        <w:rPr>
          <w:rFonts w:ascii="Arial" w:hAnsi="Arial"/>
          <w:noProof w:val="0"/>
          <w:sz w:val="26"/>
          <w:szCs w:val="26"/>
          <w:rtl/>
        </w:rPr>
        <w:t>הלכה היא כי בסוגיה האמורה על בית המשפט לנהוג "במתינות", מה גם שמשמעות אי הפקדת ערובה להוצאות הנתבע היא דחית התביעה</w:t>
      </w:r>
      <w:r>
        <w:rPr>
          <w:rFonts w:hint="cs" w:ascii="Arial" w:hAnsi="Arial"/>
          <w:noProof w:val="0"/>
          <w:sz w:val="26"/>
          <w:szCs w:val="26"/>
          <w:rtl/>
        </w:rPr>
        <w:t>..."</w:t>
      </w:r>
      <w:r w:rsidR="00B92889">
        <w:rPr>
          <w:rFonts w:hint="cs" w:ascii="Arial" w:hAnsi="Arial"/>
          <w:noProof w:val="0"/>
          <w:sz w:val="26"/>
          <w:szCs w:val="26"/>
          <w:rtl/>
        </w:rPr>
        <w:t xml:space="preserve"> </w:t>
      </w:r>
      <w:r w:rsidRPr="00B92889" w:rsidR="00B92889">
        <w:rPr>
          <w:rFonts w:hint="cs" w:ascii="Arial" w:hAnsi="Arial"/>
          <w:noProof w:val="0"/>
          <w:sz w:val="26"/>
          <w:szCs w:val="26"/>
          <w:rtl/>
        </w:rPr>
        <w:t>(</w:t>
      </w:r>
      <w:r w:rsidRPr="00B92889" w:rsidR="00B92889">
        <w:rPr>
          <w:rFonts w:hint="eastAsia" w:ascii="Arial" w:hAnsi="Arial"/>
          <w:noProof w:val="0"/>
          <w:sz w:val="26"/>
          <w:szCs w:val="26"/>
          <w:rtl/>
        </w:rPr>
        <w:t>רע</w:t>
      </w:r>
      <w:r w:rsidRPr="00B92889" w:rsidR="00B92889">
        <w:rPr>
          <w:rFonts w:hint="cs" w:ascii="Arial" w:hAnsi="Arial"/>
          <w:noProof w:val="0"/>
          <w:sz w:val="26"/>
          <w:szCs w:val="26"/>
          <w:rtl/>
        </w:rPr>
        <w:t>"</w:t>
      </w:r>
      <w:r w:rsidRPr="00B92889" w:rsidR="00B92889">
        <w:rPr>
          <w:rFonts w:hint="eastAsia" w:ascii="Arial" w:hAnsi="Arial"/>
          <w:noProof w:val="0"/>
          <w:sz w:val="26"/>
          <w:szCs w:val="26"/>
          <w:rtl/>
        </w:rPr>
        <w:t>א</w:t>
      </w:r>
      <w:r w:rsidRPr="00B92889" w:rsidR="00B92889">
        <w:rPr>
          <w:rFonts w:ascii="Arial" w:hAnsi="Arial"/>
          <w:noProof w:val="0"/>
          <w:sz w:val="26"/>
          <w:szCs w:val="26"/>
          <w:rtl/>
        </w:rPr>
        <w:t xml:space="preserve"> 6353/12</w:t>
      </w:r>
      <w:r w:rsidRPr="00B92889" w:rsidR="00B92889">
        <w:rPr>
          <w:rFonts w:hint="cs" w:ascii="Arial" w:hAnsi="Arial"/>
          <w:noProof w:val="0"/>
          <w:sz w:val="26"/>
          <w:szCs w:val="26"/>
          <w:rtl/>
        </w:rPr>
        <w:t xml:space="preserve">, </w:t>
      </w:r>
      <w:r w:rsidRPr="00B92889" w:rsidR="00B92889">
        <w:rPr>
          <w:rFonts w:hint="eastAsia" w:ascii="Arial" w:hAnsi="Arial"/>
          <w:b/>
          <w:bCs/>
          <w:noProof w:val="0"/>
          <w:sz w:val="26"/>
          <w:szCs w:val="26"/>
          <w:rtl/>
        </w:rPr>
        <w:t>יובל</w:t>
      </w:r>
      <w:r w:rsidRPr="00B92889" w:rsidR="00B92889">
        <w:rPr>
          <w:rFonts w:ascii="Arial" w:hAnsi="Arial"/>
          <w:b/>
          <w:bCs/>
          <w:noProof w:val="0"/>
          <w:sz w:val="26"/>
          <w:szCs w:val="26"/>
          <w:rtl/>
        </w:rPr>
        <w:t xml:space="preserve"> </w:t>
      </w:r>
      <w:r w:rsidRPr="00B92889" w:rsidR="00B92889">
        <w:rPr>
          <w:rFonts w:hint="eastAsia" w:ascii="Arial" w:hAnsi="Arial"/>
          <w:b/>
          <w:bCs/>
          <w:noProof w:val="0"/>
          <w:sz w:val="26"/>
          <w:szCs w:val="26"/>
          <w:rtl/>
        </w:rPr>
        <w:t>אברהם</w:t>
      </w:r>
      <w:r w:rsidRPr="00B92889" w:rsidR="00B92889">
        <w:rPr>
          <w:rFonts w:ascii="Arial" w:hAnsi="Arial"/>
          <w:b/>
          <w:bCs/>
          <w:noProof w:val="0"/>
          <w:sz w:val="26"/>
          <w:szCs w:val="26"/>
          <w:rtl/>
        </w:rPr>
        <w:t xml:space="preserve"> </w:t>
      </w:r>
      <w:r w:rsidRPr="00B92889" w:rsidR="00B92889">
        <w:rPr>
          <w:rFonts w:hint="eastAsia" w:ascii="Arial" w:hAnsi="Arial"/>
          <w:b/>
          <w:bCs/>
          <w:noProof w:val="0"/>
          <w:sz w:val="26"/>
          <w:szCs w:val="26"/>
          <w:rtl/>
        </w:rPr>
        <w:t>נ</w:t>
      </w:r>
      <w:r w:rsidRPr="00B92889" w:rsidR="00B92889">
        <w:rPr>
          <w:rFonts w:ascii="Arial" w:hAnsi="Arial"/>
          <w:b/>
          <w:bCs/>
          <w:noProof w:val="0"/>
          <w:sz w:val="26"/>
          <w:szCs w:val="26"/>
          <w:rtl/>
        </w:rPr>
        <w:t xml:space="preserve">' </w:t>
      </w:r>
      <w:r w:rsidRPr="00B92889" w:rsidR="00B92889">
        <w:rPr>
          <w:rFonts w:hint="eastAsia" w:ascii="Arial" w:hAnsi="Arial"/>
          <w:b/>
          <w:bCs/>
          <w:noProof w:val="0"/>
          <w:sz w:val="26"/>
          <w:szCs w:val="26"/>
          <w:rtl/>
        </w:rPr>
        <w:t>טל</w:t>
      </w:r>
      <w:r w:rsidRPr="00B92889" w:rsidR="00B92889">
        <w:rPr>
          <w:rFonts w:ascii="Arial" w:hAnsi="Arial"/>
          <w:b/>
          <w:bCs/>
          <w:noProof w:val="0"/>
          <w:sz w:val="26"/>
          <w:szCs w:val="26"/>
          <w:rtl/>
        </w:rPr>
        <w:t xml:space="preserve"> </w:t>
      </w:r>
      <w:r w:rsidRPr="00B92889" w:rsidR="00B92889">
        <w:rPr>
          <w:rFonts w:hint="eastAsia" w:ascii="Arial" w:hAnsi="Arial"/>
          <w:b/>
          <w:bCs/>
          <w:noProof w:val="0"/>
          <w:sz w:val="26"/>
          <w:szCs w:val="26"/>
          <w:rtl/>
        </w:rPr>
        <w:t>יגרמן</w:t>
      </w:r>
      <w:r w:rsidRPr="00B92889" w:rsidR="00B92889">
        <w:rPr>
          <w:rFonts w:hint="cs" w:ascii="Arial" w:hAnsi="Arial"/>
          <w:b/>
          <w:bCs/>
          <w:noProof w:val="0"/>
          <w:sz w:val="26"/>
          <w:szCs w:val="26"/>
          <w:rtl/>
        </w:rPr>
        <w:t xml:space="preserve">, </w:t>
      </w:r>
      <w:r w:rsidRPr="00B92889" w:rsidR="00B92889">
        <w:rPr>
          <w:rFonts w:hint="cs" w:ascii="Arial" w:hAnsi="Arial"/>
          <w:noProof w:val="0"/>
          <w:sz w:val="26"/>
          <w:szCs w:val="26"/>
          <w:rtl/>
        </w:rPr>
        <w:t>(16.1.13),</w:t>
      </w:r>
      <w:r w:rsidR="00B92889">
        <w:rPr>
          <w:rFonts w:hint="cs" w:ascii="Arial" w:hAnsi="Arial"/>
          <w:noProof w:val="0"/>
          <w:sz w:val="26"/>
          <w:szCs w:val="26"/>
          <w:rtl/>
        </w:rPr>
        <w:t xml:space="preserve"> פיסקה 5 להחלטה</w:t>
      </w:r>
      <w:r w:rsidR="00624745">
        <w:rPr>
          <w:rFonts w:hint="cs" w:ascii="Arial" w:hAnsi="Arial"/>
          <w:noProof w:val="0"/>
          <w:sz w:val="26"/>
          <w:szCs w:val="26"/>
          <w:rtl/>
        </w:rPr>
        <w:t xml:space="preserve">, וראו גם </w:t>
      </w:r>
      <w:r w:rsidRPr="00624745" w:rsidR="00624745">
        <w:rPr>
          <w:rFonts w:hint="eastAsia" w:ascii="Arial" w:hAnsi="Arial"/>
          <w:noProof w:val="0"/>
          <w:sz w:val="26"/>
          <w:szCs w:val="26"/>
          <w:rtl/>
        </w:rPr>
        <w:t>רע</w:t>
      </w:r>
      <w:r w:rsidR="00624745">
        <w:rPr>
          <w:rFonts w:hint="cs" w:ascii="Arial" w:hAnsi="Arial"/>
          <w:noProof w:val="0"/>
          <w:sz w:val="26"/>
          <w:szCs w:val="26"/>
          <w:rtl/>
        </w:rPr>
        <w:t>"</w:t>
      </w:r>
      <w:r w:rsidRPr="00624745" w:rsidR="00624745">
        <w:rPr>
          <w:rFonts w:hint="eastAsia" w:ascii="Arial" w:hAnsi="Arial"/>
          <w:noProof w:val="0"/>
          <w:sz w:val="26"/>
          <w:szCs w:val="26"/>
          <w:rtl/>
        </w:rPr>
        <w:t>א</w:t>
      </w:r>
      <w:r w:rsidRPr="00624745" w:rsidR="00624745">
        <w:rPr>
          <w:rFonts w:ascii="Arial" w:hAnsi="Arial"/>
          <w:noProof w:val="0"/>
          <w:sz w:val="26"/>
          <w:szCs w:val="26"/>
          <w:rtl/>
        </w:rPr>
        <w:t xml:space="preserve"> 3462/14</w:t>
      </w:r>
      <w:r w:rsidR="00624745">
        <w:rPr>
          <w:rFonts w:hint="cs" w:ascii="Arial" w:hAnsi="Arial"/>
          <w:noProof w:val="0"/>
          <w:sz w:val="26"/>
          <w:szCs w:val="26"/>
          <w:rtl/>
        </w:rPr>
        <w:t>,</w:t>
      </w:r>
      <w:r w:rsidRPr="00624745" w:rsidR="00624745">
        <w:rPr>
          <w:rFonts w:ascii="Arial" w:hAnsi="Arial"/>
          <w:noProof w:val="0"/>
          <w:sz w:val="26"/>
          <w:szCs w:val="26"/>
          <w:rtl/>
        </w:rPr>
        <w:t xml:space="preserve"> </w:t>
      </w:r>
      <w:r w:rsidRPr="00624745" w:rsidR="00624745">
        <w:rPr>
          <w:rFonts w:hint="eastAsia" w:ascii="Arial" w:hAnsi="Arial"/>
          <w:b/>
          <w:bCs/>
          <w:noProof w:val="0"/>
          <w:sz w:val="26"/>
          <w:szCs w:val="26"/>
          <w:rtl/>
        </w:rPr>
        <w:t>סארי</w:t>
      </w:r>
      <w:r w:rsidRPr="00624745" w:rsidR="00624745">
        <w:rPr>
          <w:rFonts w:ascii="Arial" w:hAnsi="Arial"/>
          <w:b/>
          <w:bCs/>
          <w:noProof w:val="0"/>
          <w:sz w:val="26"/>
          <w:szCs w:val="26"/>
          <w:rtl/>
        </w:rPr>
        <w:t xml:space="preserve"> </w:t>
      </w:r>
      <w:r w:rsidRPr="00624745" w:rsidR="00624745">
        <w:rPr>
          <w:rFonts w:hint="eastAsia" w:ascii="Arial" w:hAnsi="Arial"/>
          <w:b/>
          <w:bCs/>
          <w:noProof w:val="0"/>
          <w:sz w:val="26"/>
          <w:szCs w:val="26"/>
          <w:rtl/>
        </w:rPr>
        <w:t>גנאם</w:t>
      </w:r>
      <w:r w:rsidRPr="00624745" w:rsidR="00624745">
        <w:rPr>
          <w:rFonts w:ascii="Arial" w:hAnsi="Arial"/>
          <w:b/>
          <w:bCs/>
          <w:noProof w:val="0"/>
          <w:sz w:val="26"/>
          <w:szCs w:val="26"/>
          <w:rtl/>
        </w:rPr>
        <w:t xml:space="preserve"> </w:t>
      </w:r>
      <w:r w:rsidRPr="00624745" w:rsidR="00624745">
        <w:rPr>
          <w:rFonts w:hint="eastAsia" w:ascii="Arial" w:hAnsi="Arial"/>
          <w:b/>
          <w:bCs/>
          <w:noProof w:val="0"/>
          <w:sz w:val="26"/>
          <w:szCs w:val="26"/>
          <w:rtl/>
        </w:rPr>
        <w:t>נ</w:t>
      </w:r>
      <w:r w:rsidRPr="00624745" w:rsidR="00624745">
        <w:rPr>
          <w:rFonts w:ascii="Arial" w:hAnsi="Arial"/>
          <w:b/>
          <w:bCs/>
          <w:noProof w:val="0"/>
          <w:sz w:val="26"/>
          <w:szCs w:val="26"/>
          <w:rtl/>
        </w:rPr>
        <w:t xml:space="preserve">' </w:t>
      </w:r>
      <w:r w:rsidRPr="00624745" w:rsidR="00624745">
        <w:rPr>
          <w:rFonts w:hint="eastAsia" w:ascii="Arial" w:hAnsi="Arial"/>
          <w:b/>
          <w:bCs/>
          <w:noProof w:val="0"/>
          <w:sz w:val="26"/>
          <w:szCs w:val="26"/>
          <w:rtl/>
        </w:rPr>
        <w:t>מדינת</w:t>
      </w:r>
      <w:r w:rsidRPr="00624745" w:rsidR="00624745">
        <w:rPr>
          <w:rFonts w:ascii="Arial" w:hAnsi="Arial"/>
          <w:b/>
          <w:bCs/>
          <w:noProof w:val="0"/>
          <w:sz w:val="26"/>
          <w:szCs w:val="26"/>
          <w:rtl/>
        </w:rPr>
        <w:t xml:space="preserve"> </w:t>
      </w:r>
      <w:r w:rsidRPr="00624745" w:rsidR="00624745">
        <w:rPr>
          <w:rFonts w:hint="eastAsia" w:ascii="Arial" w:hAnsi="Arial"/>
          <w:b/>
          <w:bCs/>
          <w:noProof w:val="0"/>
          <w:sz w:val="26"/>
          <w:szCs w:val="26"/>
          <w:rtl/>
        </w:rPr>
        <w:t>ישראל</w:t>
      </w:r>
      <w:r w:rsidRPr="00624745" w:rsidR="00624745">
        <w:rPr>
          <w:rFonts w:ascii="Arial" w:hAnsi="Arial"/>
          <w:b/>
          <w:bCs/>
          <w:noProof w:val="0"/>
          <w:sz w:val="26"/>
          <w:szCs w:val="26"/>
          <w:rtl/>
        </w:rPr>
        <w:t xml:space="preserve"> - </w:t>
      </w:r>
      <w:r w:rsidRPr="00624745" w:rsidR="00624745">
        <w:rPr>
          <w:rFonts w:hint="eastAsia" w:ascii="Arial" w:hAnsi="Arial"/>
          <w:b/>
          <w:bCs/>
          <w:noProof w:val="0"/>
          <w:sz w:val="26"/>
          <w:szCs w:val="26"/>
          <w:rtl/>
        </w:rPr>
        <w:t>משרד</w:t>
      </w:r>
      <w:r w:rsidRPr="00624745" w:rsidR="00624745">
        <w:rPr>
          <w:rFonts w:ascii="Arial" w:hAnsi="Arial"/>
          <w:b/>
          <w:bCs/>
          <w:noProof w:val="0"/>
          <w:sz w:val="26"/>
          <w:szCs w:val="26"/>
          <w:rtl/>
        </w:rPr>
        <w:t xml:space="preserve"> </w:t>
      </w:r>
      <w:r w:rsidRPr="00624745" w:rsidR="00624745">
        <w:rPr>
          <w:rFonts w:hint="eastAsia" w:ascii="Arial" w:hAnsi="Arial"/>
          <w:b/>
          <w:bCs/>
          <w:noProof w:val="0"/>
          <w:sz w:val="26"/>
          <w:szCs w:val="26"/>
          <w:rtl/>
        </w:rPr>
        <w:t>הבריאות</w:t>
      </w:r>
      <w:r w:rsidR="008E4425">
        <w:rPr>
          <w:rFonts w:hint="cs" w:ascii="Arial" w:hAnsi="Arial"/>
          <w:noProof w:val="0"/>
          <w:sz w:val="26"/>
          <w:szCs w:val="26"/>
          <w:rtl/>
        </w:rPr>
        <w:t xml:space="preserve"> (17.9.14); רע"א 5738/13, </w:t>
      </w:r>
      <w:r w:rsidR="008E4425">
        <w:rPr>
          <w:rFonts w:hint="cs" w:ascii="Arial" w:hAnsi="Arial"/>
          <w:b/>
          <w:bCs/>
          <w:noProof w:val="0"/>
          <w:sz w:val="26"/>
          <w:szCs w:val="26"/>
          <w:rtl/>
        </w:rPr>
        <w:t xml:space="preserve">שרה אבו סעלוק נ' שירותי בריאות כללית </w:t>
      </w:r>
      <w:r w:rsidR="008E4425">
        <w:rPr>
          <w:rFonts w:hint="cs" w:ascii="Arial" w:hAnsi="Arial"/>
          <w:noProof w:val="0"/>
          <w:sz w:val="26"/>
          <w:szCs w:val="26"/>
          <w:rtl/>
        </w:rPr>
        <w:t>(14.11.13)</w:t>
      </w:r>
      <w:r w:rsidR="009B1D64">
        <w:rPr>
          <w:rFonts w:hint="cs" w:ascii="Arial" w:hAnsi="Arial"/>
          <w:noProof w:val="0"/>
          <w:sz w:val="26"/>
          <w:szCs w:val="26"/>
          <w:rtl/>
        </w:rPr>
        <w:t>)</w:t>
      </w:r>
      <w:r w:rsidR="008E4425">
        <w:rPr>
          <w:rFonts w:hint="cs" w:ascii="Arial" w:hAnsi="Arial"/>
          <w:noProof w:val="0"/>
          <w:sz w:val="26"/>
          <w:szCs w:val="26"/>
          <w:rtl/>
        </w:rPr>
        <w:t>.</w:t>
      </w:r>
    </w:p>
    <w:p w:rsidR="007E14E4" w:rsidP="009B1D64" w:rsidRDefault="009B1D64">
      <w:pPr>
        <w:spacing w:after="240" w:line="360" w:lineRule="auto"/>
        <w:jc w:val="both"/>
        <w:rPr>
          <w:rFonts w:ascii="Arial" w:hAnsi="Arial"/>
          <w:noProof w:val="0"/>
          <w:sz w:val="26"/>
          <w:szCs w:val="26"/>
          <w:rtl/>
        </w:rPr>
      </w:pPr>
      <w:r>
        <w:rPr>
          <w:rFonts w:hint="cs" w:ascii="Arial" w:hAnsi="Arial"/>
          <w:noProof w:val="0"/>
          <w:sz w:val="26"/>
          <w:szCs w:val="26"/>
          <w:rtl/>
        </w:rPr>
        <w:t>6.</w:t>
      </w:r>
      <w:r>
        <w:rPr>
          <w:rFonts w:hint="cs" w:ascii="Arial" w:hAnsi="Arial"/>
          <w:noProof w:val="0"/>
          <w:sz w:val="26"/>
          <w:szCs w:val="26"/>
          <w:rtl/>
        </w:rPr>
        <w:tab/>
      </w:r>
      <w:r w:rsidR="0016154F">
        <w:rPr>
          <w:rFonts w:hint="cs" w:ascii="Arial" w:hAnsi="Arial"/>
          <w:noProof w:val="0"/>
          <w:sz w:val="26"/>
          <w:szCs w:val="26"/>
          <w:rtl/>
        </w:rPr>
        <w:t xml:space="preserve">כעולה מההחלטות הנ"ל, קיימת רגישות מיוחדת כאשר מדובר בתביעות בגין רשלנות רפואית, ובמיוחד הולדה בעוולה, לגביהן צומצמה מאד ההגבלה על זכות הפניה לערכאות. </w:t>
      </w:r>
      <w:r w:rsidR="007E14E4">
        <w:rPr>
          <w:rFonts w:hint="cs" w:ascii="Arial" w:hAnsi="Arial"/>
          <w:noProof w:val="0"/>
          <w:sz w:val="26"/>
          <w:szCs w:val="26"/>
          <w:rtl/>
        </w:rPr>
        <w:t xml:space="preserve">אך עם זאת נפסק בשנים האחרונות בעניין אחר, בנסיבות שרב הדמיון ביניהן לנסיבות שבפני: </w:t>
      </w:r>
    </w:p>
    <w:p w:rsidRPr="00DA64E2" w:rsidR="007E14E4" w:rsidP="007E14E4" w:rsidRDefault="007E14E4">
      <w:pPr>
        <w:spacing w:after="240" w:line="360" w:lineRule="auto"/>
        <w:ind w:left="720" w:right="567"/>
        <w:jc w:val="both"/>
        <w:rPr>
          <w:rFonts w:ascii="Arial" w:hAnsi="Arial"/>
          <w:noProof w:val="0"/>
          <w:sz w:val="26"/>
          <w:szCs w:val="26"/>
          <w:rtl/>
        </w:rPr>
      </w:pPr>
      <w:r>
        <w:rPr>
          <w:rFonts w:hint="cs" w:ascii="Arial" w:hAnsi="Arial"/>
          <w:noProof w:val="0"/>
          <w:sz w:val="26"/>
          <w:szCs w:val="26"/>
          <w:rtl/>
        </w:rPr>
        <w:t>"</w:t>
      </w:r>
      <w:r w:rsidRPr="007E14E4">
        <w:rPr>
          <w:rFonts w:ascii="Arial" w:hAnsi="Arial"/>
          <w:noProof w:val="0"/>
          <w:sz w:val="26"/>
          <w:szCs w:val="26"/>
          <w:rtl/>
        </w:rPr>
        <w:t>6.</w:t>
      </w:r>
      <w:r w:rsidRPr="007E14E4">
        <w:rPr>
          <w:rFonts w:ascii="Arial" w:hAnsi="Arial"/>
          <w:noProof w:val="0"/>
          <w:sz w:val="26"/>
          <w:szCs w:val="26"/>
          <w:rtl/>
        </w:rPr>
        <w:tab/>
        <w:t>נתתי דעתי על הבקשה ועל נימוקיה; נתתי לבי על הקטינה ועל הוריה. שקלתי את נימוקי הבקשה, בחנתי את נספחיה, והחלטתי לדחותהּ. עשיתי כן משום שלא מצאתי פגם בהחלטת בית המשפט המחוזי. אין זו מלאכה פשוטה להעריך בתחילת משפט את סיכויי הזכיה בתביעה, אך בכגון דא הכרח לעשותהּ. היטב עשׂאה בית המשפט המחוזי, וציין כי על פני הדברים הרשומות הרפואיות הן בעוכרי המבקשים</w:t>
      </w:r>
      <w:r>
        <w:rPr>
          <w:rFonts w:hint="cs" w:ascii="Arial" w:hAnsi="Arial"/>
          <w:noProof w:val="0"/>
          <w:sz w:val="26"/>
          <w:szCs w:val="26"/>
          <w:rtl/>
        </w:rPr>
        <w:t>.....</w:t>
      </w:r>
      <w:r w:rsidRPr="007E14E4">
        <w:rPr>
          <w:rFonts w:ascii="Arial" w:hAnsi="Arial"/>
          <w:noProof w:val="0"/>
          <w:sz w:val="26"/>
          <w:szCs w:val="26"/>
          <w:rtl/>
        </w:rPr>
        <w:t xml:space="preserve"> זכותם עודנה עומדת להם להמשיך בבירור התביעה, אך זו צורכת משאבים רבים. אין זה צודק להעמיס את העלויות כולן על שירותי בריאות כללית. יש צורך בגורם מאזן ומווסת, גם מבחינת בעלי הדין, גם מבחינת מערכת המשפט העמוסה לעייפה. אם בטוחים המבקשים בצדקת תביעתם, כי אז דומה כי ישׂכילו לגייס את סכום הערובה, משום שלבטח ניתן יהיה להשיבוֹ מתוך סכום הפיצויים שייפסק. אם אינם בטוחים, מוטב לעשות הערכה מחודשת. בנסיבות העניין, החלטה על מתן ערובה בסך של 30,000 ₪, </w:t>
      </w:r>
      <w:r w:rsidRPr="007E14E4">
        <w:rPr>
          <w:rFonts w:ascii="Arial" w:hAnsi="Arial"/>
          <w:noProof w:val="0"/>
          <w:sz w:val="26"/>
          <w:szCs w:val="26"/>
          <w:rtl/>
        </w:rPr>
        <w:lastRenderedPageBreak/>
        <w:t>אינה מקפחת את המבקשים, מעניקה בטחון מסוים למשיבים, ואני סבור כי היא מוצדקת</w:t>
      </w:r>
      <w:r>
        <w:rPr>
          <w:rFonts w:hint="cs" w:ascii="Arial" w:hAnsi="Arial"/>
          <w:noProof w:val="0"/>
          <w:sz w:val="26"/>
          <w:szCs w:val="26"/>
          <w:rtl/>
        </w:rPr>
        <w:t xml:space="preserve">" (רע"א 1993/15, </w:t>
      </w:r>
      <w:r>
        <w:rPr>
          <w:rFonts w:hint="cs" w:ascii="Arial" w:hAnsi="Arial"/>
          <w:b/>
          <w:bCs/>
          <w:noProof w:val="0"/>
          <w:sz w:val="26"/>
          <w:szCs w:val="26"/>
          <w:rtl/>
        </w:rPr>
        <w:t>קטינה נ' שירותי בריאות כללית</w:t>
      </w:r>
      <w:r>
        <w:rPr>
          <w:rFonts w:hint="cs" w:ascii="Arial" w:hAnsi="Arial"/>
          <w:noProof w:val="0"/>
          <w:sz w:val="26"/>
          <w:szCs w:val="26"/>
          <w:rtl/>
        </w:rPr>
        <w:t xml:space="preserve"> (14.5.15)</w:t>
      </w:r>
      <w:r w:rsidRPr="007E14E4">
        <w:rPr>
          <w:rFonts w:ascii="Arial" w:hAnsi="Arial"/>
          <w:noProof w:val="0"/>
          <w:sz w:val="26"/>
          <w:szCs w:val="26"/>
          <w:rtl/>
        </w:rPr>
        <w:t xml:space="preserve">.     </w:t>
      </w:r>
    </w:p>
    <w:p w:rsidRPr="00B332D4" w:rsidR="00A82662" w:rsidP="00B332D4" w:rsidRDefault="009B1D64">
      <w:pPr>
        <w:spacing w:after="240" w:line="360" w:lineRule="auto"/>
        <w:jc w:val="both"/>
        <w:rPr>
          <w:rFonts w:ascii="Arial" w:hAnsi="Arial"/>
          <w:b/>
          <w:bCs/>
          <w:noProof w:val="0"/>
          <w:sz w:val="26"/>
          <w:szCs w:val="26"/>
        </w:rPr>
      </w:pPr>
      <w:r>
        <w:rPr>
          <w:rFonts w:hint="cs" w:ascii="Arial" w:hAnsi="Arial"/>
          <w:noProof w:val="0"/>
          <w:sz w:val="26"/>
          <w:szCs w:val="26"/>
          <w:rtl/>
        </w:rPr>
        <w:t>7.</w:t>
      </w:r>
      <w:r>
        <w:rPr>
          <w:rFonts w:hint="cs" w:ascii="Arial" w:hAnsi="Arial"/>
          <w:noProof w:val="0"/>
          <w:sz w:val="26"/>
          <w:szCs w:val="26"/>
          <w:rtl/>
        </w:rPr>
        <w:tab/>
        <w:t>אני סבורה כי המקרה שבפני נופל לגדרם של אותם מ</w:t>
      </w:r>
      <w:r w:rsidR="00A82662">
        <w:rPr>
          <w:rFonts w:hint="cs" w:ascii="Arial" w:hAnsi="Arial"/>
          <w:noProof w:val="0"/>
          <w:sz w:val="26"/>
          <w:szCs w:val="26"/>
          <w:rtl/>
        </w:rPr>
        <w:t>קרים מעטים שלגביהם ניתן לקבוע כי סיכויי התביעה להתקבל אכן קלושים, מטעמים אחדים.</w:t>
      </w:r>
      <w:r w:rsidRPr="00B332D4" w:rsidR="00B332D4">
        <w:rPr>
          <w:rFonts w:hint="cs" w:ascii="Arial" w:hAnsi="Arial"/>
          <w:b/>
          <w:bCs/>
          <w:noProof w:val="0"/>
          <w:sz w:val="26"/>
          <w:szCs w:val="26"/>
          <w:rtl/>
        </w:rPr>
        <w:t xml:space="preserve"> מובן שאין בדברי</w:t>
      </w:r>
      <w:r w:rsidR="00B332D4">
        <w:rPr>
          <w:rFonts w:hint="cs" w:ascii="Arial" w:hAnsi="Arial"/>
          <w:b/>
          <w:bCs/>
          <w:noProof w:val="0"/>
          <w:sz w:val="26"/>
          <w:szCs w:val="26"/>
          <w:rtl/>
        </w:rPr>
        <w:t>ם אלו קביעות סופיות אלא הערכה מקדמית בלבד</w:t>
      </w:r>
      <w:r w:rsidRPr="00B332D4" w:rsidR="00B332D4">
        <w:rPr>
          <w:rFonts w:hint="cs" w:ascii="Arial" w:hAnsi="Arial"/>
          <w:b/>
          <w:bCs/>
          <w:noProof w:val="0"/>
          <w:sz w:val="26"/>
          <w:szCs w:val="26"/>
          <w:rtl/>
        </w:rPr>
        <w:t>, ואפשר שבמהלך שמיעת הראיות יתברר כי המצב שונה בתכלית.</w:t>
      </w:r>
    </w:p>
    <w:p w:rsidRPr="00FE1C49" w:rsidR="004D4EF5" w:rsidP="00A82662" w:rsidRDefault="00A82662">
      <w:pPr>
        <w:spacing w:after="240" w:line="360" w:lineRule="auto"/>
        <w:ind w:firstLine="720"/>
        <w:jc w:val="both"/>
        <w:rPr>
          <w:rFonts w:ascii="Arial" w:hAnsi="Arial"/>
          <w:noProof w:val="0"/>
          <w:sz w:val="26"/>
          <w:szCs w:val="26"/>
          <w:rtl/>
        </w:rPr>
      </w:pPr>
      <w:r>
        <w:rPr>
          <w:rFonts w:hint="cs" w:ascii="Arial" w:hAnsi="Arial"/>
          <w:noProof w:val="0"/>
          <w:sz w:val="26"/>
          <w:szCs w:val="26"/>
          <w:rtl/>
        </w:rPr>
        <w:t>ראשית, מדובר במקרה חריג בו גם במועד הגשת התביעה</w:t>
      </w:r>
      <w:r w:rsidRPr="00FE1C49" w:rsidR="004D4EF5">
        <w:rPr>
          <w:rFonts w:hint="cs" w:ascii="Arial" w:hAnsi="Arial"/>
          <w:noProof w:val="0"/>
          <w:sz w:val="26"/>
          <w:szCs w:val="26"/>
          <w:rtl/>
        </w:rPr>
        <w:t xml:space="preserve"> לא אובחנה התסמונת ממנה סובלת התובעת. אם לא אובחנה עד היום, ברי כי קיים קושי מניה וביה בטענה שניתן היה לאבחן את ליקויה של התובעת עוד בזמן ההריון, ולהמליץ להוריה על הפסקתו.</w:t>
      </w:r>
    </w:p>
    <w:p w:rsidRPr="00FE1C49" w:rsidR="00CE77B0" w:rsidP="00E93DE8" w:rsidRDefault="004D4EF5">
      <w:pPr>
        <w:spacing w:after="240" w:line="360" w:lineRule="auto"/>
        <w:ind w:firstLine="720"/>
        <w:jc w:val="both"/>
        <w:rPr>
          <w:rFonts w:ascii="Arial" w:hAnsi="Arial"/>
          <w:noProof w:val="0"/>
          <w:sz w:val="26"/>
          <w:szCs w:val="26"/>
          <w:rtl/>
        </w:rPr>
      </w:pPr>
      <w:r w:rsidRPr="00FE1C49">
        <w:rPr>
          <w:rFonts w:hint="cs" w:ascii="Arial" w:hAnsi="Arial"/>
          <w:noProof w:val="0"/>
          <w:sz w:val="26"/>
          <w:szCs w:val="26"/>
          <w:rtl/>
        </w:rPr>
        <w:t xml:space="preserve">אציין כי </w:t>
      </w:r>
      <w:r w:rsidRPr="00FE1C49" w:rsidR="00FE1C49">
        <w:rPr>
          <w:rFonts w:hint="cs" w:ascii="Arial" w:hAnsi="Arial"/>
          <w:noProof w:val="0"/>
          <w:sz w:val="26"/>
          <w:szCs w:val="26"/>
          <w:rtl/>
        </w:rPr>
        <w:t>טענות התובעת</w:t>
      </w:r>
      <w:r w:rsidRPr="00FE1C49">
        <w:rPr>
          <w:rFonts w:hint="cs" w:ascii="Arial" w:hAnsi="Arial"/>
          <w:noProof w:val="0"/>
          <w:sz w:val="26"/>
          <w:szCs w:val="26"/>
          <w:rtl/>
        </w:rPr>
        <w:t xml:space="preserve"> </w:t>
      </w:r>
      <w:r w:rsidRPr="00FE1C49" w:rsidR="00FE1C49">
        <w:rPr>
          <w:rFonts w:hint="cs" w:ascii="Arial" w:hAnsi="Arial"/>
          <w:noProof w:val="0"/>
          <w:sz w:val="26"/>
          <w:szCs w:val="26"/>
          <w:rtl/>
        </w:rPr>
        <w:t xml:space="preserve">בעניין זה כוללות דבר והיפוכו, כאשר מחד נטען כי התובעת סובלת מליקוי שניתן היה להבחין בו עוד במהלך ההריון, ומאידך היא טוענת כי ההימנעות מדילול העוברים גרמה ללידה מוקדמת, על כל נזקיה, והיא שגרמה לפיגור (ראו סעיף 17 לכתב התביעה). </w:t>
      </w:r>
      <w:r w:rsidR="00A82662">
        <w:rPr>
          <w:rFonts w:hint="cs" w:ascii="Arial" w:hAnsi="Arial"/>
          <w:noProof w:val="0"/>
          <w:sz w:val="26"/>
          <w:szCs w:val="26"/>
          <w:rtl/>
        </w:rPr>
        <w:t xml:space="preserve">כך, כתב התביעה וטענות התובעת עצמן מעוררות קשיים ניכרים, עוד בטרם ייבחנו טענות הנתבעות. </w:t>
      </w:r>
    </w:p>
    <w:p w:rsidR="009A198D" w:rsidP="00B332D4" w:rsidRDefault="00A82662">
      <w:pPr>
        <w:spacing w:after="240" w:line="360" w:lineRule="auto"/>
        <w:jc w:val="both"/>
        <w:rPr>
          <w:rFonts w:ascii="Arial" w:hAnsi="Arial"/>
          <w:noProof w:val="0"/>
          <w:rtl/>
        </w:rPr>
      </w:pPr>
      <w:r>
        <w:rPr>
          <w:rFonts w:hint="cs" w:ascii="Arial" w:hAnsi="Arial"/>
          <w:noProof w:val="0"/>
          <w:sz w:val="26"/>
          <w:szCs w:val="26"/>
          <w:rtl/>
        </w:rPr>
        <w:t>8.</w:t>
      </w:r>
      <w:r>
        <w:rPr>
          <w:rFonts w:hint="cs" w:ascii="Arial" w:hAnsi="Arial"/>
          <w:noProof w:val="0"/>
          <w:sz w:val="26"/>
          <w:szCs w:val="26"/>
          <w:rtl/>
        </w:rPr>
        <w:tab/>
        <w:t xml:space="preserve">זאת ועוד: </w:t>
      </w:r>
      <w:r w:rsidRPr="002B28DF" w:rsidR="002B28DF">
        <w:rPr>
          <w:rFonts w:hint="cs" w:ascii="Arial" w:hAnsi="Arial"/>
          <w:noProof w:val="0"/>
          <w:sz w:val="26"/>
          <w:szCs w:val="26"/>
          <w:rtl/>
        </w:rPr>
        <w:t>כאמור, חוות הדעת מטעם התובעת אינם של מומחים מתחומים רלוונטי</w:t>
      </w:r>
      <w:r>
        <w:rPr>
          <w:rFonts w:hint="cs" w:ascii="Arial" w:hAnsi="Arial"/>
          <w:noProof w:val="0"/>
          <w:sz w:val="26"/>
          <w:szCs w:val="26"/>
          <w:rtl/>
        </w:rPr>
        <w:t>ים, או כאלה שעיסוקם במעקב הריון,</w:t>
      </w:r>
      <w:r w:rsidRPr="002B28DF" w:rsidR="002B28DF">
        <w:rPr>
          <w:rFonts w:hint="cs" w:ascii="Arial" w:hAnsi="Arial"/>
          <w:noProof w:val="0"/>
          <w:sz w:val="26"/>
          <w:szCs w:val="26"/>
          <w:rtl/>
        </w:rPr>
        <w:t xml:space="preserve"> ואילו חוות הדעת מטעם הנתבעות הן של מומחים בתחום זה. </w:t>
      </w:r>
      <w:r w:rsidRPr="002B28DF" w:rsidR="00F37692">
        <w:rPr>
          <w:rFonts w:hint="cs" w:ascii="Arial" w:hAnsi="Arial"/>
          <w:noProof w:val="0"/>
          <w:sz w:val="26"/>
          <w:szCs w:val="26"/>
          <w:rtl/>
        </w:rPr>
        <w:t>בפסיקה הדנה בהפקדת ערובה עולה הקושי</w:t>
      </w:r>
      <w:r w:rsidRPr="002B28DF" w:rsidR="00BF0641">
        <w:rPr>
          <w:rFonts w:hint="cs" w:ascii="Arial" w:hAnsi="Arial"/>
          <w:noProof w:val="0"/>
          <w:sz w:val="26"/>
          <w:szCs w:val="26"/>
          <w:rtl/>
        </w:rPr>
        <w:t xml:space="preserve"> להעריך מראש את סיכויי התביעה</w:t>
      </w:r>
      <w:r w:rsidRPr="002B28DF" w:rsidR="00F37692">
        <w:rPr>
          <w:rFonts w:hint="cs" w:ascii="Arial" w:hAnsi="Arial"/>
          <w:noProof w:val="0"/>
          <w:sz w:val="26"/>
          <w:szCs w:val="26"/>
          <w:rtl/>
        </w:rPr>
        <w:t xml:space="preserve"> כשיקול מרכזי להימנעות מחיוב התובע בערובה</w:t>
      </w:r>
      <w:r w:rsidRPr="002B28DF" w:rsidR="00BF0641">
        <w:rPr>
          <w:rFonts w:hint="cs" w:ascii="Arial" w:hAnsi="Arial"/>
          <w:noProof w:val="0"/>
          <w:sz w:val="26"/>
          <w:szCs w:val="26"/>
          <w:rtl/>
        </w:rPr>
        <w:t xml:space="preserve">. </w:t>
      </w:r>
      <w:r w:rsidRPr="002B28DF" w:rsidR="00F37692">
        <w:rPr>
          <w:rFonts w:hint="cs" w:ascii="Arial" w:hAnsi="Arial"/>
          <w:noProof w:val="0"/>
          <w:sz w:val="26"/>
          <w:szCs w:val="26"/>
          <w:rtl/>
        </w:rPr>
        <w:t xml:space="preserve">מצב זה </w:t>
      </w:r>
      <w:r w:rsidRPr="002B28DF" w:rsidR="002B28DF">
        <w:rPr>
          <w:rFonts w:hint="cs" w:ascii="Arial" w:hAnsi="Arial"/>
          <w:noProof w:val="0"/>
          <w:sz w:val="26"/>
          <w:szCs w:val="26"/>
          <w:rtl/>
        </w:rPr>
        <w:t>נוצר</w:t>
      </w:r>
      <w:r w:rsidRPr="002B28DF" w:rsidR="00BF0641">
        <w:rPr>
          <w:rFonts w:hint="cs" w:ascii="Arial" w:hAnsi="Arial"/>
          <w:noProof w:val="0"/>
          <w:sz w:val="26"/>
          <w:szCs w:val="26"/>
          <w:rtl/>
        </w:rPr>
        <w:t xml:space="preserve"> כאשר בפני בית המשפט שת</w:t>
      </w:r>
      <w:r>
        <w:rPr>
          <w:rFonts w:hint="cs" w:ascii="Arial" w:hAnsi="Arial"/>
          <w:noProof w:val="0"/>
          <w:sz w:val="26"/>
          <w:szCs w:val="26"/>
          <w:rtl/>
        </w:rPr>
        <w:t xml:space="preserve">י מערכות </w:t>
      </w:r>
      <w:r w:rsidR="00E43F5B">
        <w:rPr>
          <w:rFonts w:hint="cs" w:ascii="Arial" w:hAnsi="Arial"/>
          <w:noProof w:val="0"/>
          <w:sz w:val="26"/>
          <w:szCs w:val="26"/>
          <w:rtl/>
        </w:rPr>
        <w:t>טיעונים</w:t>
      </w:r>
      <w:r>
        <w:rPr>
          <w:rFonts w:hint="cs" w:ascii="Arial" w:hAnsi="Arial"/>
          <w:noProof w:val="0"/>
          <w:sz w:val="26"/>
          <w:szCs w:val="26"/>
          <w:rtl/>
        </w:rPr>
        <w:t>, ונוצר צורך</w:t>
      </w:r>
      <w:r w:rsidRPr="002B28DF" w:rsidR="00BF0641">
        <w:rPr>
          <w:rFonts w:hint="cs" w:ascii="Arial" w:hAnsi="Arial"/>
          <w:noProof w:val="0"/>
          <w:sz w:val="26"/>
          <w:szCs w:val="26"/>
          <w:rtl/>
        </w:rPr>
        <w:t xml:space="preserve"> להכריע ביניהן לפני </w:t>
      </w:r>
      <w:r w:rsidR="00E43F5B">
        <w:rPr>
          <w:rFonts w:hint="cs" w:ascii="Arial" w:hAnsi="Arial"/>
          <w:noProof w:val="0"/>
          <w:sz w:val="26"/>
          <w:szCs w:val="26"/>
          <w:rtl/>
        </w:rPr>
        <w:t>חשיפה לתצהירים</w:t>
      </w:r>
      <w:r w:rsidRPr="002B28DF" w:rsidR="00BD7171">
        <w:rPr>
          <w:rFonts w:hint="cs" w:ascii="Arial" w:hAnsi="Arial"/>
          <w:noProof w:val="0"/>
          <w:sz w:val="26"/>
          <w:szCs w:val="26"/>
          <w:rtl/>
        </w:rPr>
        <w:t xml:space="preserve"> או חקירת המומחים (ראו לדוגמא עניין </w:t>
      </w:r>
      <w:r w:rsidRPr="00591716" w:rsidR="00BD7171">
        <w:rPr>
          <w:rFonts w:hint="cs" w:ascii="Arial" w:hAnsi="Arial"/>
          <w:b/>
          <w:bCs/>
          <w:noProof w:val="0"/>
          <w:sz w:val="26"/>
          <w:szCs w:val="26"/>
          <w:rtl/>
        </w:rPr>
        <w:t>סארי גנאם נ' מדינת ישראל</w:t>
      </w:r>
      <w:r w:rsidRPr="002B28DF" w:rsidR="00BD7171">
        <w:rPr>
          <w:rFonts w:hint="cs" w:ascii="Arial" w:hAnsi="Arial"/>
          <w:noProof w:val="0"/>
          <w:sz w:val="26"/>
          <w:szCs w:val="26"/>
          <w:rtl/>
        </w:rPr>
        <w:t xml:space="preserve"> לעיל)</w:t>
      </w:r>
      <w:r w:rsidRPr="002B28DF" w:rsidR="00BF0641">
        <w:rPr>
          <w:rFonts w:hint="cs" w:ascii="Arial" w:hAnsi="Arial"/>
          <w:noProof w:val="0"/>
          <w:sz w:val="26"/>
          <w:szCs w:val="26"/>
          <w:rtl/>
        </w:rPr>
        <w:t xml:space="preserve">. אולם </w:t>
      </w:r>
      <w:r w:rsidRPr="002B28DF" w:rsidR="002B28DF">
        <w:rPr>
          <w:rFonts w:hint="cs" w:ascii="Arial" w:hAnsi="Arial"/>
          <w:noProof w:val="0"/>
          <w:sz w:val="26"/>
          <w:szCs w:val="26"/>
          <w:rtl/>
        </w:rPr>
        <w:t>במקרה שבפני</w:t>
      </w:r>
      <w:r w:rsidRPr="002B28DF" w:rsidR="007137A0">
        <w:rPr>
          <w:rFonts w:hint="cs" w:ascii="Arial" w:hAnsi="Arial"/>
          <w:noProof w:val="0"/>
          <w:sz w:val="26"/>
          <w:szCs w:val="26"/>
          <w:rtl/>
        </w:rPr>
        <w:t xml:space="preserve"> </w:t>
      </w:r>
      <w:r w:rsidR="00E43F5B">
        <w:rPr>
          <w:rFonts w:hint="cs" w:ascii="Arial" w:hAnsi="Arial"/>
          <w:noProof w:val="0"/>
          <w:sz w:val="26"/>
          <w:szCs w:val="26"/>
          <w:rtl/>
        </w:rPr>
        <w:t>קיימת נחיתות מובנית של חוות הדעת מטעם התובעת לעומת חוות הדעת מטעם הנתבעים, בשל העד מומחיות וניסיון רלוונטי של המומחים מטעם התובעת בתחומים הרלוונטיים לתביעה. כך ש</w:t>
      </w:r>
      <w:r w:rsidR="00591716">
        <w:rPr>
          <w:rFonts w:hint="cs" w:ascii="Arial" w:hAnsi="Arial"/>
          <w:noProof w:val="0"/>
          <w:sz w:val="26"/>
          <w:szCs w:val="26"/>
          <w:rtl/>
        </w:rPr>
        <w:t xml:space="preserve">יתרונן של הנתבעות, ומכאן סיכוייהן הטובים יותר לזכות בתביעה, ברורים על פניהם גם ללא </w:t>
      </w:r>
      <w:r w:rsidR="00E43F5B">
        <w:rPr>
          <w:rFonts w:hint="cs" w:ascii="Arial" w:hAnsi="Arial"/>
          <w:noProof w:val="0"/>
          <w:sz w:val="26"/>
          <w:szCs w:val="26"/>
          <w:rtl/>
        </w:rPr>
        <w:t>צורך בחקירת המומחים ובהתרשמות מהעדים</w:t>
      </w:r>
      <w:r w:rsidR="00591716">
        <w:rPr>
          <w:rFonts w:hint="cs" w:ascii="Arial" w:hAnsi="Arial"/>
          <w:noProof w:val="0"/>
          <w:sz w:val="26"/>
          <w:szCs w:val="26"/>
          <w:rtl/>
        </w:rPr>
        <w:t>.</w:t>
      </w:r>
      <w:r w:rsidR="00B332D4">
        <w:rPr>
          <w:rFonts w:hint="cs" w:ascii="Arial" w:hAnsi="Arial"/>
          <w:noProof w:val="0"/>
          <w:sz w:val="26"/>
          <w:szCs w:val="26"/>
          <w:rtl/>
        </w:rPr>
        <w:t xml:space="preserve"> </w:t>
      </w:r>
    </w:p>
    <w:p w:rsidRPr="001C1716" w:rsidR="00A36A8A" w:rsidP="00591716" w:rsidRDefault="00591716">
      <w:pPr>
        <w:spacing w:after="240" w:line="360" w:lineRule="auto"/>
        <w:jc w:val="both"/>
        <w:rPr>
          <w:rFonts w:ascii="Arial" w:hAnsi="Arial"/>
          <w:noProof w:val="0"/>
          <w:sz w:val="26"/>
          <w:szCs w:val="26"/>
          <w:rtl/>
        </w:rPr>
      </w:pPr>
      <w:r>
        <w:rPr>
          <w:rFonts w:hint="cs" w:ascii="Arial" w:hAnsi="Arial"/>
          <w:noProof w:val="0"/>
          <w:sz w:val="26"/>
          <w:szCs w:val="26"/>
          <w:rtl/>
        </w:rPr>
        <w:t>9.</w:t>
      </w:r>
      <w:r>
        <w:rPr>
          <w:rFonts w:hint="cs" w:ascii="Arial" w:hAnsi="Arial"/>
          <w:noProof w:val="0"/>
          <w:sz w:val="26"/>
          <w:szCs w:val="26"/>
          <w:rtl/>
        </w:rPr>
        <w:tab/>
      </w:r>
      <w:r w:rsidRPr="001C1716" w:rsidR="009A198D">
        <w:rPr>
          <w:rFonts w:hint="cs" w:ascii="Arial" w:hAnsi="Arial"/>
          <w:noProof w:val="0"/>
          <w:sz w:val="26"/>
          <w:szCs w:val="26"/>
          <w:rtl/>
        </w:rPr>
        <w:t>הטענה בדבר העדר</w:t>
      </w:r>
      <w:r>
        <w:rPr>
          <w:rFonts w:hint="cs" w:ascii="Arial" w:hAnsi="Arial"/>
          <w:noProof w:val="0"/>
          <w:sz w:val="26"/>
          <w:szCs w:val="26"/>
          <w:rtl/>
        </w:rPr>
        <w:t xml:space="preserve"> מסמכי</w:t>
      </w:r>
      <w:r w:rsidRPr="001C1716" w:rsidR="009A198D">
        <w:rPr>
          <w:rFonts w:hint="cs" w:ascii="Arial" w:hAnsi="Arial"/>
          <w:noProof w:val="0"/>
          <w:sz w:val="26"/>
          <w:szCs w:val="26"/>
          <w:rtl/>
        </w:rPr>
        <w:t xml:space="preserve"> רשומה רפואית </w:t>
      </w:r>
      <w:r w:rsidRPr="001C1716" w:rsidR="00A36A8A">
        <w:rPr>
          <w:rFonts w:hint="cs" w:ascii="Arial" w:hAnsi="Arial"/>
          <w:noProof w:val="0"/>
          <w:sz w:val="26"/>
          <w:szCs w:val="26"/>
          <w:rtl/>
        </w:rPr>
        <w:t xml:space="preserve">נטענה באופן כללי וסתמי. </w:t>
      </w:r>
      <w:r w:rsidRPr="001C1716" w:rsidR="002B28DF">
        <w:rPr>
          <w:rFonts w:hint="cs" w:ascii="Arial" w:hAnsi="Arial"/>
          <w:noProof w:val="0"/>
          <w:sz w:val="26"/>
          <w:szCs w:val="26"/>
          <w:rtl/>
        </w:rPr>
        <w:t xml:space="preserve">לכתב התביעה, כמו גם לתצהירים שהוגשו מאוחר יותר, צורפו סדרת מכתבים מאת ב"כ התובעת ובהם דרישה שגרתית לקבלת הרשומות הרפואיות הנוגעות למעקב ההריון וללידה. עם זאת, אין אף </w:t>
      </w:r>
      <w:r w:rsidRPr="001C1716" w:rsidR="002B28DF">
        <w:rPr>
          <w:rFonts w:hint="cs" w:ascii="Arial" w:hAnsi="Arial"/>
          <w:noProof w:val="0"/>
          <w:sz w:val="26"/>
          <w:szCs w:val="26"/>
          <w:rtl/>
        </w:rPr>
        <w:lastRenderedPageBreak/>
        <w:t xml:space="preserve">לא באחד המכתבים דרישה לקבלת מסמכים ספציפיים אשר נטען שהוסתרו מהתובעת, או אינדיקציה כלשהי לטענות בדבר  הסתרת רשומות רפואיות או שינויים שנעשו בהן. </w:t>
      </w:r>
      <w:r w:rsidRPr="001C1716" w:rsidR="00A36A8A">
        <w:rPr>
          <w:rFonts w:hint="cs" w:ascii="Arial" w:hAnsi="Arial"/>
          <w:noProof w:val="0"/>
          <w:sz w:val="26"/>
          <w:szCs w:val="26"/>
          <w:rtl/>
        </w:rPr>
        <w:t xml:space="preserve">כמו כן לא </w:t>
      </w:r>
      <w:r>
        <w:rPr>
          <w:rFonts w:hint="cs" w:ascii="Arial" w:hAnsi="Arial"/>
          <w:noProof w:val="0"/>
          <w:sz w:val="26"/>
          <w:szCs w:val="26"/>
          <w:rtl/>
        </w:rPr>
        <w:t>פורטו</w:t>
      </w:r>
      <w:r w:rsidRPr="001C1716" w:rsidR="00A36A8A">
        <w:rPr>
          <w:rFonts w:hint="cs" w:ascii="Arial" w:hAnsi="Arial"/>
          <w:noProof w:val="0"/>
          <w:sz w:val="26"/>
          <w:szCs w:val="26"/>
          <w:rtl/>
        </w:rPr>
        <w:t xml:space="preserve"> עובד</w:t>
      </w:r>
      <w:r>
        <w:rPr>
          <w:rFonts w:hint="cs" w:ascii="Arial" w:hAnsi="Arial"/>
          <w:noProof w:val="0"/>
          <w:sz w:val="26"/>
          <w:szCs w:val="26"/>
          <w:rtl/>
        </w:rPr>
        <w:t>ות</w:t>
      </w:r>
      <w:r w:rsidRPr="001C1716" w:rsidR="00A36A8A">
        <w:rPr>
          <w:rFonts w:hint="cs" w:ascii="Arial" w:hAnsi="Arial"/>
          <w:noProof w:val="0"/>
          <w:sz w:val="26"/>
          <w:szCs w:val="26"/>
          <w:rtl/>
        </w:rPr>
        <w:t xml:space="preserve"> קונקרטי</w:t>
      </w:r>
      <w:r>
        <w:rPr>
          <w:rFonts w:hint="cs" w:ascii="Arial" w:hAnsi="Arial"/>
          <w:noProof w:val="0"/>
          <w:sz w:val="26"/>
          <w:szCs w:val="26"/>
          <w:rtl/>
        </w:rPr>
        <w:t>ות כלשהן באשר לטענה בדבר</w:t>
      </w:r>
      <w:r w:rsidRPr="001C1716" w:rsidR="00A36A8A">
        <w:rPr>
          <w:rFonts w:hint="cs" w:ascii="Arial" w:hAnsi="Arial"/>
          <w:noProof w:val="0"/>
          <w:sz w:val="26"/>
          <w:szCs w:val="26"/>
          <w:rtl/>
        </w:rPr>
        <w:t xml:space="preserve"> קושי בקבלת חוות דעת בשל העדר מסמכים רפואיים, מל</w:t>
      </w:r>
      <w:r w:rsidRPr="001C1716" w:rsidR="00E3772E">
        <w:rPr>
          <w:rFonts w:hint="cs" w:ascii="Arial" w:hAnsi="Arial"/>
          <w:noProof w:val="0"/>
          <w:sz w:val="26"/>
          <w:szCs w:val="26"/>
          <w:rtl/>
        </w:rPr>
        <w:t xml:space="preserve">בד אמירה בעלמא. </w:t>
      </w:r>
    </w:p>
    <w:p w:rsidRPr="001C1716" w:rsidR="00E3772E" w:rsidP="001C1716" w:rsidRDefault="00A36A8A">
      <w:pPr>
        <w:spacing w:after="240" w:line="360" w:lineRule="auto"/>
        <w:ind w:firstLine="720"/>
        <w:jc w:val="both"/>
        <w:rPr>
          <w:rFonts w:ascii="Arial" w:hAnsi="Arial"/>
          <w:noProof w:val="0"/>
          <w:sz w:val="26"/>
          <w:szCs w:val="26"/>
          <w:rtl/>
        </w:rPr>
      </w:pPr>
      <w:r w:rsidRPr="001C1716">
        <w:rPr>
          <w:rFonts w:hint="cs" w:ascii="Arial" w:hAnsi="Arial"/>
          <w:noProof w:val="0"/>
          <w:sz w:val="26"/>
          <w:szCs w:val="26"/>
          <w:rtl/>
        </w:rPr>
        <w:t>במסגרת הליך זה לא הוגשה שום בקשה מטעם התובעת לגילוי מסמכים, לא כל שכן לגילוי מסמכים ספ</w:t>
      </w:r>
      <w:r w:rsidR="00591716">
        <w:rPr>
          <w:rFonts w:hint="cs" w:ascii="Arial" w:hAnsi="Arial"/>
          <w:noProof w:val="0"/>
          <w:sz w:val="26"/>
          <w:szCs w:val="26"/>
          <w:rtl/>
        </w:rPr>
        <w:t>ציפיים;</w:t>
      </w:r>
      <w:r w:rsidRPr="001C1716">
        <w:rPr>
          <w:rFonts w:hint="cs" w:ascii="Arial" w:hAnsi="Arial"/>
          <w:noProof w:val="0"/>
          <w:sz w:val="26"/>
          <w:szCs w:val="26"/>
          <w:rtl/>
        </w:rPr>
        <w:t xml:space="preserve"> הליכים שהם מחוייבי </w:t>
      </w:r>
      <w:r w:rsidR="00591716">
        <w:rPr>
          <w:rFonts w:hint="cs" w:ascii="Arial" w:hAnsi="Arial"/>
          <w:noProof w:val="0"/>
          <w:sz w:val="26"/>
          <w:szCs w:val="26"/>
          <w:rtl/>
        </w:rPr>
        <w:t>המציאות כאשר קיימות טענות</w:t>
      </w:r>
      <w:r w:rsidRPr="001C1716">
        <w:rPr>
          <w:rFonts w:hint="cs" w:ascii="Arial" w:hAnsi="Arial"/>
          <w:noProof w:val="0"/>
          <w:sz w:val="26"/>
          <w:szCs w:val="26"/>
          <w:rtl/>
        </w:rPr>
        <w:t xml:space="preserve"> בנוגע להעדר מסמכים רלוונטיים. </w:t>
      </w:r>
    </w:p>
    <w:p w:rsidRPr="001C1716" w:rsidR="00E3772E" w:rsidP="001C1716" w:rsidRDefault="00E3772E">
      <w:pPr>
        <w:spacing w:after="240" w:line="360" w:lineRule="auto"/>
        <w:ind w:firstLine="720"/>
        <w:jc w:val="both"/>
        <w:rPr>
          <w:rFonts w:ascii="Arial" w:hAnsi="Arial"/>
          <w:noProof w:val="0"/>
          <w:sz w:val="26"/>
          <w:szCs w:val="26"/>
          <w:rtl/>
        </w:rPr>
      </w:pPr>
      <w:r w:rsidRPr="001C1716">
        <w:rPr>
          <w:rFonts w:hint="cs" w:ascii="Arial" w:hAnsi="Arial"/>
          <w:noProof w:val="0"/>
          <w:sz w:val="26"/>
          <w:szCs w:val="26"/>
          <w:rtl/>
        </w:rPr>
        <w:t>אין בכל האמור כדי להביע מסקנה או קביעה לגופו של עניין</w:t>
      </w:r>
      <w:r w:rsidR="00591716">
        <w:rPr>
          <w:rFonts w:hint="cs" w:ascii="Arial" w:hAnsi="Arial"/>
          <w:noProof w:val="0"/>
          <w:sz w:val="26"/>
          <w:szCs w:val="26"/>
          <w:rtl/>
        </w:rPr>
        <w:t xml:space="preserve"> בנוג</w:t>
      </w:r>
      <w:r w:rsidRPr="001C1716" w:rsidR="002B28DF">
        <w:rPr>
          <w:rFonts w:hint="cs" w:ascii="Arial" w:hAnsi="Arial"/>
          <w:noProof w:val="0"/>
          <w:sz w:val="26"/>
          <w:szCs w:val="26"/>
          <w:rtl/>
        </w:rPr>
        <w:t>ע לרשומות הרפואיות, אולם ככל שמדובר בהליך</w:t>
      </w:r>
      <w:r w:rsidRPr="001C1716">
        <w:rPr>
          <w:rFonts w:hint="cs" w:ascii="Arial" w:hAnsi="Arial"/>
          <w:noProof w:val="0"/>
          <w:sz w:val="26"/>
          <w:szCs w:val="26"/>
          <w:rtl/>
        </w:rPr>
        <w:t xml:space="preserve"> של חיוב בהפקדת ערובה, ניתן לקבוע שלא הוצגה תשתית לטענה לפיה לא הובאו חוות דעת על ידי מומחים מהתחום הרלוונטי בשל הימנעות הנתבעות מהעברת מסמכים.</w:t>
      </w:r>
    </w:p>
    <w:p w:rsidRPr="00B332D4" w:rsidR="00E3772E" w:rsidP="00B332D4" w:rsidRDefault="00B332D4">
      <w:pPr>
        <w:spacing w:after="240" w:line="360" w:lineRule="auto"/>
        <w:jc w:val="both"/>
        <w:rPr>
          <w:rFonts w:ascii="Arial" w:hAnsi="Arial"/>
          <w:noProof w:val="0"/>
          <w:sz w:val="26"/>
          <w:szCs w:val="26"/>
          <w:rtl/>
        </w:rPr>
      </w:pPr>
      <w:r>
        <w:rPr>
          <w:rFonts w:hint="cs" w:ascii="Arial" w:hAnsi="Arial"/>
          <w:noProof w:val="0"/>
          <w:rtl/>
        </w:rPr>
        <w:t>10</w:t>
      </w:r>
      <w:r w:rsidRPr="00B332D4">
        <w:rPr>
          <w:rFonts w:hint="cs" w:ascii="Arial" w:hAnsi="Arial"/>
          <w:noProof w:val="0"/>
          <w:sz w:val="26"/>
          <w:szCs w:val="26"/>
          <w:rtl/>
        </w:rPr>
        <w:t>.</w:t>
      </w:r>
      <w:r w:rsidRPr="00B332D4">
        <w:rPr>
          <w:rFonts w:hint="cs" w:ascii="Arial" w:hAnsi="Arial"/>
          <w:noProof w:val="0"/>
          <w:sz w:val="26"/>
          <w:szCs w:val="26"/>
          <w:rtl/>
        </w:rPr>
        <w:tab/>
      </w:r>
      <w:r w:rsidRPr="00B332D4" w:rsidR="005471B9">
        <w:rPr>
          <w:rFonts w:hint="cs" w:ascii="Arial" w:hAnsi="Arial"/>
          <w:noProof w:val="0"/>
          <w:sz w:val="26"/>
          <w:szCs w:val="26"/>
          <w:rtl/>
        </w:rPr>
        <w:t>באשר ל</w:t>
      </w:r>
      <w:r w:rsidRPr="00B332D4" w:rsidR="00E3772E">
        <w:rPr>
          <w:rFonts w:hint="cs" w:ascii="Arial" w:hAnsi="Arial"/>
          <w:noProof w:val="0"/>
          <w:sz w:val="26"/>
          <w:szCs w:val="26"/>
          <w:rtl/>
        </w:rPr>
        <w:t>מועד הגשת הבקשה</w:t>
      </w:r>
      <w:r w:rsidRPr="00B332D4">
        <w:rPr>
          <w:rFonts w:hint="cs" w:ascii="Arial" w:hAnsi="Arial"/>
          <w:noProof w:val="0"/>
          <w:sz w:val="26"/>
          <w:szCs w:val="26"/>
          <w:rtl/>
        </w:rPr>
        <w:t>:</w:t>
      </w:r>
      <w:r w:rsidRPr="00B332D4" w:rsidR="00E3772E">
        <w:rPr>
          <w:rFonts w:hint="cs" w:ascii="Arial" w:hAnsi="Arial"/>
          <w:noProof w:val="0"/>
          <w:sz w:val="26"/>
          <w:szCs w:val="26"/>
          <w:rtl/>
        </w:rPr>
        <w:t xml:space="preserve"> תקנה 519 אינה מוגבלת לשלב מסויים של ההליך, ואין בסיס לטענה שצריך היה להעלות את הבקשה לפני קדם המשפט. </w:t>
      </w:r>
      <w:r>
        <w:rPr>
          <w:rFonts w:hint="cs" w:ascii="Arial" w:hAnsi="Arial"/>
          <w:noProof w:val="0"/>
          <w:sz w:val="26"/>
          <w:szCs w:val="26"/>
          <w:rtl/>
        </w:rPr>
        <w:t>קיים אף יתרון בהמתנה</w:t>
      </w:r>
      <w:r w:rsidRPr="00B332D4" w:rsidR="00E3772E">
        <w:rPr>
          <w:rFonts w:hint="cs" w:ascii="Arial" w:hAnsi="Arial"/>
          <w:noProof w:val="0"/>
          <w:sz w:val="26"/>
          <w:szCs w:val="26"/>
          <w:rtl/>
        </w:rPr>
        <w:t xml:space="preserve">  עד ל</w:t>
      </w:r>
      <w:r>
        <w:rPr>
          <w:rFonts w:hint="cs" w:ascii="Arial" w:hAnsi="Arial"/>
          <w:noProof w:val="0"/>
          <w:sz w:val="26"/>
          <w:szCs w:val="26"/>
          <w:rtl/>
        </w:rPr>
        <w:t>אחר הגשת הראיות, בשלב שלאחר הגשת</w:t>
      </w:r>
      <w:r w:rsidRPr="00B332D4" w:rsidR="00E3772E">
        <w:rPr>
          <w:rFonts w:hint="cs" w:ascii="Arial" w:hAnsi="Arial"/>
          <w:noProof w:val="0"/>
          <w:sz w:val="26"/>
          <w:szCs w:val="26"/>
          <w:rtl/>
        </w:rPr>
        <w:t xml:space="preserve"> מלוא ראיותיה של התובעת. </w:t>
      </w:r>
      <w:r>
        <w:rPr>
          <w:rFonts w:hint="cs" w:ascii="Arial" w:hAnsi="Arial"/>
          <w:noProof w:val="0"/>
          <w:sz w:val="26"/>
          <w:szCs w:val="26"/>
          <w:rtl/>
        </w:rPr>
        <w:t>בעניין</w:t>
      </w:r>
      <w:r w:rsidRPr="00B332D4" w:rsidR="00BF0641">
        <w:rPr>
          <w:rFonts w:hint="cs" w:ascii="Arial" w:hAnsi="Arial"/>
          <w:b/>
          <w:bCs/>
          <w:noProof w:val="0"/>
          <w:sz w:val="26"/>
          <w:szCs w:val="26"/>
          <w:rtl/>
        </w:rPr>
        <w:t xml:space="preserve"> אברהם נ' יגרמן</w:t>
      </w:r>
      <w:r w:rsidRPr="00B332D4" w:rsidR="00BF0641">
        <w:rPr>
          <w:rFonts w:hint="cs" w:ascii="Arial" w:hAnsi="Arial"/>
          <w:noProof w:val="0"/>
          <w:sz w:val="26"/>
          <w:szCs w:val="26"/>
          <w:rtl/>
        </w:rPr>
        <w:t xml:space="preserve"> הנ"ל,</w:t>
      </w:r>
      <w:r>
        <w:rPr>
          <w:rFonts w:hint="cs" w:ascii="Arial" w:hAnsi="Arial"/>
          <w:noProof w:val="0"/>
          <w:sz w:val="26"/>
          <w:szCs w:val="26"/>
          <w:rtl/>
        </w:rPr>
        <w:t xml:space="preserve"> </w:t>
      </w:r>
      <w:r w:rsidRPr="00B332D4" w:rsidR="00BF0641">
        <w:rPr>
          <w:rFonts w:hint="cs" w:ascii="Arial" w:hAnsi="Arial"/>
          <w:noProof w:val="0"/>
          <w:sz w:val="26"/>
          <w:szCs w:val="26"/>
          <w:rtl/>
        </w:rPr>
        <w:t xml:space="preserve">הוגשה הבקשה לחיוב בערובה בתום הליכי קדם המשפט לפני הגשת התצהירים, ונדונה לאחר </w:t>
      </w:r>
      <w:r>
        <w:rPr>
          <w:rFonts w:hint="cs" w:ascii="Arial" w:hAnsi="Arial"/>
          <w:noProof w:val="0"/>
          <w:sz w:val="26"/>
          <w:szCs w:val="26"/>
          <w:rtl/>
        </w:rPr>
        <w:t xml:space="preserve">סיום פרשת התביעה. </w:t>
      </w:r>
      <w:r w:rsidR="008D5875">
        <w:rPr>
          <w:rFonts w:hint="cs" w:ascii="Arial" w:hAnsi="Arial"/>
          <w:noProof w:val="0"/>
          <w:sz w:val="26"/>
          <w:szCs w:val="26"/>
          <w:rtl/>
        </w:rPr>
        <w:t xml:space="preserve">נקבע (פסקה 9 להחלטה) כי </w:t>
      </w:r>
    </w:p>
    <w:p w:rsidRPr="008D5875" w:rsidR="00264CCE" w:rsidP="008D5875" w:rsidRDefault="00264CCE">
      <w:pPr>
        <w:spacing w:after="240" w:line="360" w:lineRule="auto"/>
        <w:ind w:left="720" w:right="567"/>
        <w:jc w:val="both"/>
        <w:rPr>
          <w:rFonts w:ascii="Arial" w:hAnsi="Arial"/>
          <w:noProof w:val="0"/>
          <w:sz w:val="26"/>
          <w:szCs w:val="26"/>
          <w:rtl/>
        </w:rPr>
      </w:pPr>
      <w:r w:rsidRPr="008D5875">
        <w:rPr>
          <w:rFonts w:hint="cs" w:ascii="Arial" w:hAnsi="Arial"/>
          <w:noProof w:val="0"/>
          <w:sz w:val="26"/>
          <w:szCs w:val="26"/>
          <w:rtl/>
        </w:rPr>
        <w:t>"</w:t>
      </w:r>
      <w:r w:rsidRPr="008D5875">
        <w:rPr>
          <w:rFonts w:ascii="Arial" w:hAnsi="Arial"/>
          <w:noProof w:val="0"/>
          <w:sz w:val="26"/>
          <w:szCs w:val="26"/>
          <w:rtl/>
        </w:rPr>
        <w:t>כאשר לפנינו הליך שהגיע לשלב מתקדם, ויש להניח שבחלק הארי של ההוצאות כבר נשא הנתבע, הולכת ופוחתת ההצדקה לחייב את התובע במתן ערובה להוצאות, שכן בשלב זה לא יהיה באי הפקדת הערובה כדי לחסוך לנתבע את הוצאותיו. האפשרות למנוע מצב של הליך שווא שנוקט תובע נגד נתבע אשר נגרר שלא בטובתו להליך יקר, שבסיומו עשוי הוא למצוא את עצמו חסר יכולת להיפרע מן התובע, ממשית ומעשית יותר עת ניצבים אנו בתחילת הדרך, והתביעה מגלה על פניה, כי מדובר בהליך סרק שסיכוייו להתקבל נמוכים</w:t>
      </w:r>
      <w:r w:rsidRPr="008D5875">
        <w:rPr>
          <w:rFonts w:hint="cs" w:ascii="Arial" w:hAnsi="Arial"/>
          <w:noProof w:val="0"/>
          <w:sz w:val="26"/>
          <w:szCs w:val="26"/>
          <w:rtl/>
        </w:rPr>
        <w:t xml:space="preserve">" </w:t>
      </w:r>
    </w:p>
    <w:p w:rsidR="008D5875" w:rsidP="00E3772E" w:rsidRDefault="008D5875">
      <w:pPr>
        <w:spacing w:after="240" w:line="360" w:lineRule="auto"/>
        <w:jc w:val="both"/>
        <w:rPr>
          <w:rFonts w:hint="cs" w:ascii="Arial" w:hAnsi="Arial"/>
          <w:noProof w:val="0"/>
          <w:sz w:val="26"/>
          <w:szCs w:val="26"/>
          <w:rtl/>
        </w:rPr>
      </w:pPr>
      <w:r>
        <w:rPr>
          <w:rFonts w:hint="cs" w:ascii="Arial" w:hAnsi="Arial"/>
          <w:noProof w:val="0"/>
          <w:sz w:val="26"/>
          <w:szCs w:val="26"/>
          <w:rtl/>
        </w:rPr>
        <w:t>11.</w:t>
      </w:r>
      <w:r>
        <w:rPr>
          <w:rFonts w:hint="cs" w:ascii="Arial" w:hAnsi="Arial"/>
          <w:noProof w:val="0"/>
          <w:sz w:val="26"/>
          <w:szCs w:val="26"/>
          <w:rtl/>
        </w:rPr>
        <w:tab/>
        <w:t xml:space="preserve">לנוכח כל השיקולים שהועלו, אני סבורה שסיכויי התובעת לזכות בתביעתה קלושים, וכי יש לחייבה בהפקדת ערובה להוצאות המשיבים. אין בפני נתונים לגבי מצבם הכלכלי של התובעת והוריה, והצדדים לא הרחיבו בטיעונים בנושא זה, אולם ניתן להסיק כי מצבם </w:t>
      </w:r>
      <w:r>
        <w:rPr>
          <w:rFonts w:hint="cs" w:ascii="Arial" w:hAnsi="Arial"/>
          <w:noProof w:val="0"/>
          <w:sz w:val="26"/>
          <w:szCs w:val="26"/>
          <w:rtl/>
        </w:rPr>
        <w:lastRenderedPageBreak/>
        <w:t xml:space="preserve">הכלכלי אינו מהמשופרים וכי חיובם בהפקדת ערובה ישפיע על יכולתם של התובעים לעמוד על תביעתם. </w:t>
      </w:r>
    </w:p>
    <w:p w:rsidR="00A67ED9" w:rsidP="008D5875" w:rsidRDefault="00A67ED9">
      <w:pPr>
        <w:spacing w:after="240" w:line="360" w:lineRule="auto"/>
        <w:ind w:firstLine="720"/>
        <w:jc w:val="both"/>
        <w:rPr>
          <w:rFonts w:ascii="Arial" w:hAnsi="Arial"/>
          <w:noProof w:val="0"/>
          <w:rtl/>
        </w:rPr>
      </w:pPr>
      <w:r w:rsidRPr="008D5875">
        <w:rPr>
          <w:rFonts w:hint="cs" w:ascii="Arial" w:hAnsi="Arial"/>
          <w:noProof w:val="0"/>
          <w:sz w:val="26"/>
          <w:szCs w:val="26"/>
          <w:rtl/>
        </w:rPr>
        <w:t>בשים לב</w:t>
      </w:r>
      <w:r>
        <w:rPr>
          <w:rFonts w:hint="cs" w:ascii="Arial" w:hAnsi="Arial"/>
          <w:noProof w:val="0"/>
          <w:rtl/>
        </w:rPr>
        <w:t xml:space="preserve"> </w:t>
      </w:r>
      <w:r w:rsidRPr="008E5A3E">
        <w:rPr>
          <w:rFonts w:hint="cs" w:ascii="Arial" w:hAnsi="Arial"/>
          <w:noProof w:val="0"/>
          <w:sz w:val="26"/>
          <w:szCs w:val="26"/>
          <w:rtl/>
        </w:rPr>
        <w:t>מחד</w:t>
      </w:r>
      <w:r w:rsidRPr="008E5A3E" w:rsidR="008D5875">
        <w:rPr>
          <w:rFonts w:hint="cs" w:ascii="Arial" w:hAnsi="Arial"/>
          <w:noProof w:val="0"/>
          <w:sz w:val="26"/>
          <w:szCs w:val="26"/>
          <w:rtl/>
        </w:rPr>
        <w:t xml:space="preserve"> גיסא לסיכויים התביעה הנמוכים ול</w:t>
      </w:r>
      <w:r w:rsidRPr="008E5A3E">
        <w:rPr>
          <w:rFonts w:hint="cs" w:ascii="Arial" w:hAnsi="Arial"/>
          <w:noProof w:val="0"/>
          <w:sz w:val="26"/>
          <w:szCs w:val="26"/>
          <w:rtl/>
        </w:rPr>
        <w:t xml:space="preserve">עלות הגבוהה של ניהול הליך של רשלנות רפואית, ומאידך גיסא לרצון שלא לחסום את דרכה של התובעת לבית המשפט, במיוחד לנוכח מהות התביעה, </w:t>
      </w:r>
      <w:r w:rsidRPr="008E5A3E" w:rsidR="008D5875">
        <w:rPr>
          <w:rFonts w:hint="cs" w:ascii="Arial" w:hAnsi="Arial"/>
          <w:noProof w:val="0"/>
          <w:sz w:val="26"/>
          <w:szCs w:val="26"/>
          <w:rtl/>
        </w:rPr>
        <w:t>וכן ל</w:t>
      </w:r>
      <w:r w:rsidRPr="008E5A3E" w:rsidR="00F210C7">
        <w:rPr>
          <w:rFonts w:hint="cs" w:ascii="Arial" w:hAnsi="Arial"/>
          <w:noProof w:val="0"/>
          <w:sz w:val="26"/>
          <w:szCs w:val="26"/>
          <w:rtl/>
        </w:rPr>
        <w:t xml:space="preserve">שלב המאוחר בו הוגשה הבקשה, </w:t>
      </w:r>
      <w:r w:rsidRPr="008E5A3E">
        <w:rPr>
          <w:rFonts w:hint="cs" w:ascii="Arial" w:hAnsi="Arial"/>
          <w:noProof w:val="0"/>
          <w:sz w:val="26"/>
          <w:szCs w:val="26"/>
          <w:rtl/>
        </w:rPr>
        <w:t xml:space="preserve">אני מחייבת את התובעת בהפקדת ערובה בסך 20,000 ₪. בשל העובדה שדיון ההוכחות הקרוב קבוע ביום </w:t>
      </w:r>
      <w:r w:rsidRPr="008E5A3E" w:rsidR="00727338">
        <w:rPr>
          <w:rFonts w:hint="cs" w:ascii="Arial" w:hAnsi="Arial"/>
          <w:noProof w:val="0"/>
          <w:sz w:val="26"/>
          <w:szCs w:val="26"/>
          <w:rtl/>
        </w:rPr>
        <w:t xml:space="preserve">16.4.18, תפקיד התובעת מחצית מהסכום עד יום 12.4.18 ואת המחצית הנותרת עד יום 1.5.17. </w:t>
      </w:r>
    </w:p>
    <w:p w:rsidRPr="008E5A3E" w:rsidR="00694556" w:rsidRDefault="00694556">
      <w:pPr>
        <w:spacing w:line="360" w:lineRule="auto"/>
        <w:jc w:val="both"/>
        <w:rPr>
          <w:rFonts w:ascii="Arial" w:hAnsi="Arial"/>
          <w:noProof w:val="0"/>
          <w:sz w:val="26"/>
          <w:szCs w:val="26"/>
          <w:rtl/>
        </w:rPr>
      </w:pPr>
    </w:p>
    <w:p w:rsidRPr="008E5A3E" w:rsidR="00694556" w:rsidRDefault="00694556">
      <w:pPr>
        <w:spacing w:line="360" w:lineRule="auto"/>
        <w:jc w:val="both"/>
        <w:rPr>
          <w:rFonts w:ascii="Arial" w:hAnsi="Arial"/>
          <w:noProof w:val="0"/>
          <w:sz w:val="26"/>
          <w:szCs w:val="26"/>
          <w:rtl/>
        </w:rPr>
      </w:pPr>
    </w:p>
    <w:p w:rsidRPr="008E5A3E" w:rsidR="00694556" w:rsidP="00857E9E" w:rsidRDefault="0043502B">
      <w:pPr>
        <w:spacing w:line="360" w:lineRule="auto"/>
        <w:jc w:val="both"/>
        <w:rPr>
          <w:rFonts w:ascii="Arial" w:hAnsi="Arial"/>
          <w:noProof w:val="0"/>
          <w:sz w:val="26"/>
          <w:szCs w:val="26"/>
          <w:rtl/>
        </w:rPr>
      </w:pPr>
      <w:r w:rsidRPr="008E5A3E">
        <w:rPr>
          <w:rFonts w:ascii="Arial" w:hAnsi="Arial"/>
          <w:noProof w:val="0"/>
          <w:sz w:val="26"/>
          <w:szCs w:val="26"/>
          <w:rtl/>
        </w:rPr>
        <w:t>נית</w:t>
      </w:r>
      <w:r w:rsidRPr="008E5A3E">
        <w:rPr>
          <w:rFonts w:hint="cs" w:ascii="Arial" w:hAnsi="Arial"/>
          <w:noProof w:val="0"/>
          <w:sz w:val="26"/>
          <w:szCs w:val="26"/>
          <w:rtl/>
        </w:rPr>
        <w:t>נה</w:t>
      </w:r>
      <w:r w:rsidRPr="008E5A3E" w:rsidR="00005C8B">
        <w:rPr>
          <w:rFonts w:ascii="Arial" w:hAnsi="Arial"/>
          <w:noProof w:val="0"/>
          <w:sz w:val="26"/>
          <w:szCs w:val="26"/>
          <w:rtl/>
        </w:rPr>
        <w:t xml:space="preserve"> היום, </w:t>
      </w:r>
      <w:sdt>
        <w:sdtPr>
          <w:rPr>
            <w:sz w:val="26"/>
            <w:szCs w:val="26"/>
            <w:rtl/>
          </w:rPr>
          <w:alias w:val="1455"/>
          <w:tag w:val="1455"/>
          <w:id w:val="1666048407"/>
          <w:text w:multiLine="1"/>
        </w:sdtPr>
        <w:sdtEndPr/>
        <w:sdtContent>
          <w:r>
            <w:rPr>
              <w:rFonts w:hint="cs" w:ascii="Arial" w:hAnsi="Arial"/>
              <w:noProof w:val="0"/>
              <w:sz w:val="26"/>
              <w:szCs w:val="26"/>
              <w:rtl/>
            </w:rPr>
            <w:t>כ"ג ניסן תשע"ח</w:t>
          </w:r>
        </w:sdtContent>
      </w:sdt>
      <w:r w:rsidRPr="008E5A3E" w:rsidR="00005C8B">
        <w:rPr>
          <w:rFonts w:ascii="Arial" w:hAnsi="Arial"/>
          <w:noProof w:val="0"/>
          <w:sz w:val="26"/>
          <w:szCs w:val="26"/>
          <w:rtl/>
        </w:rPr>
        <w:t xml:space="preserve">, </w:t>
      </w:r>
      <w:sdt>
        <w:sdtPr>
          <w:rPr>
            <w:sz w:val="26"/>
            <w:szCs w:val="26"/>
            <w:rtl/>
          </w:rPr>
          <w:alias w:val="1456"/>
          <w:tag w:val="1456"/>
          <w:id w:val="-1186288958"/>
          <w:text w:multiLine="1"/>
        </w:sdtPr>
        <w:sdtEndPr/>
        <w:sdtContent>
          <w:r>
            <w:rPr>
              <w:rFonts w:hint="cs" w:ascii="Arial" w:hAnsi="Arial"/>
              <w:noProof w:val="0"/>
              <w:sz w:val="26"/>
              <w:szCs w:val="26"/>
              <w:rtl/>
            </w:rPr>
            <w:t>08 אפריל 2018</w:t>
          </w:r>
        </w:sdtContent>
      </w:sdt>
      <w:r w:rsidRPr="008E5A3E" w:rsidR="00005C8B">
        <w:rPr>
          <w:rFonts w:ascii="Arial" w:hAnsi="Arial"/>
          <w:noProof w:val="0"/>
          <w:sz w:val="26"/>
          <w:szCs w:val="26"/>
          <w:rtl/>
        </w:rPr>
        <w:t>, בהעדר הצדדים.</w:t>
      </w:r>
    </w:p>
    <w:p w:rsidRPr="008E5A3E" w:rsidR="00C43648" w:rsidP="00BD6531" w:rsidRDefault="00FC3AAF">
      <w:pPr>
        <w:tabs>
          <w:tab w:val="left" w:pos="2553"/>
        </w:tabs>
        <w:ind w:left="5040"/>
        <w:rPr>
          <w:sz w:val="26"/>
          <w:szCs w:val="26"/>
          <w:rtl/>
        </w:rPr>
      </w:pPr>
      <w:sdt>
        <w:sdtPr>
          <w:rPr>
            <w:rFonts w:hint="cs"/>
            <w:sz w:val="26"/>
            <w:szCs w:val="26"/>
            <w:rtl/>
          </w:rPr>
          <w:alias w:val="2045"/>
          <w:tag w:val="2045"/>
          <w:id w:val="740689340"/>
          <w:placeholder>
            <w:docPart w:val="E460D38E05664FF79D4EFF282EF8EC99"/>
          </w:placeholder>
          <w:showingPlcHdr/>
          <w:text w:multiLine="1"/>
        </w:sdtPr>
        <w:sdtEndPr/>
        <w:sdtContent>
          <w:r w:rsidRPr="008E5A3E" w:rsidR="00C43648">
            <w:rPr>
              <w:rFonts w:hint="cs"/>
              <w:sz w:val="26"/>
              <w:szCs w:val="26"/>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696212" cy="10789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6a23cc5438cf4d60" cstate="print">
                            <a:extLst>
                              <a:ext uri="{28A0092B-C50C-407E-A947-70E740481C1C}"/>
                            </a:extLst>
                          </a:blip>
                          <a:stretch>
                            <a:fillRect/>
                          </a:stretch>
                        </pic:blipFill>
                        <pic:spPr>
                          <a:xfrm>
                            <a:off x="0" y="0"/>
                            <a:ext cx="1696212" cy="1078992"/>
                          </a:xfrm>
                          <a:prstGeom prst="rect">
                            <a:avLst/>
                          </a:prstGeom>
                        </pic:spPr>
                      </pic:pic>
                    </a:graphicData>
                  </a:graphic>
                </wp:inline>
              </w:drawing>
            </w:r>
          </w:p>
        </w:sdtContent>
      </w:sdt>
    </w:p>
    <w:sectPr w:rsidR="00694556" w:rsidSect="006C30C5">
      <w:headerReference w:type="default" r:id="rId14"/>
      <w:footerReference w:type="default" r:id="rId15"/>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FC3AAF">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FC3AAF">
      <w:rPr>
        <w:rStyle w:val="ab"/>
        <w:rtl/>
      </w:rPr>
      <w:t>8</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FC3AAF">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0170D53C" wp14:editId="60B11CE9">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Fonts w:ascii="Tahoma" w:hAnsi="Tahoma" w:cs="Tahoma"/>
            <w:b/>
            <w:bCs/>
            <w:color w:val="000080"/>
            <w:rtl/>
          </w:rPr>
          <w:alias w:val="1174"/>
          <w:tag w:val="1174"/>
          <w:id w:val="-1585920285"/>
          <w:text w:multiLine="1"/>
        </w:sdtPr>
        <w:sdtEndPr/>
        <w:sdtContent>
          <w:tc>
            <w:tcPr>
              <w:tcW w:w="8721" w:type="dxa"/>
              <w:gridSpan w:val="2"/>
            </w:tcPr>
            <w:p w:rsidR="00694556" w:rsidP="003230C7" w:rsidRDefault="003D1C8C">
              <w:pPr>
                <w:pStyle w:val="a3"/>
                <w:jc w:val="center"/>
                <w:rPr>
                  <w:rFonts w:ascii="Tahoma" w:hAnsi="Tahoma" w:cs="Tahoma"/>
                  <w:noProof w:val="0"/>
                  <w:color w:val="000080"/>
                  <w:rtl/>
                </w:rPr>
              </w:pPr>
              <w:r w:rsidRPr="003D1C8C">
                <w:rPr>
                  <w:rFonts w:ascii="Tahoma" w:hAnsi="Tahoma" w:cs="Tahoma"/>
                  <w:b/>
                  <w:bCs/>
                  <w:color w:val="000080"/>
                  <w:rtl/>
                </w:rPr>
                <w:t>בית המשפט המחוזי בירושלים</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563203" w:rsidRDefault="00FC3AAF">
          <w:pPr>
            <w:rPr>
              <w:b/>
              <w:bCs/>
              <w:noProof w:val="0"/>
              <w:sz w:val="26"/>
              <w:szCs w:val="26"/>
              <w:rtl/>
            </w:rPr>
          </w:pPr>
          <w:sdt>
            <w:sdtPr>
              <w:rPr>
                <w:rtl/>
              </w:rPr>
              <w:alias w:val="1170"/>
              <w:tag w:val="1170"/>
              <w:id w:val="1066377040"/>
              <w:text w:multiLine="1"/>
            </w:sdtPr>
            <w:sdtEndPr/>
            <w:sdtContent>
              <w:r w:rsidR="00563203">
                <w:rPr>
                  <w:b/>
                  <w:bCs/>
                  <w:noProof w:val="0"/>
                  <w:sz w:val="26"/>
                  <w:szCs w:val="26"/>
                  <w:rtl/>
                </w:rPr>
                <w:t>ת"א</w:t>
              </w:r>
            </w:sdtContent>
          </w:sdt>
          <w:r w:rsidR="00005C8B">
            <w:rPr>
              <w:b/>
              <w:bCs/>
              <w:noProof w:val="0"/>
              <w:sz w:val="26"/>
              <w:szCs w:val="26"/>
              <w:rtl/>
            </w:rPr>
            <w:t xml:space="preserve"> </w:t>
          </w:r>
          <w:sdt>
            <w:sdtPr>
              <w:rPr>
                <w:rtl/>
              </w:rPr>
              <w:alias w:val="1171"/>
              <w:tag w:val="1171"/>
              <w:id w:val="257034231"/>
              <w:text w:multiLine="1"/>
            </w:sdtPr>
            <w:sdtEndPr/>
            <w:sdtContent>
              <w:r w:rsidR="00563203">
                <w:rPr>
                  <w:b/>
                  <w:bCs/>
                  <w:noProof w:val="0"/>
                  <w:sz w:val="26"/>
                  <w:szCs w:val="26"/>
                  <w:rtl/>
                </w:rPr>
                <w:t>43961-08-15</w:t>
              </w:r>
            </w:sdtContent>
          </w:sdt>
        </w:p>
        <w:p w:rsidRPr="007B7765" w:rsidR="007D45E3" w:rsidP="007D45E3" w:rsidRDefault="007D45E3">
          <w:pPr>
            <w:rPr>
              <w:b/>
              <w:bCs/>
              <w:noProof w:val="0"/>
              <w:sz w:val="2"/>
              <w:szCs w:val="2"/>
              <w:rtl/>
            </w:rPr>
          </w:pPr>
        </w:p>
        <w:p w:rsidRPr="00E1068A" w:rsidR="008D10B2" w:rsidP="0069628D" w:rsidRDefault="007D45E3">
          <w:pPr>
            <w:rPr>
              <w:sz w:val="20"/>
              <w:szCs w:val="20"/>
              <w:rtl/>
            </w:rPr>
          </w:pPr>
          <w:r>
            <w:rPr>
              <w:rFonts w:hint="cs"/>
              <w:rtl/>
            </w:rPr>
            <w:t xml:space="preserve">                           </w:t>
          </w:r>
          <w:r>
            <w:rPr>
              <w:rFonts w:hint="cs"/>
              <w:sz w:val="20"/>
              <w:szCs w:val="20"/>
              <w:rtl/>
            </w:rPr>
            <w:t xml:space="preserve">       </w:t>
          </w:r>
          <w:r w:rsidR="0069628D">
            <w:rPr>
              <w:rFonts w:hint="cs"/>
              <w:sz w:val="20"/>
              <w:szCs w:val="20"/>
              <w:rtl/>
            </w:rPr>
            <w:t xml:space="preserve">                               </w:t>
          </w:r>
          <w:r w:rsidRPr="00E1068A">
            <w:rPr>
              <w:rFonts w:hint="cs"/>
              <w:sz w:val="20"/>
              <w:szCs w:val="20"/>
              <w:rtl/>
            </w:rPr>
            <w:t xml:space="preserve"> </w:t>
          </w:r>
          <w:r w:rsidRPr="00E1068A">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75106"/>
    <o:shapelayout v:ext="edit">
      <o:idmap v:ext="edit" data="17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7165C"/>
    <w:rsid w:val="00082AB2"/>
    <w:rsid w:val="000906FE"/>
    <w:rsid w:val="000927A3"/>
    <w:rsid w:val="00096AF7"/>
    <w:rsid w:val="000B344B"/>
    <w:rsid w:val="000C3B0F"/>
    <w:rsid w:val="000C3B60"/>
    <w:rsid w:val="000C45D3"/>
    <w:rsid w:val="000E0DD2"/>
    <w:rsid w:val="000E3AF1"/>
    <w:rsid w:val="000F0BC8"/>
    <w:rsid w:val="000F0DD6"/>
    <w:rsid w:val="00107E6D"/>
    <w:rsid w:val="0011194C"/>
    <w:rsid w:val="0011424C"/>
    <w:rsid w:val="001173C6"/>
    <w:rsid w:val="001215BA"/>
    <w:rsid w:val="00121E89"/>
    <w:rsid w:val="001367BC"/>
    <w:rsid w:val="00144D2A"/>
    <w:rsid w:val="0014653E"/>
    <w:rsid w:val="0016154F"/>
    <w:rsid w:val="00180519"/>
    <w:rsid w:val="00191C82"/>
    <w:rsid w:val="001C05C1"/>
    <w:rsid w:val="001C1716"/>
    <w:rsid w:val="001C4003"/>
    <w:rsid w:val="001D4DBF"/>
    <w:rsid w:val="001E75CA"/>
    <w:rsid w:val="002265FF"/>
    <w:rsid w:val="00231EB6"/>
    <w:rsid w:val="002379A1"/>
    <w:rsid w:val="00264CCE"/>
    <w:rsid w:val="00267402"/>
    <w:rsid w:val="00271B56"/>
    <w:rsid w:val="002B28DF"/>
    <w:rsid w:val="002B77B7"/>
    <w:rsid w:val="002C344E"/>
    <w:rsid w:val="002E75E9"/>
    <w:rsid w:val="00307A6A"/>
    <w:rsid w:val="00307C40"/>
    <w:rsid w:val="00313B31"/>
    <w:rsid w:val="00320433"/>
    <w:rsid w:val="003230C7"/>
    <w:rsid w:val="00327E50"/>
    <w:rsid w:val="0033597A"/>
    <w:rsid w:val="00353C94"/>
    <w:rsid w:val="00362612"/>
    <w:rsid w:val="0036743F"/>
    <w:rsid w:val="003715DD"/>
    <w:rsid w:val="003823E0"/>
    <w:rsid w:val="003A4521"/>
    <w:rsid w:val="003D1C8C"/>
    <w:rsid w:val="0040096C"/>
    <w:rsid w:val="00414F1F"/>
    <w:rsid w:val="0041526E"/>
    <w:rsid w:val="0043125D"/>
    <w:rsid w:val="0043502B"/>
    <w:rsid w:val="004443AC"/>
    <w:rsid w:val="00451E28"/>
    <w:rsid w:val="00462C62"/>
    <w:rsid w:val="00465D36"/>
    <w:rsid w:val="00496B74"/>
    <w:rsid w:val="004A51A8"/>
    <w:rsid w:val="004B274D"/>
    <w:rsid w:val="004C4BDF"/>
    <w:rsid w:val="004D1187"/>
    <w:rsid w:val="004D3AA0"/>
    <w:rsid w:val="004D4EF5"/>
    <w:rsid w:val="004E1987"/>
    <w:rsid w:val="004E2E15"/>
    <w:rsid w:val="004E6E3C"/>
    <w:rsid w:val="00520898"/>
    <w:rsid w:val="00523621"/>
    <w:rsid w:val="00524986"/>
    <w:rsid w:val="005255BE"/>
    <w:rsid w:val="005268F6"/>
    <w:rsid w:val="00534284"/>
    <w:rsid w:val="005471B9"/>
    <w:rsid w:val="00547DB7"/>
    <w:rsid w:val="00563203"/>
    <w:rsid w:val="0057068D"/>
    <w:rsid w:val="00591716"/>
    <w:rsid w:val="005B5AD7"/>
    <w:rsid w:val="005C774E"/>
    <w:rsid w:val="005F4F09"/>
    <w:rsid w:val="005F5E5D"/>
    <w:rsid w:val="00607E57"/>
    <w:rsid w:val="0061431B"/>
    <w:rsid w:val="00615B73"/>
    <w:rsid w:val="00622BAA"/>
    <w:rsid w:val="00624745"/>
    <w:rsid w:val="006306CF"/>
    <w:rsid w:val="00644E9A"/>
    <w:rsid w:val="00671BD5"/>
    <w:rsid w:val="006805C1"/>
    <w:rsid w:val="00686C21"/>
    <w:rsid w:val="006931C1"/>
    <w:rsid w:val="00694556"/>
    <w:rsid w:val="0069628D"/>
    <w:rsid w:val="006C30C5"/>
    <w:rsid w:val="006D3B31"/>
    <w:rsid w:val="006E0D96"/>
    <w:rsid w:val="006E1A53"/>
    <w:rsid w:val="006E234C"/>
    <w:rsid w:val="006E6EE4"/>
    <w:rsid w:val="00704EDA"/>
    <w:rsid w:val="007137A0"/>
    <w:rsid w:val="00721122"/>
    <w:rsid w:val="00727338"/>
    <w:rsid w:val="0074119A"/>
    <w:rsid w:val="00753019"/>
    <w:rsid w:val="00754801"/>
    <w:rsid w:val="00756000"/>
    <w:rsid w:val="00785242"/>
    <w:rsid w:val="00795365"/>
    <w:rsid w:val="007A351D"/>
    <w:rsid w:val="007B0E4E"/>
    <w:rsid w:val="007B70EA"/>
    <w:rsid w:val="007B7765"/>
    <w:rsid w:val="007D45E3"/>
    <w:rsid w:val="007E14E4"/>
    <w:rsid w:val="007E6115"/>
    <w:rsid w:val="007F4609"/>
    <w:rsid w:val="008176A1"/>
    <w:rsid w:val="00820005"/>
    <w:rsid w:val="00834625"/>
    <w:rsid w:val="00844318"/>
    <w:rsid w:val="00857E9E"/>
    <w:rsid w:val="00870890"/>
    <w:rsid w:val="00873602"/>
    <w:rsid w:val="00875D12"/>
    <w:rsid w:val="0088479D"/>
    <w:rsid w:val="00896889"/>
    <w:rsid w:val="008C5714"/>
    <w:rsid w:val="008D10B2"/>
    <w:rsid w:val="008D5875"/>
    <w:rsid w:val="008E4425"/>
    <w:rsid w:val="008E5A3E"/>
    <w:rsid w:val="00903896"/>
    <w:rsid w:val="00906F3D"/>
    <w:rsid w:val="009127A0"/>
    <w:rsid w:val="00931E8B"/>
    <w:rsid w:val="0094424E"/>
    <w:rsid w:val="0095561E"/>
    <w:rsid w:val="009622DF"/>
    <w:rsid w:val="00967DFF"/>
    <w:rsid w:val="00994341"/>
    <w:rsid w:val="009A198D"/>
    <w:rsid w:val="009B1D64"/>
    <w:rsid w:val="009D1A48"/>
    <w:rsid w:val="009E1CE7"/>
    <w:rsid w:val="009E1EFF"/>
    <w:rsid w:val="009E4EA5"/>
    <w:rsid w:val="009F1644"/>
    <w:rsid w:val="009F164B"/>
    <w:rsid w:val="009F323C"/>
    <w:rsid w:val="009F4592"/>
    <w:rsid w:val="00A16666"/>
    <w:rsid w:val="00A3392B"/>
    <w:rsid w:val="00A36A8A"/>
    <w:rsid w:val="00A561F5"/>
    <w:rsid w:val="00A67ED9"/>
    <w:rsid w:val="00A82662"/>
    <w:rsid w:val="00A94B64"/>
    <w:rsid w:val="00AA3229"/>
    <w:rsid w:val="00AA7596"/>
    <w:rsid w:val="00AB5E52"/>
    <w:rsid w:val="00AC3B02"/>
    <w:rsid w:val="00AC3B7B"/>
    <w:rsid w:val="00AC5209"/>
    <w:rsid w:val="00AE729E"/>
    <w:rsid w:val="00AE7752"/>
    <w:rsid w:val="00AF7FDA"/>
    <w:rsid w:val="00B332D4"/>
    <w:rsid w:val="00B52449"/>
    <w:rsid w:val="00B5356E"/>
    <w:rsid w:val="00B606B0"/>
    <w:rsid w:val="00B74F28"/>
    <w:rsid w:val="00B809AD"/>
    <w:rsid w:val="00B80CBD"/>
    <w:rsid w:val="00B84007"/>
    <w:rsid w:val="00B86096"/>
    <w:rsid w:val="00B92889"/>
    <w:rsid w:val="00B97F07"/>
    <w:rsid w:val="00BA0A7C"/>
    <w:rsid w:val="00BA1CB3"/>
    <w:rsid w:val="00BA517C"/>
    <w:rsid w:val="00BB3D05"/>
    <w:rsid w:val="00BB73BE"/>
    <w:rsid w:val="00BC2D89"/>
    <w:rsid w:val="00BD6531"/>
    <w:rsid w:val="00BD7171"/>
    <w:rsid w:val="00BE05B2"/>
    <w:rsid w:val="00BF0641"/>
    <w:rsid w:val="00BF1908"/>
    <w:rsid w:val="00BF6E99"/>
    <w:rsid w:val="00C15937"/>
    <w:rsid w:val="00C22D93"/>
    <w:rsid w:val="00C31120"/>
    <w:rsid w:val="00C34482"/>
    <w:rsid w:val="00C43648"/>
    <w:rsid w:val="00C50A9F"/>
    <w:rsid w:val="00C606B2"/>
    <w:rsid w:val="00C642FA"/>
    <w:rsid w:val="00CA0352"/>
    <w:rsid w:val="00CB781D"/>
    <w:rsid w:val="00CC7622"/>
    <w:rsid w:val="00CE77B0"/>
    <w:rsid w:val="00CF4AD5"/>
    <w:rsid w:val="00D27982"/>
    <w:rsid w:val="00D33B86"/>
    <w:rsid w:val="00D53924"/>
    <w:rsid w:val="00D55D0C"/>
    <w:rsid w:val="00D96D8C"/>
    <w:rsid w:val="00DA64E2"/>
    <w:rsid w:val="00DA6649"/>
    <w:rsid w:val="00DC1259"/>
    <w:rsid w:val="00DC1BD2"/>
    <w:rsid w:val="00DC2571"/>
    <w:rsid w:val="00DC487C"/>
    <w:rsid w:val="00DD3E5D"/>
    <w:rsid w:val="00DE6BF6"/>
    <w:rsid w:val="00E1068A"/>
    <w:rsid w:val="00E25884"/>
    <w:rsid w:val="00E31C2B"/>
    <w:rsid w:val="00E3772E"/>
    <w:rsid w:val="00E43F5B"/>
    <w:rsid w:val="00E5426A"/>
    <w:rsid w:val="00E54642"/>
    <w:rsid w:val="00E71254"/>
    <w:rsid w:val="00E80CBE"/>
    <w:rsid w:val="00E93DE8"/>
    <w:rsid w:val="00E962E3"/>
    <w:rsid w:val="00EB6C79"/>
    <w:rsid w:val="00EC37E9"/>
    <w:rsid w:val="00EC52B0"/>
    <w:rsid w:val="00F00568"/>
    <w:rsid w:val="00F06995"/>
    <w:rsid w:val="00F13623"/>
    <w:rsid w:val="00F210C7"/>
    <w:rsid w:val="00F25323"/>
    <w:rsid w:val="00F37692"/>
    <w:rsid w:val="00F44D1D"/>
    <w:rsid w:val="00F61F9C"/>
    <w:rsid w:val="00F822FF"/>
    <w:rsid w:val="00F84B6D"/>
    <w:rsid w:val="00F852D0"/>
    <w:rsid w:val="00FA5FDA"/>
    <w:rsid w:val="00FB778F"/>
    <w:rsid w:val="00FC3AAF"/>
    <w:rsid w:val="00FD1419"/>
    <w:rsid w:val="00FD79E4"/>
    <w:rsid w:val="00FE1C49"/>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75106"/>
    <o:shapelayout v:ext="edit">
      <o:idmap v:ext="edit" data="1"/>
    </o:shapelayout>
  </w:shapeDefaults>
  <w:decimalSymbol w:val="."/>
  <w:listSeparator w:val=","/>
  <w14:docId w14:val="12B033AD"/>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character" w:styleId="Hyperlink">
    <w:name w:val="Hyperlink"/>
    <w:basedOn w:val="a0"/>
    <w:uiPriority w:val="99"/>
    <w:semiHidden/>
    <w:rsid w:val="00496B74"/>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044448">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 w:id="205137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yperlink" Target="http://www.nevo.co.il/case/5823686" TargetMode="External" Id="rId13" /><Relationship Type="http://schemas.openxmlformats.org/officeDocument/2006/relationships/theme" Target="theme/theme1.xml" Id="rId18" /><Relationship Type="http://schemas.openxmlformats.org/officeDocument/2006/relationships/footnotes" Target="footnotes.xml" Id="rId7" /><Relationship Type="http://schemas.openxmlformats.org/officeDocument/2006/relationships/hyperlink" Target="http://www.nevo.co.il/case/5905553" TargetMode="External" Id="rId12" /><Relationship Type="http://schemas.openxmlformats.org/officeDocument/2006/relationships/glossaryDocument" Target="glossary/document.xml" Id="rId17" /><Relationship Type="http://schemas.openxmlformats.org/officeDocument/2006/relationships/fontTable" Target="fontTable.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hyperlink" Target="http://www.nevo.co.il/law/74880/519" TargetMode="External" Id="rId11" /><Relationship Type="http://schemas.openxmlformats.org/officeDocument/2006/relationships/settings" Target="settings.xml" Id="rId5" /><Relationship Type="http://schemas.openxmlformats.org/officeDocument/2006/relationships/footer" Target="footer1.xml" Id="rId15" /><Relationship Type="http://schemas.openxmlformats.org/officeDocument/2006/relationships/hyperlink" Target="http://www.nevo.co.il/law/74880/519" TargetMode="External" Id="rId10" /><Relationship Type="http://schemas.openxmlformats.org/officeDocument/2006/relationships/styles" Target="styles.xml" Id="rId4" /><Relationship Type="http://schemas.openxmlformats.org/officeDocument/2006/relationships/hyperlink" Target="http://www.nevo.co.il/case/17937879" TargetMode="External" Id="rId9" /><Relationship Type="http://schemas.openxmlformats.org/officeDocument/2006/relationships/header" Target="header1.xml" Id="rId14" /><Relationship Type="http://schemas.openxmlformats.org/officeDocument/2006/relationships/image" Target="/media/image2.jpg" Id="R6a23cc5438cf4d60"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FF749F" w:rsidP="00FF749F">
          <w:pPr>
            <w:pStyle w:val="E460D38E05664FF79D4EFF282EF8EC9915"/>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1011BF"/>
    <w:rsid w:val="002041E8"/>
    <w:rsid w:val="002D02C4"/>
    <w:rsid w:val="00345C9D"/>
    <w:rsid w:val="0036134B"/>
    <w:rsid w:val="0048651F"/>
    <w:rsid w:val="00556D67"/>
    <w:rsid w:val="00793995"/>
    <w:rsid w:val="007C6F98"/>
    <w:rsid w:val="007D6678"/>
    <w:rsid w:val="008B4366"/>
    <w:rsid w:val="009133C7"/>
    <w:rsid w:val="00961B27"/>
    <w:rsid w:val="00AA7CE3"/>
    <w:rsid w:val="00B91FA3"/>
    <w:rsid w:val="00C96C06"/>
    <w:rsid w:val="00E81DB1"/>
    <w:rsid w:val="00F678CA"/>
    <w:rsid w:val="00FF749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F749F"/>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36134B"/>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36134B"/>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1011BF"/>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1011BF"/>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F749F"/>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F749F"/>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579</TotalTime>
  <Pages>8</Pages>
  <Words>2172</Words>
  <Characters>10863</Characters>
  <Application>Microsoft Office Word</Application>
  <DocSecurity>0</DocSecurity>
  <Lines>90</Lines>
  <Paragraphs>26</Paragraphs>
  <ScaleCrop>false</ScaleCrop>
  <Company>Microsoft Corporation</Company>
  <LinksUpToDate>false</LinksUpToDate>
  <CharactersWithSpaces>13009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חגית מאק-קלמנוביץ</cp:lastModifiedBy>
  <cp:revision>189</cp:revision>
  <dcterms:created xsi:type="dcterms:W3CDTF">2012-08-06T05:16:00Z</dcterms:created>
  <dcterms:modified xsi:type="dcterms:W3CDTF">2018-04-08T20:26:00Z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