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C5108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2041234718"/>
              <w:text w:multiLine="1"/>
            </w:sdtPr>
            <w:sdtEndPr/>
            <w:sdtContent>
              <w:p w:rsidR="00BE42F8" w:rsidRDefault="00A77DF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694556" w:rsidRDefault="0021346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341248339"/>
                <w:text w:multiLine="1"/>
              </w:sdtPr>
              <w:sdtEndPr/>
              <w:sdtContent>
                <w:r w:rsidR="008051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איציק ראובן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A77DF5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1346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016224267"/>
                <w:text w:multiLine="1"/>
              </w:sdtPr>
              <w:sdtEndPr/>
              <w:sdtContent>
                <w:r w:rsidR="00A77DF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77DF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21346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25979621"/>
                <w:text w:multiLine="1"/>
              </w:sdtPr>
              <w:sdtEndPr/>
              <w:sdtContent>
                <w:r w:rsidR="008051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רמי לוי סניף עפולה, שיווק השקמה 2006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77DF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 w:rsidR="009B38ED">
        <w:rPr>
          <w:rFonts w:hint="cs" w:ascii="Arial" w:hAnsi="Arial"/>
          <w:noProof w:val="0"/>
          <w:rtl/>
        </w:rPr>
        <w:t xml:space="preserve">לפני תביעה לפיצויים ע"ס 10,000 ₪. </w:t>
      </w:r>
    </w:p>
    <w:p w:rsidR="009B38ED" w:rsidP="009B38ED" w:rsidRDefault="009B38ED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 הינו צרכן אשר ניגש לסניף של הנתבעת חנות מזון בעפולה. התובע נטל נוזל לכלים ושלישיה של קינדר. </w:t>
      </w:r>
    </w:p>
    <w:p w:rsidR="009B38ED" w:rsidP="009B38ED" w:rsidRDefault="002D0045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בשלטים שהונחו בחנות נרשמו מחירים של המוצרים הנ"ל. </w:t>
      </w:r>
    </w:p>
    <w:p w:rsidR="002D0045" w:rsidP="009B38ED" w:rsidRDefault="002D0045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 הסתמך על המחירים שהוצגו בשלטים וכאשר ניגש לקופה לשלם הוא חויב במחיר יותר גבוה מזה שהוצג בשלטים. </w:t>
      </w:r>
    </w:p>
    <w:p w:rsidR="002D0045" w:rsidP="009B38ED" w:rsidRDefault="002D0045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="002D0045" w:rsidP="002D0045" w:rsidRDefault="002D004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כאשר התובע בירר את פשר ההפרש נאמר לו כי המחיר המוצג הינו של שלישיות ולא של יחידות בודדות וכי השלישיות אזלו ולכן חויב לפי יחידות.</w:t>
      </w:r>
    </w:p>
    <w:p w:rsidR="002D0045" w:rsidP="002D0045" w:rsidRDefault="002D004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התובע עמד על החזרת כספו ואכן הוחזר לו הסכום ששולם בגין המוצרים הנ"ל. </w:t>
      </w:r>
    </w:p>
    <w:p w:rsidR="002D0045" w:rsidP="002D0045" w:rsidRDefault="002D004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התובע פנה למועצה לצרכנות ולאחר שבדקה את הנושא ומשנוכחה כי מדובר בשגיאה הובטח ע"י הנתבעת לפצות את הלקוח.</w:t>
      </w:r>
    </w:p>
    <w:p w:rsidR="002D0045" w:rsidP="00715477" w:rsidRDefault="002D004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התובע לא אמר </w:t>
      </w:r>
      <w:r w:rsidR="00715477">
        <w:rPr>
          <w:rFonts w:hint="cs" w:ascii="Arial" w:hAnsi="Arial"/>
          <w:noProof w:val="0"/>
          <w:rtl/>
        </w:rPr>
        <w:t xml:space="preserve">נואש </w:t>
      </w:r>
      <w:r>
        <w:rPr>
          <w:rFonts w:hint="cs" w:ascii="Arial" w:hAnsi="Arial"/>
          <w:noProof w:val="0"/>
          <w:rtl/>
        </w:rPr>
        <w:t xml:space="preserve"> והגיש תביעה לו כדי ששגיאות אלו לא תחזורנה על עצמן, כפי שטען. </w:t>
      </w:r>
    </w:p>
    <w:p w:rsidR="002D0045" w:rsidP="002D0045" w:rsidRDefault="002D004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2749B" w:rsidP="002D0045" w:rsidRDefault="002D004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הנתבעת טענה בכתב הגנתה</w:t>
      </w:r>
      <w:r w:rsidR="00715477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כי התובע זוכה בסכום ההפרש במוצר נוזל הכלים. אשר למוצר קינדר הרי התובע ביקש לרכוש יחידות בודדות עם מס' קוד אחר מאשר שלוש יחידות באריזה אחת. </w:t>
      </w:r>
      <w:r w:rsidR="0002749B">
        <w:rPr>
          <w:rFonts w:hint="cs" w:ascii="Arial" w:hAnsi="Arial"/>
          <w:noProof w:val="0"/>
          <w:rtl/>
        </w:rPr>
        <w:t xml:space="preserve">לטענת הנתבעת </w:t>
      </w:r>
      <w:r w:rsidR="00715477">
        <w:rPr>
          <w:rFonts w:hint="cs" w:ascii="Arial" w:hAnsi="Arial"/>
          <w:noProof w:val="0"/>
          <w:rtl/>
        </w:rPr>
        <w:t>,</w:t>
      </w:r>
      <w:r w:rsidR="0002749B">
        <w:rPr>
          <w:rFonts w:hint="cs" w:ascii="Arial" w:hAnsi="Arial"/>
          <w:noProof w:val="0"/>
          <w:rtl/>
        </w:rPr>
        <w:t xml:space="preserve">אריזה אחת של שלוש יחידות מחירה זול מאשר שלוש יחידות נפרדות. </w:t>
      </w:r>
    </w:p>
    <w:p w:rsidR="0002749B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02749B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התקיים דיון בפני ביום 25.03.18 שבמהלכו העידו התובע ונציג הנתבעת והתרשמתי מעדויותיהם, באופן בלתי אמצעי. כל צד חזר בעדותו על גרסתו בכתב הטענות שלו. </w:t>
      </w:r>
    </w:p>
    <w:p w:rsidR="0002749B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694556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  <w:t xml:space="preserve">כידוע, כלל בהליך אזרחי כי " המוציא מחברו עליו הראיה", היינו, התובע נושא בנטל השכנוע לגבי כל יסודותיה העובדתיים של עילת תביעתו. </w:t>
      </w:r>
      <w:r w:rsidR="002D0045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חובת ההוכחה המוטלת על בעל דין הנושא בנטל השכנוע היא עמידה ברמה של מאזן ההסתברויות, על בעל דין להוכיח כי גרסתו סבירה יותר ומתקבלת על הדעת יותר מהגרסה שכנגד. </w:t>
      </w:r>
    </w:p>
    <w:p w:rsidR="0002749B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 xml:space="preserve">לאחר שעיינתי בכתבי הטענות ובעדויות העדים לא שוכנעתי כי הנתבעת הטעתה את ציבור הקונים בהצגת מחיר שונה. </w:t>
      </w:r>
    </w:p>
    <w:p w:rsidR="0002749B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הסבר הנתבעת כי מארז שלוש יחידות עולה פחות מאשר שלוש יחידות נפרדות הניח את דעתי שכן נהוג בבתי עסק לשווק שלישיות, שישיות ועוד מוצרים שונים. </w:t>
      </w:r>
    </w:p>
    <w:p w:rsidR="0002749B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 w:rsidR="00715477">
        <w:rPr>
          <w:rFonts w:hint="cs" w:ascii="Arial" w:hAnsi="Arial"/>
          <w:noProof w:val="0"/>
          <w:rtl/>
        </w:rPr>
        <w:t>ככל שהכמות עולה יורד מחיר היח</w:t>
      </w:r>
      <w:r>
        <w:rPr>
          <w:rFonts w:hint="cs" w:ascii="Arial" w:hAnsi="Arial"/>
          <w:noProof w:val="0"/>
          <w:rtl/>
        </w:rPr>
        <w:t xml:space="preserve">ידה וזה דבר מקובל בצרכנות. </w:t>
      </w:r>
      <w:bookmarkStart w:name="_GoBack" w:id="0"/>
      <w:bookmarkEnd w:id="0"/>
    </w:p>
    <w:p w:rsidR="0002749B" w:rsidP="002D0045" w:rsidRDefault="0002749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נכון הוא שעל הנתבעת לשים שלט היכן שמונחות יחידות ולהסב תשומת לב הצרכן לכך שישנן אריזות של מוצר זה במח</w:t>
      </w:r>
      <w:r w:rsidR="007F29CC">
        <w:rPr>
          <w:rFonts w:hint="cs" w:ascii="Arial" w:hAnsi="Arial"/>
          <w:noProof w:val="0"/>
          <w:rtl/>
        </w:rPr>
        <w:t xml:space="preserve">יר זה וזה. </w:t>
      </w:r>
    </w:p>
    <w:p w:rsidR="007F29CC" w:rsidP="002D0045" w:rsidRDefault="007F29CC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אך בין התנהלות הנתבעת להטעיית הציבור קיים מרחק רב. </w:t>
      </w:r>
    </w:p>
    <w:p w:rsidR="007F29CC" w:rsidP="007F29CC" w:rsidRDefault="007F29CC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על כן התובע לא הוכיח את תביעתו ובשל כך אני דוחה אותה, אין צו להוצאות. </w:t>
      </w:r>
    </w:p>
    <w:p w:rsidR="007F29CC" w:rsidP="007F29CC" w:rsidRDefault="007F29CC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7F29CC" w:rsidR="007F29CC" w:rsidP="007F29CC" w:rsidRDefault="007F29CC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ascii="Arial" w:hAnsi="Arial"/>
          <w:noProof w:val="0"/>
          <w:rtl/>
        </w:rPr>
        <w:tab/>
      </w:r>
      <w:r w:rsidRPr="007F29CC">
        <w:rPr>
          <w:rFonts w:hint="cs" w:ascii="Arial" w:hAnsi="Arial"/>
          <w:b/>
          <w:bCs/>
          <w:noProof w:val="0"/>
          <w:u w:val="single"/>
          <w:rtl/>
        </w:rPr>
        <w:t>המזכירות תמציא העתק פסק דין זה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F29CC" w:rsidRDefault="00005C8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1849172641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50289305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823DA" w:rsidRDefault="0021346C">
      <w:pPr>
        <w:spacing w:line="360" w:lineRule="auto"/>
        <w:ind w:left="3600" w:firstLine="720"/>
        <w:jc w:val="right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febb24549b644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631878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346C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346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346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80516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255180887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1346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88734701"/>
              <w:text w:multiLine="1"/>
            </w:sdtPr>
            <w:sdtEndPr/>
            <w:sdtContent>
              <w:r w:rsidR="0080516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146958401"/>
              <w:text w:multiLine="1"/>
            </w:sdtPr>
            <w:sdtEndPr/>
            <w:sdtContent>
              <w:r w:rsidR="00805167">
                <w:rPr>
                  <w:b/>
                  <w:bCs/>
                  <w:noProof w:val="0"/>
                  <w:sz w:val="26"/>
                  <w:szCs w:val="26"/>
                  <w:rtl/>
                </w:rPr>
                <w:t>25397-01-18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275069182"/>
              <w:text w:multiLine="1"/>
            </w:sdtPr>
            <w:sdtEndPr/>
            <w:sdtContent>
              <w:r w:rsidR="00805167">
                <w:rPr>
                  <w:b/>
                  <w:bCs/>
                  <w:noProof w:val="0"/>
                  <w:sz w:val="26"/>
                  <w:szCs w:val="26"/>
                  <w:rtl/>
                </w:rPr>
                <w:t>ראובן נ' רמי לוי סניף עפולה, שיווק השקמה 2006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4210"/>
    <o:shapelayout v:ext="edit">
      <o:idmap v:ext="edit" data="9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19D5"/>
    <w:rsid w:val="0002749B"/>
    <w:rsid w:val="000564AB"/>
    <w:rsid w:val="001072A9"/>
    <w:rsid w:val="00132017"/>
    <w:rsid w:val="0014234E"/>
    <w:rsid w:val="001C4003"/>
    <w:rsid w:val="0021346C"/>
    <w:rsid w:val="00294025"/>
    <w:rsid w:val="002D0045"/>
    <w:rsid w:val="00381D3A"/>
    <w:rsid w:val="003823DA"/>
    <w:rsid w:val="004D49A3"/>
    <w:rsid w:val="004E6E3C"/>
    <w:rsid w:val="00547DB7"/>
    <w:rsid w:val="005D4BDB"/>
    <w:rsid w:val="00622BAA"/>
    <w:rsid w:val="00625C89"/>
    <w:rsid w:val="00631878"/>
    <w:rsid w:val="00671BD5"/>
    <w:rsid w:val="006805C1"/>
    <w:rsid w:val="00694556"/>
    <w:rsid w:val="006E1A53"/>
    <w:rsid w:val="007056AA"/>
    <w:rsid w:val="00715477"/>
    <w:rsid w:val="007A24FE"/>
    <w:rsid w:val="007F1048"/>
    <w:rsid w:val="007F29CC"/>
    <w:rsid w:val="00805167"/>
    <w:rsid w:val="00820005"/>
    <w:rsid w:val="00846D27"/>
    <w:rsid w:val="00903896"/>
    <w:rsid w:val="00927813"/>
    <w:rsid w:val="00944D13"/>
    <w:rsid w:val="009B38ED"/>
    <w:rsid w:val="009E0263"/>
    <w:rsid w:val="00A43458"/>
    <w:rsid w:val="00A77DF5"/>
    <w:rsid w:val="00AF1ED6"/>
    <w:rsid w:val="00B80CBD"/>
    <w:rsid w:val="00BC3369"/>
    <w:rsid w:val="00BE42F8"/>
    <w:rsid w:val="00BF77EE"/>
    <w:rsid w:val="00C51081"/>
    <w:rsid w:val="00D53924"/>
    <w:rsid w:val="00D96D8C"/>
    <w:rsid w:val="00E00B6F"/>
    <w:rsid w:val="00E54642"/>
    <w:rsid w:val="00E943C3"/>
    <w:rsid w:val="00E97908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  <w14:docId w14:val="18E6156A"/>
  <w15:docId w15:val="{CF936D67-2E9B-4BC3-A600-0DB36332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febb24549b644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358</Words>
  <Characters>1794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9</cp:revision>
  <dcterms:created xsi:type="dcterms:W3CDTF">2012-08-05T17:13:00Z</dcterms:created>
  <dcterms:modified xsi:type="dcterms:W3CDTF">2018-04-11T07:53:00Z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