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דב גוטליב</w:t>
                </w:r>
              </w:sdtContent>
            </w:sdt>
          </w:p>
          <w:p w:rsidR="0094424E" w:rsidRDefault="0094424E">
            <w:pPr>
              <w:rPr>
                <w:rFonts w:ascii="Arial" w:hAnsi="Arial" w:cs="FrankRuehl"/>
                <w:sz w:val="28"/>
                <w:szCs w:val="28"/>
                <w:highlight w:val="yellow"/>
                <w:rtl/>
              </w:rPr>
            </w:pPr>
          </w:p>
          <w:p w:rsidR="00FE6828" w:rsidRDefault="00FE6828">
            <w:pPr>
              <w:rPr>
                <w:rFonts w:ascii="Arial" w:hAnsi="Arial" w:cs="FrankRuehl"/>
                <w:sz w:val="28"/>
                <w:szCs w:val="28"/>
                <w:highlight w:val="yellow"/>
                <w:rtl/>
              </w:rPr>
            </w:pPr>
          </w:p>
          <w:p w:rsidR="00FE6828" w:rsidRDefault="00FE6828">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9C7030" w:rsidRDefault="00FE6828">
                <w:pPr>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6F4CC1">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נתבעים</w:t>
                </w:r>
              </w:sdtContent>
            </w:sdt>
          </w:p>
        </w:tc>
        <w:tc>
          <w:tcPr>
            <w:tcW w:w="5571" w:type="dxa"/>
          </w:tcPr>
          <w:p w:rsidRPr="00785242" w:rsidR="0094424E" w:rsidP="00785242" w:rsidRDefault="006F4CC1">
            <w:pPr>
              <w:rPr>
                <w:rtl/>
              </w:rPr>
            </w:pPr>
            <w:sdt>
              <w:sdtPr>
                <w:rPr>
                  <w:rFonts w:hint="cs"/>
                  <w:rtl/>
                </w:rPr>
                <w:alias w:val="1571"/>
                <w:tag w:val="1571"/>
                <w:id w:val="1028836282"/>
                <w:text w:multiLine="1"/>
              </w:sdtPr>
              <w:sdtEndPr/>
              <w:sdtContent>
                <w:r w:rsidR="00563203">
                  <w:rPr>
                    <w:rFonts w:hint="cs" w:ascii="Arial" w:hAnsi="Arial"/>
                    <w:b/>
                    <w:bCs/>
                    <w:noProof w:val="0"/>
                    <w:sz w:val="26"/>
                    <w:szCs w:val="26"/>
                    <w:rtl/>
                  </w:rPr>
                  <w:t>1</w:t>
                </w:r>
              </w:sdtContent>
            </w:sdt>
            <w:r w:rsidR="00785242">
              <w:rPr>
                <w:rFonts w:hint="cs" w:ascii="Arial" w:hAnsi="Arial"/>
                <w:b/>
                <w:bCs/>
                <w:noProof w:val="0"/>
                <w:sz w:val="26"/>
                <w:szCs w:val="26"/>
                <w:rtl/>
              </w:rPr>
              <w:t xml:space="preserve">. </w:t>
            </w:r>
            <w:r w:rsidR="00FE6828">
              <w:rPr>
                <w:rFonts w:hint="cs" w:ascii="Arial" w:hAnsi="Arial"/>
                <w:b/>
                <w:bCs/>
                <w:noProof w:val="0"/>
                <w:sz w:val="26"/>
                <w:szCs w:val="26"/>
                <w:rtl/>
              </w:rPr>
              <w:t>פלוני</w:t>
            </w:r>
          </w:p>
          <w:p w:rsidRPr="00785242" w:rsidR="0094424E" w:rsidP="00785242" w:rsidRDefault="006F4CC1">
            <w:pPr>
              <w:rPr>
                <w:rtl/>
              </w:rPr>
            </w:pPr>
            <w:sdt>
              <w:sdtPr>
                <w:rPr>
                  <w:rFonts w:hint="cs"/>
                  <w:rtl/>
                </w:rPr>
                <w:alias w:val="1571"/>
                <w:tag w:val="1571"/>
                <w:id w:val="-1946989354"/>
                <w:text w:multiLine="1"/>
              </w:sdtPr>
              <w:sdtEndPr/>
              <w:sdtContent>
                <w:r w:rsidR="00563203">
                  <w:rPr>
                    <w:rFonts w:hint="cs" w:ascii="Arial" w:hAnsi="Arial"/>
                    <w:b/>
                    <w:bCs/>
                    <w:noProof w:val="0"/>
                    <w:sz w:val="26"/>
                    <w:szCs w:val="26"/>
                    <w:rtl/>
                  </w:rPr>
                  <w:t>2</w:t>
                </w:r>
              </w:sdtContent>
            </w:sdt>
            <w:r w:rsidR="00785242">
              <w:rPr>
                <w:rFonts w:hint="cs" w:ascii="Arial" w:hAnsi="Arial"/>
                <w:b/>
                <w:bCs/>
                <w:noProof w:val="0"/>
                <w:sz w:val="26"/>
                <w:szCs w:val="26"/>
                <w:rtl/>
              </w:rPr>
              <w:t xml:space="preserve">. </w:t>
            </w:r>
            <w:sdt>
              <w:sdtPr>
                <w:rPr>
                  <w:rFonts w:hint="cs"/>
                  <w:rtl/>
                </w:rPr>
                <w:alias w:val="1486"/>
                <w:tag w:val="1486"/>
                <w:id w:val="-1366056500"/>
                <w:text w:multiLine="1"/>
              </w:sdtPr>
              <w:sdtEndPr/>
              <w:sdtContent>
                <w:r w:rsidR="00563203">
                  <w:rPr>
                    <w:rFonts w:hint="cs" w:ascii="Arial" w:hAnsi="Arial"/>
                    <w:b/>
                    <w:bCs/>
                    <w:noProof w:val="0"/>
                    <w:sz w:val="26"/>
                    <w:szCs w:val="26"/>
                    <w:rtl/>
                  </w:rPr>
                  <w:t>שומרה חברה לביטוח בע"מ</w:t>
                </w:r>
              </w:sdtContent>
            </w:sdt>
          </w:p>
        </w:tc>
      </w:tr>
    </w:tbl>
    <w:p w:rsidR="0094424E" w:rsidP="0094424E" w:rsidRDefault="0094424E">
      <w:pPr>
        <w:rPr>
          <w:rtl/>
        </w:rPr>
      </w:pPr>
    </w:p>
    <w:p w:rsidR="00FE6828" w:rsidP="0094424E" w:rsidRDefault="00FE6828">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FE6828" w:rsidP="00826620" w:rsidRDefault="00FE6828">
      <w:pPr>
        <w:spacing w:line="360" w:lineRule="auto"/>
        <w:jc w:val="both"/>
        <w:rPr>
          <w:rFonts w:ascii="Arial" w:hAnsi="Arial"/>
        </w:rPr>
      </w:pPr>
      <w:bookmarkStart w:name="NGCSBookmark" w:id="0"/>
      <w:bookmarkEnd w:id="0"/>
    </w:p>
    <w:p w:rsidR="00FE6828" w:rsidP="00826620" w:rsidRDefault="00FE6828">
      <w:pPr>
        <w:numPr>
          <w:ilvl w:val="0"/>
          <w:numId w:val="1"/>
        </w:numPr>
        <w:spacing w:line="360" w:lineRule="auto"/>
        <w:ind w:left="360"/>
        <w:contextualSpacing/>
        <w:jc w:val="both"/>
        <w:rPr>
          <w:rFonts w:ascii="Calibri" w:hAnsi="Calibri" w:cs="Calibri"/>
          <w:rtl/>
        </w:rPr>
      </w:pPr>
      <w:r>
        <w:rPr>
          <w:rFonts w:hint="cs"/>
          <w:rtl/>
        </w:rPr>
        <w:t xml:space="preserve">לפניי בקשה </w:t>
      </w:r>
      <w:r w:rsidRPr="00FE6828">
        <w:rPr>
          <w:rFonts w:hint="cs"/>
          <w:rtl/>
        </w:rPr>
        <w:t>למינוי מומחים רפואיים בתחום האורתופדיה, נוירולוגיה, פה ולסת ועיניים (להלן: "</w:t>
      </w:r>
      <w:r w:rsidRPr="00FE6828">
        <w:rPr>
          <w:rFonts w:hint="cs"/>
          <w:b/>
          <w:bCs/>
          <w:rtl/>
        </w:rPr>
        <w:t>הבקשה</w:t>
      </w:r>
      <w:r w:rsidRPr="00FE6828">
        <w:rPr>
          <w:rFonts w:hint="cs"/>
          <w:rtl/>
        </w:rPr>
        <w:t xml:space="preserve">"), בגין תאונת דרכים מיום </w:t>
      </w:r>
      <w:r w:rsidRPr="00FE6828">
        <w:rPr>
          <w:rFonts w:hint="cs" w:ascii="Calibri" w:hAnsi="Calibri"/>
          <w:rtl/>
        </w:rPr>
        <w:t>17.8.16 (להלן: "</w:t>
      </w:r>
      <w:r w:rsidRPr="00FE6828">
        <w:rPr>
          <w:rFonts w:hint="cs" w:ascii="Calibri" w:hAnsi="Calibri"/>
          <w:b/>
          <w:bCs/>
          <w:rtl/>
        </w:rPr>
        <w:t>התאונה</w:t>
      </w:r>
      <w:r w:rsidRPr="00FE6828">
        <w:rPr>
          <w:rFonts w:hint="cs" w:ascii="Calibri" w:hAnsi="Calibri"/>
          <w:rtl/>
        </w:rPr>
        <w:t>").</w:t>
      </w:r>
      <w:r>
        <w:rPr>
          <w:rFonts w:hint="cs" w:ascii="Calibri" w:hAnsi="Calibri" w:cs="Arial"/>
          <w:rtl/>
        </w:rPr>
        <w:t xml:space="preserve"> </w:t>
      </w:r>
    </w:p>
    <w:p w:rsidR="00FE6828" w:rsidP="00826620" w:rsidRDefault="00FE6828">
      <w:pPr>
        <w:spacing w:line="360" w:lineRule="auto"/>
        <w:ind w:left="360"/>
        <w:contextualSpacing/>
        <w:jc w:val="both"/>
      </w:pPr>
    </w:p>
    <w:p w:rsidR="00FE6828" w:rsidP="00CA116B" w:rsidRDefault="00770E32">
      <w:pPr>
        <w:numPr>
          <w:ilvl w:val="0"/>
          <w:numId w:val="1"/>
        </w:numPr>
        <w:spacing w:line="360" w:lineRule="auto"/>
        <w:ind w:left="360"/>
        <w:contextualSpacing/>
        <w:jc w:val="both"/>
      </w:pPr>
      <w:r>
        <w:rPr>
          <w:rFonts w:hint="cs"/>
          <w:rtl/>
        </w:rPr>
        <w:t>ב"כ הנתבעים</w:t>
      </w:r>
      <w:r w:rsidR="00FE6828">
        <w:rPr>
          <w:rFonts w:hint="cs"/>
          <w:rtl/>
        </w:rPr>
        <w:t xml:space="preserve"> </w:t>
      </w:r>
      <w:r w:rsidR="00814682">
        <w:rPr>
          <w:rFonts w:hint="cs"/>
          <w:rtl/>
        </w:rPr>
        <w:t xml:space="preserve">מתנגדים למינוי מומחים ולחילופין מסכימים למינוי מומחה בתחום האורתופדיה בלבד, טוענים כי יש לדון תחילה בשאלת החבות. </w:t>
      </w:r>
    </w:p>
    <w:p w:rsidR="001D31AB" w:rsidP="001D31AB" w:rsidRDefault="001D31AB">
      <w:pPr>
        <w:spacing w:line="360" w:lineRule="auto"/>
        <w:ind w:left="360"/>
        <w:contextualSpacing/>
        <w:jc w:val="both"/>
      </w:pPr>
    </w:p>
    <w:p w:rsidRPr="001D31AB" w:rsidR="001D31AB" w:rsidP="00FA5BC6" w:rsidRDefault="001D31AB">
      <w:pPr>
        <w:numPr>
          <w:ilvl w:val="0"/>
          <w:numId w:val="1"/>
        </w:numPr>
        <w:spacing w:line="360" w:lineRule="auto"/>
        <w:ind w:left="360"/>
        <w:contextualSpacing/>
        <w:jc w:val="both"/>
      </w:pPr>
      <w:r w:rsidRPr="001D31AB">
        <w:rPr>
          <w:noProof w:val="0"/>
          <w:rtl/>
        </w:rPr>
        <w:t xml:space="preserve">לא מצאתי בנסיבות העניין, כי יש להפריד את הדיון ולדון תחילה בשאלת החבות. פסק הדין אליו הפנתה הנתבעת </w:t>
      </w:r>
      <w:r>
        <w:rPr>
          <w:rFonts w:hint="cs"/>
          <w:noProof w:val="0"/>
          <w:rtl/>
        </w:rPr>
        <w:t xml:space="preserve">בכתב ההגנה מטעמה </w:t>
      </w:r>
      <w:r>
        <w:rPr>
          <w:noProof w:val="0"/>
          <w:rtl/>
        </w:rPr>
        <w:t>אי</w:t>
      </w:r>
      <w:r>
        <w:rPr>
          <w:rFonts w:hint="cs"/>
          <w:noProof w:val="0"/>
          <w:rtl/>
        </w:rPr>
        <w:t>ננו</w:t>
      </w:r>
      <w:r w:rsidRPr="001D31AB">
        <w:rPr>
          <w:noProof w:val="0"/>
          <w:rtl/>
        </w:rPr>
        <w:t xml:space="preserve"> פסק הדין היחיד שניתן בסוגיה זו </w:t>
      </w:r>
      <w:r>
        <w:rPr>
          <w:rFonts w:hint="cs"/>
          <w:noProof w:val="0"/>
          <w:rtl/>
        </w:rPr>
        <w:t xml:space="preserve">ומכל מקום, בפסיקה קיימות גישות שונות שטרם הוכרעו בהלכה מחייבת. </w:t>
      </w:r>
      <w:r w:rsidRPr="001D31AB">
        <w:rPr>
          <w:noProof w:val="0"/>
          <w:rtl/>
        </w:rPr>
        <w:t xml:space="preserve"> </w:t>
      </w:r>
    </w:p>
    <w:p w:rsidRPr="00FA5BC6" w:rsidR="00814682" w:rsidP="00814682" w:rsidRDefault="00814682">
      <w:pPr>
        <w:spacing w:line="360" w:lineRule="auto"/>
        <w:ind w:left="360"/>
        <w:contextualSpacing/>
        <w:jc w:val="both"/>
      </w:pPr>
    </w:p>
    <w:p w:rsidRPr="007F2426" w:rsidR="00FE6828" w:rsidP="007F2426" w:rsidRDefault="00FE6828">
      <w:pPr>
        <w:numPr>
          <w:ilvl w:val="0"/>
          <w:numId w:val="1"/>
        </w:numPr>
        <w:spacing w:line="360" w:lineRule="auto"/>
        <w:ind w:left="360"/>
        <w:contextualSpacing/>
        <w:jc w:val="both"/>
        <w:rPr>
          <w:rFonts w:ascii="Calibri" w:hAnsi="Calibri" w:cs="Calibri"/>
          <w:rtl/>
        </w:rPr>
      </w:pPr>
      <w:r>
        <w:rPr>
          <w:rFonts w:hint="cs"/>
          <w:rtl/>
        </w:rPr>
        <w:t>לאחר שעיינתי במסמכים שצורפו לכתב התביעה, הגעתי לכלל מסקנה כי יש בתיעוד הרפואי שהוצג משום ראשית ראיה למינוי מומחה רפואי בתחום האורתופדיה</w:t>
      </w:r>
      <w:r w:rsidR="00626CA3">
        <w:rPr>
          <w:rFonts w:hint="cs"/>
          <w:rtl/>
        </w:rPr>
        <w:t xml:space="preserve">, עיניים, נוירולוגיה ופה ולסת. </w:t>
      </w:r>
      <w:r w:rsidRPr="007F2426" w:rsidR="00FA5BC6">
        <w:rPr>
          <w:rFonts w:hint="cs" w:ascii="Calibri" w:hAnsi="Calibri"/>
          <w:rtl/>
        </w:rPr>
        <w:t xml:space="preserve">ממקום התאונה פונה התובע לטיפול </w:t>
      </w:r>
      <w:r w:rsidRPr="007F2426">
        <w:rPr>
          <w:rFonts w:hint="cs" w:ascii="Calibri" w:hAnsi="Calibri"/>
          <w:rtl/>
        </w:rPr>
        <w:t xml:space="preserve">בבית החולים "איכילוב". </w:t>
      </w:r>
      <w:r w:rsidRPr="007F2426" w:rsidR="006F5E84">
        <w:rPr>
          <w:rFonts w:hint="cs" w:ascii="Calibri" w:hAnsi="Calibri"/>
          <w:rtl/>
        </w:rPr>
        <w:t xml:space="preserve">בטופס סיכום אשפוז </w:t>
      </w:r>
      <w:r w:rsidRPr="007F2426" w:rsidR="00357CC1">
        <w:rPr>
          <w:rFonts w:hint="cs" w:ascii="Calibri" w:hAnsi="Calibri"/>
          <w:rtl/>
        </w:rPr>
        <w:t>"המחלקה לטיפול נמרץ כללי" נרשם</w:t>
      </w:r>
      <w:r w:rsidRPr="007F2426" w:rsidR="00FA5BC6">
        <w:rPr>
          <w:rFonts w:hint="cs" w:ascii="Calibri" w:hAnsi="Calibri"/>
          <w:rtl/>
        </w:rPr>
        <w:t>:</w:t>
      </w:r>
      <w:r w:rsidRPr="007F2426" w:rsidR="006F5E84">
        <w:rPr>
          <w:rFonts w:hint="cs" w:ascii="Calibri" w:hAnsi="Calibri"/>
          <w:rtl/>
        </w:rPr>
        <w:t xml:space="preserve"> "...דמם מחלל האף והפה ובאגן ימין."; "...</w:t>
      </w:r>
      <w:r w:rsidRPr="007F2426" w:rsidR="006F5E84">
        <w:rPr>
          <w:rFonts w:hint="cs" w:ascii="Calibri" w:hAnsi="Calibri"/>
        </w:rPr>
        <w:t>CT</w:t>
      </w:r>
      <w:r w:rsidRPr="007F2426" w:rsidR="006F5E84">
        <w:rPr>
          <w:rFonts w:hint="cs" w:ascii="Calibri" w:hAnsi="Calibri"/>
          <w:rtl/>
        </w:rPr>
        <w:t xml:space="preserve"> כל גופי הדגים : ממצאים שיכולים להתאים לקונטוזיה ריאתית...חשד ללצרציות בטחול...שברים בזיז הרוחבי מימין של </w:t>
      </w:r>
      <w:r w:rsidRPr="007F2426" w:rsidR="006F5E84">
        <w:rPr>
          <w:rFonts w:hint="cs" w:ascii="Calibri" w:hAnsi="Calibri"/>
        </w:rPr>
        <w:t>D</w:t>
      </w:r>
      <w:r w:rsidRPr="007F2426" w:rsidR="006F5E84">
        <w:rPr>
          <w:rFonts w:ascii="Calibri" w:hAnsi="Calibri"/>
        </w:rPr>
        <w:t xml:space="preserve">1 </w:t>
      </w:r>
      <w:r w:rsidRPr="007F2426" w:rsidR="006F5E84">
        <w:rPr>
          <w:rFonts w:hint="cs" w:ascii="Calibri" w:hAnsi="Calibri"/>
          <w:rtl/>
        </w:rPr>
        <w:t xml:space="preserve"> (גם ב </w:t>
      </w:r>
      <w:r w:rsidRPr="007F2426" w:rsidR="006F5E84">
        <w:rPr>
          <w:rFonts w:hint="cs" w:ascii="Calibri" w:hAnsi="Calibri"/>
        </w:rPr>
        <w:t>C7</w:t>
      </w:r>
      <w:r w:rsidRPr="007F2426" w:rsidR="006F5E84">
        <w:rPr>
          <w:rFonts w:hint="cs" w:ascii="Calibri" w:hAnsi="Calibri"/>
          <w:rtl/>
        </w:rPr>
        <w:t xml:space="preserve"> לפי </w:t>
      </w:r>
      <w:r w:rsidRPr="007F2426" w:rsidR="006F5E84">
        <w:rPr>
          <w:rFonts w:hint="cs" w:ascii="Calibri" w:hAnsi="Calibri"/>
        </w:rPr>
        <w:t>CT</w:t>
      </w:r>
      <w:r w:rsidRPr="007F2426" w:rsidR="006F5E84">
        <w:rPr>
          <w:rFonts w:hint="cs" w:ascii="Calibri" w:hAnsi="Calibri"/>
          <w:rtl/>
        </w:rPr>
        <w:t xml:space="preserve"> עמ"ש צווארי). חשד לשבר במנובריום סטרנום ובקצה הלטרלי של הקלביקולה מימין...";"..</w:t>
      </w:r>
      <w:r w:rsidRPr="007F2426" w:rsidR="006F5E84">
        <w:rPr>
          <w:rFonts w:hint="cs" w:ascii="Calibri" w:hAnsi="Calibri"/>
        </w:rPr>
        <w:t>CT</w:t>
      </w:r>
      <w:r w:rsidRPr="007F2426" w:rsidR="006F5E84">
        <w:rPr>
          <w:rFonts w:hint="cs" w:ascii="Calibri" w:hAnsi="Calibri"/>
          <w:rtl/>
        </w:rPr>
        <w:t xml:space="preserve"> מח:שברים בארובה הימנית, במערות הפנים וכן שבר </w:t>
      </w:r>
      <w:r w:rsidRPr="007F2426" w:rsidR="006F5E84">
        <w:rPr>
          <w:rFonts w:hint="cs" w:ascii="Calibri" w:hAnsi="Calibri"/>
          <w:rtl/>
        </w:rPr>
        <w:lastRenderedPageBreak/>
        <w:t>עדין המערב את התעלה הקרוטידית משמאל כמתואר. חשד לשבר באף. מוקדי ד</w:t>
      </w:r>
      <w:r w:rsidRPr="007F2426" w:rsidR="00357CC1">
        <w:rPr>
          <w:rFonts w:hint="cs" w:ascii="Calibri" w:hAnsi="Calibri"/>
          <w:rtl/>
        </w:rPr>
        <w:t xml:space="preserve">מם פרנכימטי כמתואר, ייתכן </w:t>
      </w:r>
      <w:r w:rsidRPr="007F2426" w:rsidR="00357CC1">
        <w:rPr>
          <w:rFonts w:hint="cs" w:ascii="Calibri" w:hAnsi="Calibri"/>
        </w:rPr>
        <w:t>DAI</w:t>
      </w:r>
      <w:r w:rsidRPr="007F2426" w:rsidR="00357CC1">
        <w:rPr>
          <w:rFonts w:hint="cs" w:ascii="Calibri" w:hAnsi="Calibri"/>
          <w:rtl/>
        </w:rPr>
        <w:t xml:space="preserve"> (ראה סעיף "מחלה נוכחית"). בהמשך נרשם "...הפגיעה המשמעותית היחידה</w:t>
      </w:r>
      <w:r w:rsidRPr="007F2426" w:rsidR="00357CC1">
        <w:rPr>
          <w:rFonts w:hint="cs" w:ascii="Calibri" w:hAnsi="Calibri" w:cs="Arial"/>
          <w:rtl/>
        </w:rPr>
        <w:t xml:space="preserve"> </w:t>
      </w:r>
      <w:r w:rsidRPr="007F2426" w:rsidR="00357CC1">
        <w:rPr>
          <w:rFonts w:hint="cs" w:ascii="Calibri" w:hAnsi="Calibri"/>
          <w:rtl/>
        </w:rPr>
        <w:t xml:space="preserve">הייתה מוחית עם </w:t>
      </w:r>
      <w:r w:rsidRPr="007F2426" w:rsidR="00357CC1">
        <w:rPr>
          <w:rFonts w:hint="cs" w:ascii="Calibri" w:hAnsi="Calibri"/>
        </w:rPr>
        <w:t>DAI</w:t>
      </w:r>
      <w:r w:rsidRPr="007F2426" w:rsidR="00357CC1">
        <w:rPr>
          <w:rFonts w:hint="cs" w:ascii="Calibri" w:hAnsi="Calibri"/>
          <w:rtl/>
        </w:rPr>
        <w:t xml:space="preserve"> ודימומים קטנים בחומר הלבן....</w:t>
      </w:r>
      <w:r w:rsidRPr="007F2426" w:rsidR="0079247B">
        <w:rPr>
          <w:rFonts w:hint="cs" w:ascii="Calibri" w:hAnsi="Calibri"/>
          <w:rtl/>
        </w:rPr>
        <w:t>פגיעה סביב עין ימין</w:t>
      </w:r>
      <w:r w:rsidRPr="007F2426" w:rsidR="00357CC1">
        <w:rPr>
          <w:rFonts w:hint="cs" w:ascii="Calibri" w:hAnsi="Calibri"/>
          <w:rtl/>
        </w:rPr>
        <w:t xml:space="preserve"> עם לת"ע מוגבר </w:t>
      </w:r>
      <w:r w:rsidRPr="007F2426" w:rsidR="00357CC1">
        <w:rPr>
          <w:rFonts w:ascii="Calibri" w:hAnsi="Calibri"/>
          <w:rtl/>
        </w:rPr>
        <w:t>–</w:t>
      </w:r>
      <w:r w:rsidRPr="007F2426" w:rsidR="00357CC1">
        <w:rPr>
          <w:rFonts w:hint="cs" w:ascii="Calibri" w:hAnsi="Calibri"/>
          <w:rtl/>
        </w:rPr>
        <w:t xml:space="preserve"> טופל מקומית..</w:t>
      </w:r>
      <w:r w:rsidRPr="007F2426" w:rsidR="00FA5BC6">
        <w:rPr>
          <w:rFonts w:hint="cs" w:ascii="Calibri" w:hAnsi="Calibri"/>
          <w:rtl/>
        </w:rPr>
        <w:t>." (ראו</w:t>
      </w:r>
      <w:r w:rsidRPr="007F2426" w:rsidR="00357CC1">
        <w:rPr>
          <w:rFonts w:hint="cs" w:ascii="Calibri" w:hAnsi="Calibri"/>
          <w:rtl/>
        </w:rPr>
        <w:t xml:space="preserve"> סעיף "סיכום ודיון")</w:t>
      </w:r>
      <w:r w:rsidRPr="007F2426" w:rsidR="00F20734">
        <w:rPr>
          <w:rFonts w:hint="cs" w:ascii="Calibri" w:hAnsi="Calibri"/>
          <w:rtl/>
        </w:rPr>
        <w:t>.</w:t>
      </w:r>
    </w:p>
    <w:p w:rsidRPr="0079247B" w:rsidR="00FD0A5C" w:rsidP="008E1098" w:rsidRDefault="00F20734">
      <w:pPr>
        <w:spacing w:line="360" w:lineRule="auto"/>
        <w:ind w:left="360"/>
        <w:contextualSpacing/>
        <w:jc w:val="both"/>
        <w:rPr>
          <w:rFonts w:ascii="Calibri" w:hAnsi="Calibri"/>
          <w:rtl/>
        </w:rPr>
      </w:pPr>
      <w:r w:rsidRPr="0079247B">
        <w:rPr>
          <w:rFonts w:hint="cs" w:ascii="Calibri" w:hAnsi="Calibri"/>
          <w:rtl/>
        </w:rPr>
        <w:t xml:space="preserve">ממסמך רפואי מיום 12.9.16 עולה, כי ביום 5.9.16 הועבר התובע להמשך טיפול במחלקה פנימית. בתיעוד הרפואי נרשם בין השאר "...נוירולוגית: במהלך אשפוזו בטיפול נמרץ התקדם עד </w:t>
      </w:r>
      <w:r w:rsidRPr="0079247B">
        <w:rPr>
          <w:rFonts w:hint="cs" w:ascii="Calibri" w:hAnsi="Calibri"/>
        </w:rPr>
        <w:t xml:space="preserve">GCS </w:t>
      </w:r>
      <w:r w:rsidRPr="0079247B">
        <w:rPr>
          <w:rFonts w:ascii="Calibri" w:hAnsi="Calibri"/>
        </w:rPr>
        <w:t>–</w:t>
      </w:r>
      <w:r w:rsidRPr="0079247B">
        <w:rPr>
          <w:rFonts w:hint="cs" w:ascii="Calibri" w:hAnsi="Calibri"/>
        </w:rPr>
        <w:t xml:space="preserve"> 15</w:t>
      </w:r>
      <w:r w:rsidRPr="0079247B">
        <w:rPr>
          <w:rFonts w:hint="cs" w:ascii="Calibri" w:hAnsi="Calibri"/>
          <w:rtl/>
        </w:rPr>
        <w:t>..."</w:t>
      </w:r>
      <w:r w:rsidRPr="0079247B" w:rsidR="00FD0A5C">
        <w:rPr>
          <w:rFonts w:hint="cs" w:ascii="Calibri" w:hAnsi="Calibri"/>
          <w:rtl/>
        </w:rPr>
        <w:t>; "...-עיניים- ארוזיה בלחמית וקרנית שמאל וכן לחץ תוך עיני מוגבר שטופלו מקומית והתנרמלו, ללא צורך בהתערבות כירורגית לתיקון שברים בארובה."</w:t>
      </w:r>
    </w:p>
    <w:p w:rsidRPr="00770E32" w:rsidR="00F20734" w:rsidP="0094505C" w:rsidRDefault="00FD0A5C">
      <w:pPr>
        <w:spacing w:line="360" w:lineRule="auto"/>
        <w:ind w:left="360"/>
        <w:contextualSpacing/>
        <w:jc w:val="both"/>
        <w:rPr>
          <w:rFonts w:ascii="Calibri" w:hAnsi="Calibri"/>
          <w:rtl/>
        </w:rPr>
      </w:pPr>
      <w:r w:rsidRPr="00770E32">
        <w:rPr>
          <w:rFonts w:hint="cs" w:ascii="Calibri" w:hAnsi="Calibri"/>
          <w:rtl/>
        </w:rPr>
        <w:t xml:space="preserve">ממסמך רפואי מיום 6.12.16 עולה, כי התובע </w:t>
      </w:r>
      <w:r w:rsidRPr="00770E32" w:rsidR="0079247B">
        <w:rPr>
          <w:rFonts w:hint="cs" w:ascii="Calibri" w:hAnsi="Calibri"/>
          <w:rtl/>
        </w:rPr>
        <w:t xml:space="preserve">נבדק ע"י </w:t>
      </w:r>
      <w:r w:rsidR="0094505C">
        <w:rPr>
          <w:rFonts w:hint="cs" w:ascii="Calibri" w:hAnsi="Calibri"/>
          <w:rtl/>
        </w:rPr>
        <w:t>מומחה</w:t>
      </w:r>
      <w:r w:rsidRPr="00770E32" w:rsidR="0079247B">
        <w:rPr>
          <w:rFonts w:hint="cs" w:ascii="Calibri" w:hAnsi="Calibri"/>
          <w:rtl/>
        </w:rPr>
        <w:t xml:space="preserve"> </w:t>
      </w:r>
      <w:r w:rsidRPr="00770E32">
        <w:rPr>
          <w:rFonts w:hint="cs" w:ascii="Calibri" w:hAnsi="Calibri"/>
          <w:rtl/>
        </w:rPr>
        <w:t>ב</w:t>
      </w:r>
      <w:r w:rsidRPr="00770E32" w:rsidR="0079247B">
        <w:rPr>
          <w:rFonts w:hint="cs" w:ascii="Calibri" w:hAnsi="Calibri"/>
          <w:rtl/>
        </w:rPr>
        <w:t xml:space="preserve">מכון למחלות דרכי העיכול והכבד, </w:t>
      </w:r>
      <w:r w:rsidRPr="00770E32">
        <w:rPr>
          <w:rFonts w:hint="cs" w:ascii="Calibri" w:hAnsi="Calibri"/>
          <w:rtl/>
        </w:rPr>
        <w:t>בית החול</w:t>
      </w:r>
      <w:r w:rsidRPr="00770E32" w:rsidR="0079247B">
        <w:rPr>
          <w:rFonts w:hint="cs" w:ascii="Calibri" w:hAnsi="Calibri"/>
          <w:rtl/>
        </w:rPr>
        <w:t>ים "איכילוב". בתיעוד הרפואי נרשמו בין השאר תלונות התובע לכאבי ראש וסחרחורות. בבדיקה אובחן</w:t>
      </w:r>
      <w:r w:rsidR="0094505C">
        <w:rPr>
          <w:rFonts w:hint="cs" w:ascii="Calibri" w:hAnsi="Calibri"/>
          <w:rtl/>
        </w:rPr>
        <w:t xml:space="preserve"> בשפה נגע כרוביתי</w:t>
      </w:r>
      <w:r w:rsidRPr="00770E32" w:rsidR="0079247B">
        <w:rPr>
          <w:rFonts w:hint="cs" w:ascii="Calibri" w:hAnsi="Calibri"/>
          <w:rtl/>
        </w:rPr>
        <w:t xml:space="preserve">. </w:t>
      </w:r>
    </w:p>
    <w:p w:rsidRPr="00770E32" w:rsidR="00FE6828" w:rsidP="008E1098" w:rsidRDefault="00FE6828">
      <w:pPr>
        <w:spacing w:line="360" w:lineRule="auto"/>
        <w:contextualSpacing/>
        <w:jc w:val="both"/>
        <w:rPr>
          <w:rtl/>
        </w:rPr>
      </w:pPr>
    </w:p>
    <w:p w:rsidR="00FA5BC6" w:rsidP="00626CA3" w:rsidRDefault="00FA5BC6">
      <w:pPr>
        <w:numPr>
          <w:ilvl w:val="0"/>
          <w:numId w:val="1"/>
        </w:numPr>
        <w:spacing w:line="360" w:lineRule="auto"/>
        <w:ind w:left="360"/>
        <w:contextualSpacing/>
        <w:jc w:val="both"/>
      </w:pPr>
      <w:r>
        <w:rPr>
          <w:rFonts w:hint="cs"/>
          <w:rtl/>
        </w:rPr>
        <w:t xml:space="preserve">די במסמכים הרפואיים שצורפו לבקשה ולכתב התביעה כדי להוות ראשית ראייה למינוי מומחים בתחום האורתופדיה, נוירולוגיה, עיניים  ופה ולסת. </w:t>
      </w:r>
      <w:r w:rsidR="00626CA3">
        <w:rPr>
          <w:rFonts w:hint="cs"/>
          <w:rtl/>
        </w:rPr>
        <w:t xml:space="preserve">מהתיעוד הרפואי עולה כי התובע סבל ממספר פגיעות שכללו שברים ודימומים באזור עמ"ש צווארי, מערות הפנים, עיניים, פגיעה מוחית, חלל הפה ובבדיקות שנערכו לו נמצאו ממצאים המצדיקים מינוי מומחים ולו בראשית הראייה הנדרשת. </w:t>
      </w:r>
    </w:p>
    <w:p w:rsidR="00626CA3" w:rsidP="00626CA3" w:rsidRDefault="00626CA3">
      <w:pPr>
        <w:spacing w:line="360" w:lineRule="auto"/>
        <w:ind w:left="360"/>
        <w:contextualSpacing/>
        <w:jc w:val="both"/>
      </w:pPr>
    </w:p>
    <w:p w:rsidR="003D6E48" w:rsidP="00826620" w:rsidRDefault="003D6E48">
      <w:pPr>
        <w:numPr>
          <w:ilvl w:val="0"/>
          <w:numId w:val="1"/>
        </w:numPr>
        <w:spacing w:line="360" w:lineRule="auto"/>
        <w:ind w:left="360"/>
        <w:contextualSpacing/>
        <w:jc w:val="both"/>
      </w:pPr>
      <w:r>
        <w:rPr>
          <w:rFonts w:hint="cs"/>
          <w:rtl/>
        </w:rPr>
        <w:t>לפיכך, אני מורה על מינוים של המומחים הבאים:</w:t>
      </w:r>
    </w:p>
    <w:p w:rsidR="003D6E48" w:rsidP="003D6E48" w:rsidRDefault="003D6E48">
      <w:pPr>
        <w:spacing w:line="360" w:lineRule="auto"/>
        <w:ind w:left="360"/>
        <w:contextualSpacing/>
        <w:jc w:val="both"/>
        <w:rPr>
          <w:rtl/>
        </w:rPr>
      </w:pPr>
      <w:r>
        <w:rPr>
          <w:rFonts w:hint="cs"/>
          <w:rtl/>
        </w:rPr>
        <w:t xml:space="preserve">א. </w:t>
      </w:r>
      <w:r w:rsidR="00626CA3">
        <w:rPr>
          <w:rFonts w:hint="cs"/>
          <w:rtl/>
        </w:rPr>
        <w:t>פרופ' תום הלל</w:t>
      </w:r>
      <w:r>
        <w:rPr>
          <w:rFonts w:hint="cs"/>
          <w:rtl/>
        </w:rPr>
        <w:t xml:space="preserve"> </w:t>
      </w:r>
      <w:r w:rsidR="00FE6828">
        <w:rPr>
          <w:rFonts w:hint="cs"/>
          <w:rtl/>
        </w:rPr>
        <w:t xml:space="preserve">כמומחה רפואי </w:t>
      </w:r>
      <w:r>
        <w:rPr>
          <w:rFonts w:hint="cs"/>
          <w:rtl/>
        </w:rPr>
        <w:t>מטעם בית המשפט בתחום האורתופדיה.</w:t>
      </w:r>
    </w:p>
    <w:p w:rsidR="003D6E48" w:rsidP="003D6E48" w:rsidRDefault="003D6E48">
      <w:pPr>
        <w:spacing w:line="360" w:lineRule="auto"/>
        <w:ind w:left="360"/>
        <w:contextualSpacing/>
        <w:jc w:val="both"/>
        <w:rPr>
          <w:rtl/>
        </w:rPr>
      </w:pPr>
      <w:r>
        <w:rPr>
          <w:rFonts w:hint="cs"/>
          <w:rtl/>
        </w:rPr>
        <w:t xml:space="preserve">ב. פרופ' ירניצקי דוד כמומחה רפואי בתחום הנוירולוגיה. </w:t>
      </w:r>
    </w:p>
    <w:p w:rsidR="00313DE5" w:rsidP="007F2426" w:rsidRDefault="00313DE5">
      <w:pPr>
        <w:spacing w:line="360" w:lineRule="auto"/>
        <w:ind w:left="360"/>
        <w:contextualSpacing/>
        <w:jc w:val="both"/>
        <w:rPr>
          <w:rtl/>
        </w:rPr>
      </w:pPr>
      <w:r>
        <w:rPr>
          <w:rFonts w:hint="cs"/>
          <w:rtl/>
        </w:rPr>
        <w:t xml:space="preserve">ג. ד"ר </w:t>
      </w:r>
      <w:r w:rsidR="007F2426">
        <w:rPr>
          <w:rFonts w:hint="cs"/>
          <w:rtl/>
        </w:rPr>
        <w:t>ענת</w:t>
      </w:r>
      <w:r>
        <w:rPr>
          <w:rFonts w:hint="cs"/>
          <w:rtl/>
        </w:rPr>
        <w:t xml:space="preserve"> גבאי ( שוחט) כמומחית רפואית בתחום העיניים. </w:t>
      </w:r>
    </w:p>
    <w:p w:rsidR="00313DE5" w:rsidP="003D6E48" w:rsidRDefault="00313DE5">
      <w:pPr>
        <w:spacing w:line="360" w:lineRule="auto"/>
        <w:ind w:left="360"/>
        <w:contextualSpacing/>
        <w:jc w:val="both"/>
        <w:rPr>
          <w:rtl/>
        </w:rPr>
      </w:pPr>
      <w:r>
        <w:rPr>
          <w:rFonts w:hint="cs"/>
          <w:rtl/>
        </w:rPr>
        <w:t xml:space="preserve">ד. פרופ' ליפא בודנר כמומחה רפואי בתחום הפה והלסת. </w:t>
      </w:r>
    </w:p>
    <w:p w:rsidR="00313DE5" w:rsidP="00313DE5" w:rsidRDefault="00313DE5">
      <w:pPr>
        <w:spacing w:line="360" w:lineRule="auto"/>
        <w:contextualSpacing/>
        <w:jc w:val="both"/>
        <w:rPr>
          <w:rFonts w:hint="cs"/>
          <w:rtl/>
        </w:rPr>
      </w:pPr>
    </w:p>
    <w:p w:rsidR="00FE6828" w:rsidP="00313DE5" w:rsidRDefault="00FE6828">
      <w:pPr>
        <w:numPr>
          <w:ilvl w:val="0"/>
          <w:numId w:val="1"/>
        </w:numPr>
        <w:spacing w:line="360" w:lineRule="auto"/>
        <w:ind w:left="360"/>
        <w:contextualSpacing/>
        <w:jc w:val="both"/>
      </w:pPr>
      <w:r>
        <w:rPr>
          <w:rFonts w:hint="cs"/>
          <w:rtl/>
        </w:rPr>
        <w:t xml:space="preserve">המומחה יבחן האם נותרה לתובע נכות כתוצאה מהתאונה (זמנית או צמיתה). </w:t>
      </w:r>
    </w:p>
    <w:p w:rsidR="00FE6828" w:rsidP="00826620" w:rsidRDefault="00FE6828">
      <w:pPr>
        <w:spacing w:line="360" w:lineRule="auto"/>
        <w:ind w:left="360"/>
        <w:contextualSpacing/>
        <w:jc w:val="both"/>
      </w:pPr>
    </w:p>
    <w:p w:rsidR="00FE6828" w:rsidP="00826620" w:rsidRDefault="00FE6828">
      <w:pPr>
        <w:numPr>
          <w:ilvl w:val="0"/>
          <w:numId w:val="1"/>
        </w:numPr>
        <w:spacing w:line="360" w:lineRule="auto"/>
        <w:ind w:left="360"/>
        <w:contextualSpacing/>
        <w:jc w:val="both"/>
        <w:rPr>
          <w:rtl/>
        </w:rPr>
      </w:pPr>
      <w:r>
        <w:rPr>
          <w:rFonts w:hint="cs"/>
          <w:rtl/>
        </w:rPr>
        <w:t>בשים לב לתיעוד הרפואי</w:t>
      </w:r>
      <w:r w:rsidR="00313DE5">
        <w:rPr>
          <w:rFonts w:hint="cs"/>
          <w:rtl/>
        </w:rPr>
        <w:t>, מתבקשים המומחים</w:t>
      </w:r>
      <w:r>
        <w:rPr>
          <w:rFonts w:hint="cs"/>
          <w:rtl/>
        </w:rPr>
        <w:t xml:space="preserve"> להתייחס בחוות דעתו, בין השאר, למצבו הרפואי הקודם של התובע ולשיעור הנכות, אם הייתה כזו, אותה יש לייחס למצבו הרפואי הקודם. </w:t>
      </w:r>
    </w:p>
    <w:p w:rsidR="00FE6828" w:rsidP="00826620" w:rsidRDefault="00FE6828">
      <w:pPr>
        <w:spacing w:line="360" w:lineRule="auto"/>
        <w:jc w:val="both"/>
      </w:pPr>
    </w:p>
    <w:p w:rsidR="00FE6828" w:rsidP="007F2426" w:rsidRDefault="00FE6828">
      <w:pPr>
        <w:numPr>
          <w:ilvl w:val="0"/>
          <w:numId w:val="1"/>
        </w:numPr>
        <w:spacing w:line="360" w:lineRule="auto"/>
        <w:ind w:left="360"/>
        <w:contextualSpacing/>
        <w:jc w:val="both"/>
        <w:rPr>
          <w:rtl/>
        </w:rPr>
      </w:pPr>
      <w:r>
        <w:rPr>
          <w:rFonts w:hint="cs"/>
          <w:rtl/>
        </w:rPr>
        <w:t>היחידה המשפטית תמצי</w:t>
      </w:r>
      <w:bookmarkStart w:name="_GoBack" w:id="1"/>
      <w:bookmarkEnd w:id="1"/>
      <w:r>
        <w:rPr>
          <w:rFonts w:hint="cs"/>
          <w:rtl/>
        </w:rPr>
        <w:t xml:space="preserve">א </w:t>
      </w:r>
      <w:r w:rsidR="007F2426">
        <w:rPr>
          <w:rFonts w:hint="cs"/>
          <w:rtl/>
        </w:rPr>
        <w:t>למומחים</w:t>
      </w:r>
      <w:r>
        <w:rPr>
          <w:rFonts w:hint="cs"/>
          <w:rtl/>
        </w:rPr>
        <w:t xml:space="preserve"> כתב</w:t>
      </w:r>
      <w:r w:rsidR="007F2426">
        <w:rPr>
          <w:rFonts w:hint="cs"/>
          <w:rtl/>
        </w:rPr>
        <w:t>י</w:t>
      </w:r>
      <w:r>
        <w:rPr>
          <w:rFonts w:hint="cs"/>
          <w:rtl/>
        </w:rPr>
        <w:t xml:space="preserve"> מינוי. </w:t>
      </w:r>
    </w:p>
    <w:p w:rsidR="00313DE5" w:rsidP="00313DE5" w:rsidRDefault="00313DE5">
      <w:pPr>
        <w:spacing w:line="360" w:lineRule="auto"/>
        <w:ind w:left="360"/>
        <w:contextualSpacing/>
        <w:jc w:val="both"/>
        <w:rPr>
          <w:rtl/>
        </w:rPr>
      </w:pPr>
      <w:r>
        <w:rPr>
          <w:rFonts w:hint="cs"/>
          <w:rtl/>
        </w:rPr>
        <w:lastRenderedPageBreak/>
        <w:t>שכר המומחים בתחום האורתופדיה, עיניים, ופה ולסת</w:t>
      </w:r>
      <w:r w:rsidR="00FE6828">
        <w:rPr>
          <w:rFonts w:hint="cs"/>
          <w:rtl/>
        </w:rPr>
        <w:t xml:space="preserve"> יעמ</w:t>
      </w:r>
      <w:r>
        <w:rPr>
          <w:rFonts w:hint="cs"/>
          <w:rtl/>
        </w:rPr>
        <w:t>וד על סך של 5,000 ₪ בצירוף מע"מ.</w:t>
      </w:r>
    </w:p>
    <w:p w:rsidR="00FE6828" w:rsidP="00313DE5" w:rsidRDefault="00313DE5">
      <w:pPr>
        <w:spacing w:line="360" w:lineRule="auto"/>
        <w:ind w:left="360"/>
        <w:contextualSpacing/>
        <w:jc w:val="both"/>
      </w:pPr>
      <w:r>
        <w:rPr>
          <w:rFonts w:hint="cs"/>
          <w:rtl/>
        </w:rPr>
        <w:t xml:space="preserve">שכר המומחה בתחום הנוירולוגיה יעמוד על סך 6,000 ₪ בצירוף מע"מ.  </w:t>
      </w:r>
    </w:p>
    <w:p w:rsidR="00FE6828" w:rsidP="00826620" w:rsidRDefault="00FE6828">
      <w:pPr>
        <w:spacing w:line="360" w:lineRule="auto"/>
        <w:ind w:left="360"/>
        <w:contextualSpacing/>
        <w:jc w:val="both"/>
        <w:rPr>
          <w:rtl/>
        </w:rPr>
      </w:pPr>
      <w:r>
        <w:rPr>
          <w:rFonts w:hint="cs"/>
          <w:rtl/>
        </w:rPr>
        <w:t xml:space="preserve">בשכר המומחה תישא בשלב זה, כמימון ביניים, הנתבעת. </w:t>
      </w:r>
    </w:p>
    <w:p w:rsidR="00FE6828" w:rsidP="00826620" w:rsidRDefault="00FE6828">
      <w:pPr>
        <w:spacing w:line="360" w:lineRule="auto"/>
        <w:ind w:left="360"/>
        <w:contextualSpacing/>
        <w:jc w:val="both"/>
        <w:rPr>
          <w:rtl/>
        </w:rPr>
      </w:pPr>
      <w:r>
        <w:rPr>
          <w:rFonts w:hint="cs"/>
          <w:rtl/>
        </w:rPr>
        <w:t>ככל שלא תקבע נכות יוכלו הצדדים לטעון לעניין הוצאות בתום ההליך.</w:t>
      </w:r>
    </w:p>
    <w:p w:rsidR="00FE6828" w:rsidP="00826620" w:rsidRDefault="00FE6828">
      <w:pPr>
        <w:spacing w:line="360" w:lineRule="auto"/>
        <w:jc w:val="both"/>
        <w:rPr>
          <w:rFonts w:ascii="Calibri" w:hAnsi="Calibri" w:cs="Calibri"/>
          <w:rtl/>
          <w:lang w:eastAsia="he-IL"/>
        </w:rPr>
      </w:pPr>
    </w:p>
    <w:p w:rsidR="00FE6828" w:rsidP="00826620" w:rsidRDefault="00FE6828">
      <w:pPr>
        <w:numPr>
          <w:ilvl w:val="0"/>
          <w:numId w:val="1"/>
        </w:numPr>
        <w:spacing w:line="360" w:lineRule="auto"/>
        <w:ind w:left="360"/>
        <w:contextualSpacing/>
        <w:jc w:val="both"/>
        <w:rPr>
          <w:rtl/>
        </w:rPr>
      </w:pPr>
      <w:r>
        <w:rPr>
          <w:rFonts w:hint="cs"/>
          <w:rtl/>
        </w:rPr>
        <w:t>עם קבלת חוות דעת המומחה יגישו הצדדים תחשיבי נזק:</w:t>
      </w:r>
    </w:p>
    <w:p w:rsidR="00FE6828" w:rsidP="00826620" w:rsidRDefault="00FE6828">
      <w:pPr>
        <w:spacing w:line="360" w:lineRule="auto"/>
        <w:ind w:left="360"/>
        <w:contextualSpacing/>
        <w:jc w:val="both"/>
        <w:rPr>
          <w:rtl/>
        </w:rPr>
      </w:pPr>
      <w:r>
        <w:rPr>
          <w:rFonts w:hint="cs"/>
          <w:rtl/>
        </w:rPr>
        <w:t>התובע תוך 30 יום מקבלת חוות הדעת.</w:t>
      </w:r>
    </w:p>
    <w:p w:rsidR="00FE6828" w:rsidP="00826620" w:rsidRDefault="00FE6828">
      <w:pPr>
        <w:spacing w:line="360" w:lineRule="auto"/>
        <w:ind w:left="360"/>
        <w:contextualSpacing/>
        <w:jc w:val="both"/>
      </w:pPr>
      <w:r>
        <w:rPr>
          <w:rFonts w:hint="cs"/>
          <w:rtl/>
        </w:rPr>
        <w:t>הנתבעת תוך 30 יום מקבלת תחשיב הנזק של התובע.</w:t>
      </w:r>
    </w:p>
    <w:p w:rsidR="00FE6828" w:rsidP="00826620" w:rsidRDefault="00FE6828">
      <w:pPr>
        <w:spacing w:line="360" w:lineRule="auto"/>
        <w:ind w:left="360"/>
        <w:contextualSpacing/>
        <w:jc w:val="both"/>
      </w:pPr>
      <w:r>
        <w:rPr>
          <w:rFonts w:hint="cs"/>
          <w:rtl/>
        </w:rPr>
        <w:t>הצדדים יצרפו לתחשיב הנזק כל מסמך עליו הם מבקשים לסמוך.</w:t>
      </w:r>
    </w:p>
    <w:p w:rsidR="00FE6828" w:rsidP="00826620" w:rsidRDefault="00FE6828">
      <w:pPr>
        <w:spacing w:line="360" w:lineRule="auto"/>
        <w:ind w:left="360"/>
        <w:contextualSpacing/>
        <w:jc w:val="both"/>
        <w:rPr>
          <w:rtl/>
        </w:rPr>
      </w:pPr>
    </w:p>
    <w:p w:rsidR="00DE59D1" w:rsidP="00826620" w:rsidRDefault="00DE59D1">
      <w:pPr>
        <w:numPr>
          <w:ilvl w:val="0"/>
          <w:numId w:val="1"/>
        </w:numPr>
        <w:spacing w:line="360" w:lineRule="auto"/>
        <w:ind w:left="360"/>
        <w:contextualSpacing/>
        <w:jc w:val="both"/>
      </w:pPr>
      <w:r>
        <w:rPr>
          <w:rFonts w:hint="cs"/>
          <w:rtl/>
        </w:rPr>
        <w:t xml:space="preserve">הדיון הקבוע ליום 16/4/18 מבוטל. </w:t>
      </w:r>
    </w:p>
    <w:p w:rsidR="00DE59D1" w:rsidP="00DE59D1" w:rsidRDefault="00DE59D1">
      <w:pPr>
        <w:spacing w:line="360" w:lineRule="auto"/>
        <w:ind w:left="360"/>
        <w:contextualSpacing/>
        <w:jc w:val="both"/>
      </w:pPr>
    </w:p>
    <w:p w:rsidR="00FE6828" w:rsidP="00826620" w:rsidRDefault="00FE6828">
      <w:pPr>
        <w:numPr>
          <w:ilvl w:val="0"/>
          <w:numId w:val="1"/>
        </w:numPr>
        <w:spacing w:line="360" w:lineRule="auto"/>
        <w:ind w:left="360"/>
        <w:contextualSpacing/>
        <w:jc w:val="both"/>
        <w:rPr>
          <w:rtl/>
        </w:rPr>
      </w:pPr>
      <w:r>
        <w:rPr>
          <w:rFonts w:hint="cs"/>
          <w:rtl/>
        </w:rPr>
        <w:t xml:space="preserve">נקבע לקדם משפט (לאחר תחשיבים) ליום </w:t>
      </w:r>
      <w:r w:rsidR="00DE59D1">
        <w:rPr>
          <w:rFonts w:hint="cs"/>
          <w:rtl/>
        </w:rPr>
        <w:t xml:space="preserve">26/11/18 שעה 9:00. </w:t>
      </w:r>
    </w:p>
    <w:p w:rsidR="00FE6828" w:rsidP="00826620" w:rsidRDefault="00FE6828">
      <w:pPr>
        <w:spacing w:line="360" w:lineRule="auto"/>
        <w:ind w:left="360"/>
        <w:contextualSpacing/>
        <w:jc w:val="both"/>
        <w:rPr>
          <w:rtl/>
        </w:rPr>
      </w:pPr>
      <w:r>
        <w:rPr>
          <w:rFonts w:hint="cs"/>
          <w:rtl/>
        </w:rPr>
        <w:t xml:space="preserve">במידת האפשר תשלח הצעה בדואר והדיון יבוטל. </w:t>
      </w:r>
    </w:p>
    <w:p w:rsidR="00FE6828" w:rsidP="002723C9" w:rsidRDefault="00DE59D1">
      <w:pPr>
        <w:spacing w:line="360" w:lineRule="auto"/>
        <w:ind w:left="360"/>
        <w:contextualSpacing/>
        <w:jc w:val="both"/>
        <w:rPr>
          <w:rtl/>
        </w:rPr>
      </w:pPr>
      <w:r>
        <w:rPr>
          <w:rFonts w:hint="cs"/>
          <w:rtl/>
        </w:rPr>
        <w:t>ב"כ התובע י</w:t>
      </w:r>
      <w:r w:rsidR="00FE6828">
        <w:rPr>
          <w:rFonts w:hint="cs"/>
          <w:rtl/>
        </w:rPr>
        <w:t>גיש הודעה ביחס למועד הבדיקה שנקבע לתובע בתוך 60 יום מהיום.</w:t>
      </w:r>
    </w:p>
    <w:p w:rsidR="00FE6828" w:rsidP="00826620" w:rsidRDefault="00FE6828">
      <w:pPr>
        <w:rPr>
          <w:rtl/>
        </w:rPr>
      </w:pPr>
    </w:p>
    <w:p w:rsidR="00FE6828" w:rsidP="00826620" w:rsidRDefault="00FE6828">
      <w:pPr>
        <w:spacing w:line="360" w:lineRule="auto"/>
        <w:jc w:val="both"/>
        <w:rPr>
          <w:rFonts w:ascii="Arial" w:hAnsi="Arial"/>
          <w:rtl/>
        </w:rPr>
      </w:pPr>
    </w:p>
    <w:p w:rsidR="00FE6828" w:rsidRDefault="00FE6828"/>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6F4CC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009775" cy="109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3674b39cbb949a3" cstate="print">
                            <a:extLst>
                              <a:ext uri="{28A0092B-C50C-407E-A947-70E740481C1C}"/>
                            </a:extLst>
                          </a:blip>
                          <a:stretch>
                            <a:fillRect/>
                          </a:stretch>
                        </pic:blipFill>
                        <pic:spPr>
                          <a:xfrm>
                            <a:off x="0" y="0"/>
                            <a:ext cx="2009775" cy="1095375"/>
                          </a:xfrm>
                          <a:prstGeom prst="rect">
                            <a:avLst/>
                          </a:prstGeom>
                        </pic:spPr>
                      </pic:pic>
                    </a:graphicData>
                  </a:graphic>
                </wp:inline>
              </w:drawing>
            </w:r>
          </w:p>
        </w:sdtContent>
      </w:sdt>
    </w:p>
    <w:sectPr w:rsidR="00694556" w:rsidSect="00FE6828">
      <w:headerReference w:type="default" r:id="rId10"/>
      <w:footerReference w:type="default" r:id="rId11"/>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F4CC1">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F4CC1">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F4CC1">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ברמלה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rsidTr="00FE6828">
      <w:trPr>
        <w:trHeight w:val="524"/>
        <w:jc w:val="center"/>
      </w:trPr>
      <w:tc>
        <w:tcPr>
          <w:tcW w:w="8721" w:type="dxa"/>
          <w:gridSpan w:val="2"/>
        </w:tcPr>
        <w:p w:rsidR="007D45E3" w:rsidP="00563203" w:rsidRDefault="006F4CC1">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49814-06-17</w:t>
              </w:r>
              <w:r w:rsidR="00FE6828">
                <w:rPr>
                  <w:rFonts w:hint="cs"/>
                  <w:b/>
                  <w:bCs/>
                  <w:noProof w:val="0"/>
                  <w:sz w:val="26"/>
                  <w:szCs w:val="26"/>
                  <w:rtl/>
                </w:rPr>
                <w:t xml:space="preserve"> פלוני נ' פלוני ואח' </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4980"/>
    <w:multiLevelType w:val="hybridMultilevel"/>
    <w:tmpl w:val="57BA0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31AB"/>
    <w:rsid w:val="001D4DBF"/>
    <w:rsid w:val="001E75CA"/>
    <w:rsid w:val="002265FF"/>
    <w:rsid w:val="002379A1"/>
    <w:rsid w:val="00271B56"/>
    <w:rsid w:val="002851DD"/>
    <w:rsid w:val="002C344E"/>
    <w:rsid w:val="002E75E9"/>
    <w:rsid w:val="00307A6A"/>
    <w:rsid w:val="00307C40"/>
    <w:rsid w:val="00313DE5"/>
    <w:rsid w:val="00320433"/>
    <w:rsid w:val="003230C7"/>
    <w:rsid w:val="00327E50"/>
    <w:rsid w:val="0033597A"/>
    <w:rsid w:val="00353C94"/>
    <w:rsid w:val="00357CC1"/>
    <w:rsid w:val="00362612"/>
    <w:rsid w:val="0036743F"/>
    <w:rsid w:val="003715DD"/>
    <w:rsid w:val="003823E0"/>
    <w:rsid w:val="003A4521"/>
    <w:rsid w:val="003D1C8C"/>
    <w:rsid w:val="003D6E48"/>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26CA3"/>
    <w:rsid w:val="006306CF"/>
    <w:rsid w:val="00644E9A"/>
    <w:rsid w:val="00647309"/>
    <w:rsid w:val="00671BD5"/>
    <w:rsid w:val="006805C1"/>
    <w:rsid w:val="00686C21"/>
    <w:rsid w:val="006931C1"/>
    <w:rsid w:val="00694556"/>
    <w:rsid w:val="006C30C5"/>
    <w:rsid w:val="006D3B31"/>
    <w:rsid w:val="006E0D96"/>
    <w:rsid w:val="006E1A53"/>
    <w:rsid w:val="006F4CC1"/>
    <w:rsid w:val="006F5E84"/>
    <w:rsid w:val="00704EDA"/>
    <w:rsid w:val="00721122"/>
    <w:rsid w:val="00753019"/>
    <w:rsid w:val="00754801"/>
    <w:rsid w:val="00770E32"/>
    <w:rsid w:val="00785242"/>
    <w:rsid w:val="0079247B"/>
    <w:rsid w:val="00795365"/>
    <w:rsid w:val="007A351D"/>
    <w:rsid w:val="007B7765"/>
    <w:rsid w:val="007D45E3"/>
    <w:rsid w:val="007E6115"/>
    <w:rsid w:val="007F2426"/>
    <w:rsid w:val="007F4609"/>
    <w:rsid w:val="00814682"/>
    <w:rsid w:val="008176A1"/>
    <w:rsid w:val="00820005"/>
    <w:rsid w:val="00844318"/>
    <w:rsid w:val="00870890"/>
    <w:rsid w:val="00873602"/>
    <w:rsid w:val="00875D12"/>
    <w:rsid w:val="0088479D"/>
    <w:rsid w:val="00896889"/>
    <w:rsid w:val="008C5714"/>
    <w:rsid w:val="008D10B2"/>
    <w:rsid w:val="008E1098"/>
    <w:rsid w:val="00903896"/>
    <w:rsid w:val="00906F3D"/>
    <w:rsid w:val="009127A0"/>
    <w:rsid w:val="0094424E"/>
    <w:rsid w:val="0094505C"/>
    <w:rsid w:val="009622DF"/>
    <w:rsid w:val="00967DFF"/>
    <w:rsid w:val="00994341"/>
    <w:rsid w:val="009C7030"/>
    <w:rsid w:val="009D1A48"/>
    <w:rsid w:val="009E1CE7"/>
    <w:rsid w:val="009E4EA5"/>
    <w:rsid w:val="009F164B"/>
    <w:rsid w:val="009F323C"/>
    <w:rsid w:val="00A3392B"/>
    <w:rsid w:val="00A34887"/>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59D1"/>
    <w:rsid w:val="00DE6BF6"/>
    <w:rsid w:val="00E1068A"/>
    <w:rsid w:val="00E25884"/>
    <w:rsid w:val="00E31C2B"/>
    <w:rsid w:val="00E5426A"/>
    <w:rsid w:val="00E54642"/>
    <w:rsid w:val="00E80CBE"/>
    <w:rsid w:val="00E962E3"/>
    <w:rsid w:val="00EB6C79"/>
    <w:rsid w:val="00EC37E9"/>
    <w:rsid w:val="00F06995"/>
    <w:rsid w:val="00F13623"/>
    <w:rsid w:val="00F20734"/>
    <w:rsid w:val="00F25323"/>
    <w:rsid w:val="00F44D1D"/>
    <w:rsid w:val="00F84B6D"/>
    <w:rsid w:val="00F852D0"/>
    <w:rsid w:val="00FA5BC6"/>
    <w:rsid w:val="00FA5FDA"/>
    <w:rsid w:val="00FD0A5C"/>
    <w:rsid w:val="00FD0B58"/>
    <w:rsid w:val="00FD1419"/>
    <w:rsid w:val="00FD79E4"/>
    <w:rsid w:val="00FE2894"/>
    <w:rsid w:val="00FE682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20208A1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NormalWeb">
    <w:name w:val="Normal (Web)"/>
    <w:basedOn w:val="a"/>
    <w:rsid w:val="00FE6828"/>
    <w:pPr>
      <w:bidi w:val="0"/>
      <w:spacing w:before="15" w:after="15"/>
      <w:ind w:left="15" w:right="15"/>
    </w:pPr>
    <w:rPr>
      <w:rFonts w:ascii="Arial Unicode MS" w:eastAsia="Arial Unicode MS" w:hAnsi="Arial Unicode MS" w:cs="Arial Unicode MS"/>
      <w:noProof w:val="0"/>
      <w:lang w:eastAsia="he-IL"/>
    </w:rPr>
  </w:style>
  <w:style w:type="character" w:customStyle="1" w:styleId="clsfield1">
    <w:name w:val="clsfield1"/>
    <w:basedOn w:val="a0"/>
    <w:rsid w:val="00FE6828"/>
    <w:rPr>
      <w:shd w:val="clear" w:color="auto" w:fil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33674b39cbb949a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24E21" w:rsidP="00524E21">
          <w:pPr>
            <w:pStyle w:val="E460D38E05664FF79D4EFF282EF8EC9915"/>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24E21"/>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24E2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524E21"/>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524E2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601</Words>
  <Characters>3007</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דב גוטליב</cp:lastModifiedBy>
  <cp:revision>124</cp:revision>
  <dcterms:created xsi:type="dcterms:W3CDTF">2012-08-06T05:16:00Z</dcterms:created>
  <dcterms:modified xsi:type="dcterms:W3CDTF">2018-04-12T05:45:00Z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