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F5A52" w:rsidRDefault="0061210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1210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1210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1210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מתן כהן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DF3277" w:rsidRDefault="00DF327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בתיק זה ניתן פסק הדין בהעדר התייצבות ביום 10.4, אולם מבדיקת המזכירות מתברר כי כבר ביום 19.3 צורף האישום לתיק 3918-03-18 בבית המשפט בפתח תקווה, שם נגזר דינו של הנאשם. </w:t>
      </w:r>
    </w:p>
    <w:p w:rsidR="00DF3277" w:rsidP="00DF3277" w:rsidRDefault="00DF327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DF3277" w:rsidP="00DF3277" w:rsidRDefault="00DF32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לפיכך, פסק הדין שניתן בתיק זה מבוטל, וההליכים מופסקים.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F3277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61210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8369f36051e4ff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277" w:rsidRDefault="00DF327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1210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1210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277" w:rsidRDefault="00DF327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277" w:rsidRDefault="00DF327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F327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342EABD" wp14:editId="5934076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1210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12494-10-17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כהן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90509023413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277" w:rsidRDefault="00DF32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2101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5A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3277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5434F6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8369f36051e4ff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378D4" w:rsidP="00E378D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378D4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8D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378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66</Words>
  <Characters>330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