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E1" w:rsidP="00D46BE1" w:rsidRDefault="00D46BE1">
      <w:pPr>
        <w:suppressLineNumbers/>
        <w:spacing w:line="360" w:lineRule="auto"/>
        <w:jc w:val="right"/>
        <w:rPr>
          <w:rtl/>
        </w:rPr>
      </w:pPr>
    </w:p>
    <w:p w:rsidR="00884E46" w:rsidP="00884E46" w:rsidRDefault="00884E46">
      <w:pPr>
        <w:spacing w:line="360" w:lineRule="auto"/>
        <w:jc w:val="both"/>
        <w:rPr>
          <w:rFonts w:ascii="David" w:hAnsi="David"/>
          <w:b/>
          <w:bCs/>
          <w:noProof w:val="0"/>
          <w:sz w:val="26"/>
          <w:szCs w:val="26"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חוק החברות, התשנ"ט – 1999</w:t>
      </w:r>
    </w:p>
    <w:p w:rsidR="00884E46" w:rsidP="00884E46" w:rsidRDefault="00884E46">
      <w:pPr>
        <w:spacing w:line="360" w:lineRule="auto"/>
        <w:ind w:left="1440" w:firstLine="720"/>
        <w:rPr>
          <w:rFonts w:ascii="David" w:hAnsi="David"/>
          <w:b/>
          <w:bCs/>
          <w:noProof w:val="0"/>
          <w:sz w:val="26"/>
          <w:szCs w:val="26"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 xml:space="preserve">פקודת החברות [נוסח חדש], התשמ"ג – 1983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 xml:space="preserve">יורוקום תקשורת בע"מ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יורוקום תקשורת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יורוקום אחזקות (1979) בע"מ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יורוקום אחזקות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יורוקום נדל"ן בע"מ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 xml:space="preserve">יורוקום נדל"ן 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כולן ע"י ב"כ עוה"ד ליפא מאיר ושות', עורכי דין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asciiTheme="minorHAnsi" w:hAnsiTheme="minorHAnsi"/>
          <w:b/>
          <w:bCs/>
          <w:noProof w:val="0"/>
          <w:sz w:val="26"/>
          <w:szCs w:val="26"/>
        </w:rPr>
        <w:t>SHAYMA INVESTMENTS S.A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>או כל תאגיד שי</w:t>
      </w:r>
      <w:r w:rsidR="00123AB7">
        <w:rPr>
          <w:rFonts w:hint="cs" w:ascii="David" w:hAnsi="David"/>
          <w:b/>
          <w:bCs/>
          <w:noProof w:val="0"/>
          <w:sz w:val="26"/>
          <w:szCs w:val="26"/>
          <w:rtl/>
        </w:rPr>
        <w:t>ח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 xml:space="preserve">ליף אותה עד למועד ההשלמה שמר נתי סיידוף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ו/או עופר סיידוף ו/או תמיר כהן יחזיקו בהחזקה מהותית בו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עו"ד אמיר ברטוב, שמעונוב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המשקיע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 xml:space="preserve">עו"ד אמנון לורך, עו"ד פנחס רובין ועו"ד אורי גאון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בתוקף תפקידם כמשקיעים ביורוקום תקשורת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המשקיפים ביורוקום תקשורת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עו"ד חגי אולמן, בתוקף תפקידו כמשקיף ביורוקום נדל"ן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המשקיף ביורוקום נדל"ן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בנק הפועלים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 xml:space="preserve">ע"י ב"כ עוה"ד גורניצקי ושות'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 xml:space="preserve">בנק הפועלים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בנק דיסקונט לישראל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עו"ד יגאל ארנון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 xml:space="preserve">בנק דיסקונט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הבנק הבינלאומי הראשון לישראל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עו"ד ב. לוינבוק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הבנק הבינ"ל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 xml:space="preserve">בנק מזרחי טפחות בע"מ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בתפקידו כנציג המלווים ע"פ הסכם מימון מיום 4.12.14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בנק מזרחי טפחות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בנק לאומי לישראל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ראב"ד, מגריזו בנקל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 xml:space="preserve">בנק לאומי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 xml:space="preserve">בנק </w:t>
      </w:r>
      <w:r>
        <w:rPr>
          <w:rFonts w:hint="cs" w:ascii="David" w:hAnsi="David"/>
          <w:b/>
          <w:bCs/>
          <w:noProof w:val="0"/>
          <w:sz w:val="26"/>
          <w:szCs w:val="26"/>
        </w:rPr>
        <w:t>HSBC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וקלסר ברגמן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</w:rPr>
        <w:t>HSBC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בזק החברה הישראלית לתקשורת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מטרי, מאירי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בזק</w:t>
      </w:r>
    </w:p>
    <w:p w:rsidR="00B57D50" w:rsidP="00884E46" w:rsidRDefault="00B57D50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B57D50" w:rsidP="00884E46" w:rsidRDefault="00B57D50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lastRenderedPageBreak/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משרד התקשורת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באמצעות פרקליטות מחוז תל-אביב (אזרחי)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משרד התקשורת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רשות המיסים בישראל – אגף מס הכנסה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 xml:space="preserve">ע"י ב"כ עוה"ד מזל רנצלר וג'ריאס פאנוס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מס הכנסה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חלל תקשורת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שבלת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חלל תקשורת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1. ב.ו.ב. מדף 13 בע"מ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2. אלקטרה השקעות (1998)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שניהם ע"י ב"כ ברקמן וקסלר בלום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ישראל קנדה ואלקטרה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 xml:space="preserve">אריה בין 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שטייף, עברון, סידס, בורוכוב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 xml:space="preserve">בין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 xml:space="preserve">1. צ.מ.ח. המרמן בע"מ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2. נווה חוף צדק על הים קורפ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  <w:t>ע"י ב"כ עוה"ד שניצר גוטליב סאמט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צד לפר"ק 37667-01-18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תומר אלוני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חנוך אלוני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י. וסטמן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צד נוסף לפר"ק 37667-01-18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קבוצת הרכישה "היי טאואר גבעתיים"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lastRenderedPageBreak/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גיל הירשמן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קבוצת הרכישה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א.א. רובינשטיין נכסי דיור מוגן בע"מ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המבורגר עברון ושות'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צד נוסף לפר"ק 37667-01-18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 xml:space="preserve">ולפר"ק 37612-01-18 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ירדנה שמר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יריב שפרונג ואח'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צד נוסף לפר"ק 37667-01-18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ולפר"ק 37612-01-18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גיל אמיד</w:t>
      </w:r>
    </w:p>
    <w:p w:rsidR="00884E46" w:rsidP="00884E46" w:rsidRDefault="00884E46">
      <w:pPr>
        <w:spacing w:line="360" w:lineRule="auto"/>
        <w:rPr>
          <w:rFonts w:ascii="David" w:hAnsi="David"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>ע"י ב"כ עוה"ד רונן עדיני ואפי שאשא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המבקש בתנ"ג 37867-03-15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rtl/>
        </w:rPr>
      </w:pP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ובעניין:</w:t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rtl/>
        </w:rPr>
        <w:tab/>
        <w:t>כונס הנכסים הרשמי</w:t>
      </w:r>
    </w:p>
    <w:p w:rsidR="00884E46" w:rsidP="00884E46" w:rsidRDefault="00884E46">
      <w:pPr>
        <w:spacing w:line="360" w:lineRule="auto"/>
        <w:rPr>
          <w:rFonts w:ascii="David" w:hAnsi="David"/>
          <w:b/>
          <w:bCs/>
          <w:noProof w:val="0"/>
          <w:sz w:val="26"/>
          <w:szCs w:val="26"/>
          <w:u w:val="single"/>
          <w:rtl/>
        </w:rPr>
      </w:pP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noProof w:val="0"/>
          <w:sz w:val="26"/>
          <w:szCs w:val="26"/>
          <w:rtl/>
        </w:rPr>
        <w:tab/>
      </w:r>
      <w:r>
        <w:rPr>
          <w:rFonts w:hint="cs" w:ascii="David" w:hAnsi="David"/>
          <w:b/>
          <w:bCs/>
          <w:noProof w:val="0"/>
          <w:sz w:val="26"/>
          <w:szCs w:val="26"/>
          <w:u w:val="single"/>
          <w:rtl/>
        </w:rPr>
        <w:t>הכנ"ר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D94402" w:rsidR="00884E46" w:rsidP="00884E46" w:rsidRDefault="00884E46">
      <w:pPr>
        <w:bidi w:val="0"/>
        <w:jc w:val="both"/>
        <w:rPr>
          <w:rFonts w:ascii="Arial" w:hAnsi="Arial"/>
          <w:b/>
          <w:bCs/>
          <w:sz w:val="26"/>
          <w:szCs w:val="26"/>
        </w:rPr>
      </w:pPr>
    </w:p>
    <w:p w:rsidR="00884E46" w:rsidP="00884E46" w:rsidRDefault="00884E46">
      <w:pPr>
        <w:spacing w:line="360" w:lineRule="auto"/>
        <w:jc w:val="center"/>
        <w:rPr>
          <w:rFonts w:ascii="Arial" w:hAnsi="Arial"/>
          <w:rtl/>
        </w:rPr>
      </w:pPr>
      <w:r w:rsidRPr="00D94402">
        <w:rPr>
          <w:rFonts w:hint="cs" w:ascii="Arial" w:hAnsi="Arial"/>
          <w:b/>
          <w:bCs/>
          <w:sz w:val="26"/>
          <w:szCs w:val="26"/>
          <w:u w:val="single"/>
          <w:rtl/>
        </w:rPr>
        <w:t>החלטה</w:t>
      </w:r>
    </w:p>
    <w:p w:rsidR="00884E46" w:rsidRDefault="00884E46">
      <w:pPr>
        <w:spacing w:line="360" w:lineRule="auto"/>
        <w:jc w:val="both"/>
        <w:rPr>
          <w:rFonts w:ascii="Arial" w:hAnsi="Arial"/>
          <w:rtl/>
        </w:rPr>
      </w:pPr>
    </w:p>
    <w:p w:rsidR="003A1911" w:rsidP="00E978B4" w:rsidRDefault="00E978B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</w:r>
      <w:r w:rsidRPr="00E978B4">
        <w:rPr>
          <w:rFonts w:hint="cs" w:ascii="Arial" w:hAnsi="Arial"/>
          <w:b/>
          <w:bCs/>
          <w:u w:val="single"/>
          <w:rtl/>
        </w:rPr>
        <w:t>כללי</w:t>
      </w:r>
      <w:r>
        <w:rPr>
          <w:rFonts w:hint="cs" w:ascii="Arial" w:hAnsi="Arial"/>
          <w:rtl/>
        </w:rPr>
        <w:t xml:space="preserve"> </w:t>
      </w:r>
    </w:p>
    <w:p w:rsidR="00E978B4" w:rsidP="00325DF9" w:rsidRDefault="00E978B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 xml:space="preserve">מונחות לפני בקשות לאישור הסדר נושים בשלוש החברות שבכותרת הנמנות על קבוצת חברות </w:t>
      </w:r>
      <w:r w:rsidR="00B56FC9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>יורוקום</w:t>
      </w:r>
      <w:r w:rsidR="00B56FC9">
        <w:rPr>
          <w:rFonts w:hint="cs" w:ascii="Arial" w:hAnsi="Arial"/>
          <w:rtl/>
        </w:rPr>
        <w:t>"</w:t>
      </w:r>
      <w:r>
        <w:rPr>
          <w:rFonts w:hint="cs" w:ascii="Arial" w:hAnsi="Arial"/>
          <w:rtl/>
        </w:rPr>
        <w:t xml:space="preserve"> (להלן: </w:t>
      </w:r>
      <w:r w:rsidRPr="00AA5F43">
        <w:rPr>
          <w:rFonts w:hint="cs" w:ascii="Arial" w:hAnsi="Arial"/>
          <w:b/>
          <w:bCs/>
          <w:rtl/>
        </w:rPr>
        <w:t>"החברות"</w:t>
      </w:r>
      <w:r>
        <w:rPr>
          <w:rFonts w:hint="cs" w:ascii="Arial" w:hAnsi="Arial"/>
          <w:rtl/>
        </w:rPr>
        <w:t>)</w:t>
      </w:r>
      <w:r w:rsidR="00315031">
        <w:rPr>
          <w:rFonts w:hint="cs" w:ascii="Arial" w:hAnsi="Arial"/>
          <w:rtl/>
        </w:rPr>
        <w:t xml:space="preserve">, וכקבוע בסעיף 350 לחוק החברות התשנ"ט-1999 (להלן: </w:t>
      </w:r>
      <w:r w:rsidRPr="00315031" w:rsidR="00315031">
        <w:rPr>
          <w:rFonts w:hint="cs" w:ascii="Arial" w:hAnsi="Arial"/>
          <w:b/>
          <w:bCs/>
          <w:rtl/>
        </w:rPr>
        <w:t>"חוק החברות"</w:t>
      </w:r>
      <w:r w:rsidR="00315031">
        <w:rPr>
          <w:rFonts w:hint="cs" w:ascii="Arial" w:hAnsi="Arial"/>
          <w:rtl/>
        </w:rPr>
        <w:t>).</w:t>
      </w:r>
    </w:p>
    <w:p w:rsidR="00AA5F43" w:rsidP="00E978B4" w:rsidRDefault="00AA5F43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E978B4" w:rsidP="00B56FC9" w:rsidRDefault="00315031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 </w:t>
      </w:r>
      <w:r w:rsidR="00E978B4">
        <w:rPr>
          <w:rFonts w:ascii="Arial" w:hAnsi="Arial"/>
          <w:rtl/>
        </w:rPr>
        <w:tab/>
      </w:r>
      <w:r w:rsidR="00E978B4">
        <w:rPr>
          <w:rFonts w:hint="cs" w:ascii="Arial" w:hAnsi="Arial"/>
          <w:rtl/>
        </w:rPr>
        <w:t xml:space="preserve">עסקינן בהסדר ביחס לכל אחת מהחברות אך בהינתן שחברת יורוקום תקשורת בע"מ </w:t>
      </w:r>
      <w:r w:rsidR="00B56FC9">
        <w:rPr>
          <w:rFonts w:hint="cs" w:ascii="Arial" w:hAnsi="Arial"/>
          <w:rtl/>
        </w:rPr>
        <w:t xml:space="preserve">(להלן: </w:t>
      </w:r>
      <w:r w:rsidRPr="00B56FC9" w:rsidR="00B56FC9">
        <w:rPr>
          <w:rFonts w:hint="cs" w:ascii="Arial" w:hAnsi="Arial"/>
          <w:b/>
          <w:bCs/>
          <w:rtl/>
        </w:rPr>
        <w:t>"יורוקום תקשורת"</w:t>
      </w:r>
      <w:r w:rsidR="00B56FC9">
        <w:rPr>
          <w:rFonts w:hint="cs" w:ascii="Arial" w:hAnsi="Arial"/>
          <w:rtl/>
        </w:rPr>
        <w:t xml:space="preserve">) </w:t>
      </w:r>
      <w:r w:rsidR="00E978B4">
        <w:rPr>
          <w:rFonts w:hint="cs" w:ascii="Arial" w:hAnsi="Arial"/>
          <w:rtl/>
        </w:rPr>
        <w:t xml:space="preserve">מהווה את המרכיב המרכזי של החברות </w:t>
      </w:r>
      <w:r w:rsidR="00B56FC9">
        <w:rPr>
          <w:rFonts w:hint="cs" w:ascii="Arial" w:hAnsi="Arial"/>
          <w:rtl/>
        </w:rPr>
        <w:t>ב</w:t>
      </w:r>
      <w:r w:rsidR="00E978B4">
        <w:rPr>
          <w:rFonts w:hint="cs" w:ascii="Arial" w:hAnsi="Arial"/>
          <w:rtl/>
        </w:rPr>
        <w:t xml:space="preserve">קבוצת יורוקום נדרש הסדר גם בחברות האחרות. </w:t>
      </w:r>
    </w:p>
    <w:p w:rsidR="00AA5F43" w:rsidP="00E978B4" w:rsidRDefault="00AA5F43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E978B4" w:rsidP="00B56FC9" w:rsidRDefault="00E978B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 w:rsidR="00AA5F43">
        <w:rPr>
          <w:rFonts w:hint="cs" w:ascii="Arial" w:hAnsi="Arial"/>
          <w:rtl/>
        </w:rPr>
        <w:t xml:space="preserve">ההסדר מושתת על הצעת </w:t>
      </w:r>
      <w:r w:rsidR="00B56FC9">
        <w:rPr>
          <w:rFonts w:hint="cs" w:ascii="Arial" w:hAnsi="Arial"/>
          <w:rtl/>
        </w:rPr>
        <w:t>ה</w:t>
      </w:r>
      <w:r w:rsidR="00AA5F43">
        <w:rPr>
          <w:rFonts w:hint="cs" w:ascii="Arial" w:hAnsi="Arial"/>
          <w:rtl/>
        </w:rPr>
        <w:t>משקיע כהגדרתו בכותרת</w:t>
      </w:r>
      <w:r w:rsidR="00B56FC9">
        <w:rPr>
          <w:rFonts w:hint="cs" w:ascii="Arial" w:hAnsi="Arial"/>
          <w:rtl/>
        </w:rPr>
        <w:t>,</w:t>
      </w:r>
      <w:r w:rsidR="00AA5F43">
        <w:rPr>
          <w:rFonts w:hint="cs" w:ascii="Arial" w:hAnsi="Arial"/>
          <w:rtl/>
        </w:rPr>
        <w:t xml:space="preserve"> שהינה חברה בבעלות </w:t>
      </w:r>
      <w:r w:rsidR="00B56FC9">
        <w:rPr>
          <w:rFonts w:hint="cs" w:ascii="Arial" w:hAnsi="Arial"/>
          <w:rtl/>
        </w:rPr>
        <w:t xml:space="preserve">של </w:t>
      </w:r>
      <w:r w:rsidR="00AA5F43">
        <w:rPr>
          <w:rFonts w:hint="cs" w:ascii="Arial" w:hAnsi="Arial"/>
          <w:rtl/>
        </w:rPr>
        <w:t xml:space="preserve">מר נתי סיידוף (להלן: </w:t>
      </w:r>
      <w:r w:rsidRPr="00AA5F43" w:rsidR="00AA5F43">
        <w:rPr>
          <w:rFonts w:hint="cs" w:ascii="Arial" w:hAnsi="Arial"/>
          <w:b/>
          <w:bCs/>
          <w:rtl/>
        </w:rPr>
        <w:t>"המשקיע"</w:t>
      </w:r>
      <w:r w:rsidR="00AA5F43">
        <w:rPr>
          <w:rFonts w:hint="cs" w:ascii="Arial" w:hAnsi="Arial"/>
          <w:rtl/>
        </w:rPr>
        <w:t xml:space="preserve">) </w:t>
      </w:r>
      <w:r>
        <w:rPr>
          <w:rFonts w:hint="cs" w:ascii="Arial" w:hAnsi="Arial"/>
          <w:rtl/>
        </w:rPr>
        <w:t>אשר יזרים סך של 350 מיליון ₪ לקופת ההסדר</w:t>
      </w:r>
      <w:r w:rsidR="00AA5F43">
        <w:rPr>
          <w:rFonts w:hint="cs" w:ascii="Arial" w:hAnsi="Arial"/>
          <w:rtl/>
        </w:rPr>
        <w:t xml:space="preserve">. הוראות נוספות בהסדר הנושים הינן: </w:t>
      </w:r>
      <w:r>
        <w:rPr>
          <w:rFonts w:hint="cs" w:ascii="Arial" w:hAnsi="Arial"/>
          <w:rtl/>
        </w:rPr>
        <w:t xml:space="preserve">ירוקום תקשורת תחזיק לאחר ההסדר בבעלות מלאה ובשליטה של נכסים מרכזיים בקבוצת החברות ובין אלה: מניות באינטרנט זהב, מניות בחברת חלל תקשורת, מניות בחברת אנלייט, </w:t>
      </w:r>
      <w:r w:rsidR="00B56FC9">
        <w:rPr>
          <w:rFonts w:hint="cs" w:ascii="Arial" w:hAnsi="Arial"/>
          <w:rtl/>
        </w:rPr>
        <w:t>ב</w:t>
      </w:r>
      <w:r>
        <w:rPr>
          <w:rFonts w:hint="cs" w:ascii="Arial" w:hAnsi="Arial"/>
          <w:rtl/>
        </w:rPr>
        <w:t>חלקה של חברת יורוקום נדל"ן בע"מ בפרוייקט הנדל"ן הידוע בשם "מידטאון". הוראות אחרות בהסדר הינן</w:t>
      </w:r>
      <w:r w:rsidR="00B56FC9">
        <w:rPr>
          <w:rFonts w:hint="cs" w:ascii="Arial" w:hAnsi="Arial"/>
          <w:rtl/>
        </w:rPr>
        <w:t>:</w:t>
      </w:r>
      <w:r>
        <w:rPr>
          <w:rFonts w:hint="cs" w:ascii="Arial" w:hAnsi="Arial"/>
          <w:rtl/>
        </w:rPr>
        <w:t xml:space="preserve"> חוב של יורוקום תקשורת לקופת ההסדר בסך של 323 מיליון ₪; המשקיע ירכוש מקונסורציום של נושי יורוקום נדל"ן בע"מ בניהול בנ</w:t>
      </w:r>
      <w:r w:rsidR="00AA5F43">
        <w:rPr>
          <w:rFonts w:hint="cs" w:ascii="Arial" w:hAnsi="Arial"/>
          <w:rtl/>
        </w:rPr>
        <w:t xml:space="preserve">ק מזרחי חלק מהחוב וחלקו האחר יפרע </w:t>
      </w:r>
      <w:r w:rsidR="00B56FC9">
        <w:rPr>
          <w:rFonts w:hint="cs" w:ascii="Arial" w:hAnsi="Arial"/>
          <w:rtl/>
        </w:rPr>
        <w:t>במועד נדחה</w:t>
      </w:r>
      <w:r w:rsidR="00AA5F43">
        <w:rPr>
          <w:rFonts w:hint="cs" w:ascii="Arial" w:hAnsi="Arial"/>
          <w:rtl/>
        </w:rPr>
        <w:t xml:space="preserve">; הזרמות </w:t>
      </w:r>
      <w:r w:rsidR="00B56FC9">
        <w:rPr>
          <w:rFonts w:hint="cs" w:ascii="Arial" w:hAnsi="Arial"/>
          <w:rtl/>
        </w:rPr>
        <w:t>ה</w:t>
      </w:r>
      <w:r w:rsidR="00AA5F43">
        <w:rPr>
          <w:rFonts w:hint="cs" w:ascii="Arial" w:hAnsi="Arial"/>
          <w:rtl/>
        </w:rPr>
        <w:t>משקיע יעשו בדרך של מתן הלוואה ליורוקום תקשורת ותינתן למשקיע אופציה לקבלת שליטה בחברה שתהיה ניתנת למימוש לאחר קבלת היתר השליטה מהגורמים הרגולטוריים.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15031" w:rsidP="001F5797" w:rsidRDefault="00315031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שלוש החברות כינסו אסיפות נושים כנדרש לפי סעיף 350 לחוק החברות. אסיפות הנושים של יורוקום תקשורת בע"מ ו</w:t>
      </w:r>
      <w:r w:rsidR="00B56FC9">
        <w:rPr>
          <w:rFonts w:hint="cs" w:ascii="Arial" w:hAnsi="Arial"/>
          <w:rtl/>
        </w:rPr>
        <w:t xml:space="preserve">של </w:t>
      </w:r>
      <w:r>
        <w:rPr>
          <w:rFonts w:hint="cs" w:ascii="Arial" w:hAnsi="Arial"/>
          <w:rtl/>
        </w:rPr>
        <w:t>יורוקום אחזקות (1979) בע"מ</w:t>
      </w:r>
      <w:r w:rsidR="00B56FC9">
        <w:rPr>
          <w:rFonts w:hint="cs" w:ascii="Arial" w:hAnsi="Arial"/>
          <w:rtl/>
        </w:rPr>
        <w:t>,</w:t>
      </w:r>
      <w:r>
        <w:rPr>
          <w:rFonts w:hint="cs" w:ascii="Arial" w:hAnsi="Arial"/>
          <w:rtl/>
        </w:rPr>
        <w:t xml:space="preserve"> אישרו את ההסדר ברוב הדרוש. </w:t>
      </w:r>
    </w:p>
    <w:p w:rsidR="00315031" w:rsidP="00957E80" w:rsidRDefault="002126C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 xml:space="preserve">אסיפות הנושים של </w:t>
      </w:r>
      <w:r w:rsidR="00315031">
        <w:rPr>
          <w:rFonts w:hint="cs" w:ascii="Arial" w:hAnsi="Arial"/>
          <w:rtl/>
        </w:rPr>
        <w:t xml:space="preserve">יורוקום נדל"ן לא אישרו את </w:t>
      </w:r>
      <w:r>
        <w:rPr>
          <w:rFonts w:hint="cs" w:ascii="Arial" w:hAnsi="Arial"/>
          <w:rtl/>
        </w:rPr>
        <w:t xml:space="preserve">ההסדר בכל אחת מאסיפות הסוג. חרף זאת, הוגשה הבקשה לאישור ההסדר לכל החברות. </w:t>
      </w:r>
      <w:r w:rsidR="00957E80">
        <w:rPr>
          <w:rFonts w:hint="cs" w:ascii="Arial" w:hAnsi="Arial"/>
          <w:rtl/>
        </w:rPr>
        <w:t xml:space="preserve">אדגיש שהבקשה </w:t>
      </w:r>
      <w:r>
        <w:rPr>
          <w:rFonts w:hint="cs" w:ascii="Arial" w:hAnsi="Arial"/>
          <w:rtl/>
        </w:rPr>
        <w:t xml:space="preserve">הוגשה באישור ובהסכמת המשקיע וכמצויין בכותרת הבקשה. </w:t>
      </w:r>
    </w:p>
    <w:p w:rsidR="002126C9" w:rsidP="002126C9" w:rsidRDefault="002126C9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בגוף הבקשה התייחסו החברות לתרחיש חילופי </w:t>
      </w:r>
      <w:r w:rsidR="00957E80">
        <w:rPr>
          <w:rFonts w:hint="cs" w:ascii="Arial" w:hAnsi="Arial"/>
          <w:rtl/>
        </w:rPr>
        <w:t xml:space="preserve">שכפוף להסכמת הבנקים והמשקיע </w:t>
      </w:r>
      <w:r>
        <w:rPr>
          <w:rFonts w:hint="cs" w:ascii="Arial" w:hAnsi="Arial"/>
          <w:rtl/>
        </w:rPr>
        <w:t xml:space="preserve">למקרה שההסדר לא יאושר נוכח התנגדות הנושים של יורוקום נדל"ן וכמפורט בסעיפים 30-38 לבקשה. </w:t>
      </w:r>
    </w:p>
    <w:p w:rsidR="002126C9" w:rsidP="002126C9" w:rsidRDefault="002126C9">
      <w:pPr>
        <w:spacing w:line="360" w:lineRule="auto"/>
        <w:jc w:val="both"/>
        <w:rPr>
          <w:rFonts w:ascii="Arial" w:hAnsi="Arial"/>
          <w:rtl/>
        </w:rPr>
      </w:pPr>
    </w:p>
    <w:p w:rsidR="002126C9" w:rsidP="005301DF" w:rsidRDefault="002126C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>הוריתי על הגשת התנגדויות לבקשה ואכן הוגשו</w:t>
      </w:r>
      <w:r w:rsidR="005301DF">
        <w:rPr>
          <w:rFonts w:hint="cs" w:ascii="Arial" w:hAnsi="Arial"/>
          <w:rtl/>
        </w:rPr>
        <w:t>:</w:t>
      </w:r>
      <w:r>
        <w:rPr>
          <w:rFonts w:hint="cs" w:ascii="Arial" w:hAnsi="Arial"/>
          <w:rtl/>
        </w:rPr>
        <w:t xml:space="preserve"> התנגדויות של נושי יורוקום נדל"ן</w:t>
      </w:r>
      <w:r w:rsidR="00957E80">
        <w:rPr>
          <w:rFonts w:hint="cs" w:ascii="Arial" w:hAnsi="Arial"/>
          <w:rtl/>
        </w:rPr>
        <w:t>;</w:t>
      </w:r>
      <w:r>
        <w:rPr>
          <w:rFonts w:hint="cs" w:ascii="Arial" w:hAnsi="Arial"/>
          <w:rtl/>
        </w:rPr>
        <w:t xml:space="preserve"> הנושה המובטח, קרי, בנק המזרחי בשם הקונסורציום</w:t>
      </w:r>
      <w:r w:rsidR="005301DF">
        <w:rPr>
          <w:rFonts w:hint="cs" w:ascii="Arial" w:hAnsi="Arial"/>
          <w:rtl/>
        </w:rPr>
        <w:t>;</w:t>
      </w:r>
      <w:r>
        <w:rPr>
          <w:rFonts w:hint="cs" w:ascii="Arial" w:hAnsi="Arial"/>
          <w:rtl/>
        </w:rPr>
        <w:t xml:space="preserve"> רשויות המס שהינו נושה בדין קדימה</w:t>
      </w:r>
      <w:r w:rsidR="005301DF">
        <w:rPr>
          <w:rFonts w:hint="cs" w:ascii="Arial" w:hAnsi="Arial"/>
          <w:rtl/>
        </w:rPr>
        <w:t>;</w:t>
      </w:r>
      <w:r>
        <w:rPr>
          <w:rFonts w:hint="cs" w:ascii="Arial" w:hAnsi="Arial"/>
          <w:rtl/>
        </w:rPr>
        <w:t xml:space="preserve"> חלק מהנושים הרגילים. לא ראיתי מקום להדרש להנמקות המתנגדים לצורך הכרעתי בבקשה זו </w:t>
      </w:r>
      <w:r>
        <w:rPr>
          <w:rFonts w:hint="cs" w:ascii="Arial" w:hAnsi="Arial"/>
          <w:rtl/>
        </w:rPr>
        <w:lastRenderedPageBreak/>
        <w:t xml:space="preserve">ועניין זה ידון בהמשך במידת הצורך. עם זאת אציין שבנק המזרחי הגיש בקשה למימוש השעבודים (פר"ק 49825-12-17). בקשת המימוש קבועה לדיון ליום 22.4.18. </w:t>
      </w:r>
    </w:p>
    <w:p w:rsidR="002126C9" w:rsidP="002126C9" w:rsidRDefault="002126C9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02076" w:rsidP="005301DF" w:rsidRDefault="002126C9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</w:r>
      <w:r w:rsidR="005F7295">
        <w:rPr>
          <w:rFonts w:hint="cs" w:ascii="Arial" w:hAnsi="Arial"/>
          <w:rtl/>
        </w:rPr>
        <w:t xml:space="preserve">זה המקום לציין </w:t>
      </w:r>
      <w:r w:rsidR="00002076">
        <w:rPr>
          <w:rFonts w:hint="cs" w:ascii="Arial" w:hAnsi="Arial"/>
          <w:rtl/>
        </w:rPr>
        <w:t>כי בנק הפועלים בע"מ הגיש בקשה לפירוק חברת יורוקום תקשורת (פר"ק  42633-12-17). במסגרת תיק הפירוק מיניתי את ב"כ בנק הפועלים, בנק דיסקונט ישראל בע"מ והבנק הבינלאומי הראשון לישראל בע"מ כמשקיפים לחברה</w:t>
      </w:r>
      <w:r w:rsidR="007F5946">
        <w:rPr>
          <w:rFonts w:hint="cs" w:ascii="Arial" w:hAnsi="Arial"/>
          <w:rtl/>
        </w:rPr>
        <w:t xml:space="preserve"> (להלן: </w:t>
      </w:r>
      <w:r w:rsidRPr="007F5946" w:rsidR="007F5946">
        <w:rPr>
          <w:rFonts w:hint="cs" w:ascii="Arial" w:hAnsi="Arial"/>
          <w:b/>
          <w:bCs/>
          <w:rtl/>
        </w:rPr>
        <w:t>"המשקיפים"</w:t>
      </w:r>
      <w:r w:rsidR="007F5946">
        <w:rPr>
          <w:rFonts w:hint="cs" w:ascii="Arial" w:hAnsi="Arial"/>
          <w:rtl/>
        </w:rPr>
        <w:t>)</w:t>
      </w:r>
      <w:r w:rsidR="00002076">
        <w:rPr>
          <w:rFonts w:hint="cs" w:ascii="Arial" w:hAnsi="Arial"/>
          <w:rtl/>
        </w:rPr>
        <w:t xml:space="preserve">. בקשת הפירוק קבועה אף היא לדיון ליום 22.4.18. </w:t>
      </w:r>
    </w:p>
    <w:p w:rsidR="00002076" w:rsidP="00002076" w:rsidRDefault="00002076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02076" w:rsidP="005301DF" w:rsidRDefault="00002076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סמוך לפני הדיון </w:t>
      </w:r>
      <w:r w:rsidR="005301DF">
        <w:rPr>
          <w:rFonts w:hint="cs" w:ascii="Arial" w:hAnsi="Arial"/>
          <w:rtl/>
        </w:rPr>
        <w:t xml:space="preserve">ביום 20.3.18 </w:t>
      </w:r>
      <w:r>
        <w:rPr>
          <w:rFonts w:hint="cs" w:ascii="Arial" w:hAnsi="Arial"/>
          <w:rtl/>
        </w:rPr>
        <w:t xml:space="preserve">הודיע המשקיע שההצעה אינה עומדת ממספר טעמים </w:t>
      </w:r>
      <w:r w:rsidR="009C5060">
        <w:rPr>
          <w:rFonts w:hint="cs" w:ascii="Arial" w:hAnsi="Arial"/>
          <w:rtl/>
        </w:rPr>
        <w:t xml:space="preserve">ובין אלה שחל שינוי מהותי לרעה במדיניות הדיבידנדים של "בזק החברה הישראלית לתקשורת בע"מ" (להלן: </w:t>
      </w:r>
      <w:r w:rsidRPr="009C5060" w:rsidR="009C5060">
        <w:rPr>
          <w:rFonts w:hint="cs" w:ascii="Arial" w:hAnsi="Arial"/>
          <w:b/>
          <w:bCs/>
          <w:rtl/>
        </w:rPr>
        <w:t>"בזק"</w:t>
      </w:r>
      <w:r w:rsidR="009C5060">
        <w:rPr>
          <w:rFonts w:hint="cs" w:ascii="Arial" w:hAnsi="Arial"/>
          <w:rtl/>
        </w:rPr>
        <w:t>) כמו גם יכולת השליטה בבזק נפגעה מהותית בנוסף טען ש</w:t>
      </w:r>
      <w:r w:rsidR="007F5946">
        <w:rPr>
          <w:rFonts w:hint="cs" w:ascii="Arial" w:hAnsi="Arial"/>
          <w:rtl/>
        </w:rPr>
        <w:t xml:space="preserve">התנאים המתלים </w:t>
      </w:r>
      <w:r w:rsidR="005301DF">
        <w:rPr>
          <w:rFonts w:hint="cs" w:ascii="Arial" w:hAnsi="Arial"/>
          <w:rtl/>
        </w:rPr>
        <w:t xml:space="preserve"> שבהצעתו </w:t>
      </w:r>
      <w:r>
        <w:rPr>
          <w:rFonts w:hint="cs" w:ascii="Arial" w:hAnsi="Arial"/>
          <w:rtl/>
        </w:rPr>
        <w:t xml:space="preserve">לא התקיימו. משכך </w:t>
      </w:r>
      <w:r w:rsidR="009C5060">
        <w:rPr>
          <w:rFonts w:hint="cs" w:ascii="Arial" w:hAnsi="Arial"/>
          <w:rtl/>
        </w:rPr>
        <w:t xml:space="preserve">לגישתו על המשקיפים להשיב לו </w:t>
      </w:r>
      <w:r w:rsidR="007F5946">
        <w:rPr>
          <w:rFonts w:hint="cs" w:ascii="Arial" w:hAnsi="Arial"/>
          <w:rtl/>
        </w:rPr>
        <w:t xml:space="preserve">את הפקדון בסך 50 מיליון ₪ </w:t>
      </w:r>
      <w:r w:rsidR="009C5060">
        <w:rPr>
          <w:rFonts w:hint="cs" w:ascii="Arial" w:hAnsi="Arial"/>
          <w:rtl/>
        </w:rPr>
        <w:t>שהוא הפקיד בידיהם</w:t>
      </w:r>
      <w:r w:rsidR="005301DF">
        <w:rPr>
          <w:rFonts w:hint="cs" w:ascii="Arial" w:hAnsi="Arial"/>
          <w:rtl/>
        </w:rPr>
        <w:t xml:space="preserve"> (להלן: </w:t>
      </w:r>
      <w:r w:rsidRPr="005301DF" w:rsidR="005301DF">
        <w:rPr>
          <w:rFonts w:hint="cs" w:ascii="Arial" w:hAnsi="Arial"/>
          <w:b/>
          <w:bCs/>
          <w:rtl/>
        </w:rPr>
        <w:t>"הפקדון"</w:t>
      </w:r>
      <w:r w:rsidR="005301DF">
        <w:rPr>
          <w:rFonts w:hint="cs" w:ascii="Arial" w:hAnsi="Arial"/>
          <w:rtl/>
        </w:rPr>
        <w:t>)</w:t>
      </w:r>
      <w:r w:rsidR="009C5060">
        <w:rPr>
          <w:rFonts w:hint="cs" w:ascii="Arial" w:hAnsi="Arial"/>
          <w:rtl/>
        </w:rPr>
        <w:t>.</w:t>
      </w:r>
      <w:r w:rsidR="007F5946">
        <w:rPr>
          <w:rFonts w:hint="cs" w:ascii="Arial" w:hAnsi="Arial"/>
          <w:rtl/>
        </w:rPr>
        <w:t xml:space="preserve"> החברה והבנקים כמו גם המשקיפים חלקו על עמדת המשקיע</w:t>
      </w:r>
      <w:r w:rsidR="005301DF">
        <w:rPr>
          <w:rFonts w:hint="cs" w:ascii="Arial" w:hAnsi="Arial"/>
          <w:rtl/>
        </w:rPr>
        <w:t>.</w:t>
      </w:r>
      <w:r w:rsidR="009C5060">
        <w:rPr>
          <w:rFonts w:hint="cs" w:ascii="Arial" w:hAnsi="Arial"/>
          <w:rtl/>
        </w:rPr>
        <w:t xml:space="preserve"> להשקפתם </w:t>
      </w:r>
      <w:r w:rsidR="005301DF">
        <w:rPr>
          <w:rFonts w:hint="cs" w:ascii="Arial" w:hAnsi="Arial"/>
          <w:rtl/>
        </w:rPr>
        <w:t xml:space="preserve">הורע </w:t>
      </w:r>
      <w:r w:rsidR="009C5060">
        <w:rPr>
          <w:rFonts w:hint="cs" w:ascii="Arial" w:hAnsi="Arial"/>
          <w:rtl/>
        </w:rPr>
        <w:t xml:space="preserve">מצב החברות וכן </w:t>
      </w:r>
      <w:r w:rsidR="005301DF">
        <w:rPr>
          <w:rFonts w:hint="cs" w:ascii="Arial" w:hAnsi="Arial"/>
          <w:rtl/>
        </w:rPr>
        <w:t xml:space="preserve">של </w:t>
      </w:r>
      <w:r w:rsidR="009C5060">
        <w:rPr>
          <w:rFonts w:hint="cs" w:ascii="Arial" w:hAnsi="Arial"/>
          <w:rtl/>
        </w:rPr>
        <w:t xml:space="preserve">בזק, ולמצער </w:t>
      </w:r>
      <w:r w:rsidR="005301DF">
        <w:rPr>
          <w:rFonts w:hint="cs" w:ascii="Arial" w:hAnsi="Arial"/>
          <w:rtl/>
        </w:rPr>
        <w:t xml:space="preserve">באופן </w:t>
      </w:r>
      <w:r w:rsidR="009C5060">
        <w:rPr>
          <w:rFonts w:hint="cs" w:ascii="Arial" w:hAnsi="Arial"/>
          <w:rtl/>
        </w:rPr>
        <w:t xml:space="preserve">שמאיין את הצעת המשקיע, כי הצעתו מחייבת ועומדת בעינה. </w:t>
      </w:r>
    </w:p>
    <w:p w:rsidR="007F5946" w:rsidP="00002076" w:rsidRDefault="007F5946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002076" w:rsidP="009C5060" w:rsidRDefault="007F5946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</w:t>
      </w:r>
      <w:r w:rsidR="00002076">
        <w:rPr>
          <w:rFonts w:hint="cs" w:ascii="Arial" w:hAnsi="Arial"/>
          <w:rtl/>
        </w:rPr>
        <w:t>.</w:t>
      </w:r>
      <w:r w:rsidR="00002076">
        <w:rPr>
          <w:rFonts w:hint="cs" w:ascii="Arial" w:hAnsi="Arial"/>
          <w:rtl/>
        </w:rPr>
        <w:tab/>
      </w:r>
      <w:r w:rsidR="009C5060">
        <w:rPr>
          <w:rFonts w:hint="cs" w:ascii="Arial" w:hAnsi="Arial"/>
          <w:rtl/>
        </w:rPr>
        <w:t xml:space="preserve">ביום 20.3.18 </w:t>
      </w:r>
      <w:r w:rsidR="00002076">
        <w:rPr>
          <w:rFonts w:hint="cs" w:ascii="Arial" w:hAnsi="Arial"/>
          <w:rtl/>
        </w:rPr>
        <w:t xml:space="preserve">התקיים דיון בבקשה במעמד הצדדים. בתום הדיון ולאחר שנערכו </w:t>
      </w:r>
      <w:r>
        <w:rPr>
          <w:rFonts w:hint="cs" w:ascii="Arial" w:hAnsi="Arial"/>
          <w:rtl/>
        </w:rPr>
        <w:t xml:space="preserve">במהלכו </w:t>
      </w:r>
      <w:r w:rsidR="00002076">
        <w:rPr>
          <w:rFonts w:hint="cs" w:ascii="Arial" w:hAnsi="Arial"/>
          <w:rtl/>
        </w:rPr>
        <w:t>הפסקות</w:t>
      </w:r>
      <w:r>
        <w:rPr>
          <w:rFonts w:hint="cs" w:ascii="Arial" w:hAnsi="Arial"/>
          <w:rtl/>
        </w:rPr>
        <w:t xml:space="preserve">, ניתנה החלטתי שלפיה יש מקום לבחון היתכנות של מתווה הסדר אחר, זאת מבלי לגרוע מכל טענה של כל צד או להוות ויתור על כל טענה. המשך הדיון נקבע להיום. </w:t>
      </w:r>
    </w:p>
    <w:p w:rsidR="007F5946" w:rsidP="007F5946" w:rsidRDefault="007F5946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9C5060" w:rsidP="009C5060" w:rsidRDefault="009C5060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 w:rsidR="007F5946">
        <w:rPr>
          <w:rFonts w:ascii="Arial" w:hAnsi="Arial"/>
          <w:rtl/>
        </w:rPr>
        <w:tab/>
      </w:r>
      <w:r w:rsidR="007F5946">
        <w:rPr>
          <w:rFonts w:hint="cs" w:ascii="Arial" w:hAnsi="Arial"/>
          <w:rtl/>
        </w:rPr>
        <w:t>לדאבוני לא עלה בידי הצדדים להגיע להסכמה בדבר מתווה חלופי במהלך התקופה שחלפה מאז הדיון הקודם</w:t>
      </w:r>
      <w:r>
        <w:rPr>
          <w:rFonts w:hint="cs" w:ascii="Arial" w:hAnsi="Arial"/>
          <w:rtl/>
        </w:rPr>
        <w:t xml:space="preserve">. </w:t>
      </w:r>
      <w:r w:rsidR="007F5946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 xml:space="preserve">יתרה מזאת, </w:t>
      </w:r>
      <w:r w:rsidR="007F5946">
        <w:rPr>
          <w:rFonts w:hint="cs" w:ascii="Arial" w:hAnsi="Arial"/>
          <w:rtl/>
        </w:rPr>
        <w:t xml:space="preserve">בנק המזרחי </w:t>
      </w:r>
      <w:r>
        <w:rPr>
          <w:rFonts w:hint="cs" w:ascii="Arial" w:hAnsi="Arial"/>
          <w:rtl/>
        </w:rPr>
        <w:t xml:space="preserve">טוען כי חלה הרעה בשווי הבטוחות שבידו מאז הדיון הקודם, ומשכך יש דחיפות בהעתרות לבקשתו למימוש השעבודים. </w:t>
      </w:r>
    </w:p>
    <w:p w:rsidR="00D164EF" w:rsidP="002126C9" w:rsidRDefault="00D164EF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6E65C2" w:rsidP="00F84C17" w:rsidRDefault="00D164EF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7.</w:t>
      </w:r>
      <w:r>
        <w:rPr>
          <w:rFonts w:hint="cs" w:ascii="Arial" w:hAnsi="Arial"/>
          <w:rtl/>
        </w:rPr>
        <w:tab/>
      </w:r>
      <w:r w:rsidR="006E65C2">
        <w:rPr>
          <w:rFonts w:hint="cs" w:ascii="Arial" w:hAnsi="Arial"/>
          <w:rtl/>
        </w:rPr>
        <w:t xml:space="preserve">על הפרק שתי סוגיות </w:t>
      </w:r>
      <w:r w:rsidR="00F84C17">
        <w:rPr>
          <w:rFonts w:hint="cs" w:ascii="Arial" w:hAnsi="Arial"/>
          <w:rtl/>
        </w:rPr>
        <w:t>ש</w:t>
      </w:r>
      <w:r w:rsidR="006E65C2">
        <w:rPr>
          <w:rFonts w:hint="cs" w:ascii="Arial" w:hAnsi="Arial"/>
          <w:rtl/>
        </w:rPr>
        <w:t xml:space="preserve">כרוכות אחת בשניה. האחת, היתכנות להסדר נושים חרף הקשיים שעל חלקם עמדתי לעיל והשניה, גורל הפקדון. </w:t>
      </w:r>
    </w:p>
    <w:p w:rsidR="006E65C2" w:rsidP="006E65C2" w:rsidRDefault="006E65C2">
      <w:pPr>
        <w:spacing w:line="360" w:lineRule="auto"/>
        <w:ind w:left="720"/>
        <w:jc w:val="both"/>
        <w:rPr>
          <w:rFonts w:ascii="Arial" w:hAnsi="Arial"/>
          <w:rtl/>
        </w:rPr>
      </w:pPr>
    </w:p>
    <w:p w:rsidR="002126C9" w:rsidP="00F84C17" w:rsidRDefault="006E65C2">
      <w:pPr>
        <w:spacing w:line="360" w:lineRule="auto"/>
        <w:ind w:left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 xml:space="preserve">באשר להתכנות ההסדר; </w:t>
      </w:r>
      <w:r w:rsidR="00D164EF">
        <w:rPr>
          <w:rFonts w:hint="cs" w:ascii="Arial" w:hAnsi="Arial"/>
          <w:rtl/>
        </w:rPr>
        <w:t xml:space="preserve">על פני הדברים דומה שלא ניתן לאשר הסדר נושים </w:t>
      </w:r>
      <w:r w:rsidR="00F84C17">
        <w:rPr>
          <w:rFonts w:hint="cs" w:ascii="Arial" w:hAnsi="Arial"/>
          <w:rtl/>
        </w:rPr>
        <w:t xml:space="preserve">ביורוקום נדל"ן </w:t>
      </w:r>
      <w:r w:rsidR="00D164EF">
        <w:rPr>
          <w:rFonts w:hint="cs" w:ascii="Arial" w:hAnsi="Arial"/>
          <w:rtl/>
        </w:rPr>
        <w:t>נוכח ההתנגדויות של נושי</w:t>
      </w:r>
      <w:r w:rsidR="00F84C17">
        <w:rPr>
          <w:rFonts w:hint="cs" w:ascii="Arial" w:hAnsi="Arial"/>
          <w:rtl/>
        </w:rPr>
        <w:t>ה</w:t>
      </w:r>
      <w:r w:rsidR="00D164EF">
        <w:rPr>
          <w:rFonts w:hint="cs" w:ascii="Arial" w:hAnsi="Arial"/>
          <w:rtl/>
        </w:rPr>
        <w:t xml:space="preserve">. עם זאת, לא ניתן לשלול היתכנות </w:t>
      </w:r>
      <w:r>
        <w:rPr>
          <w:rFonts w:hint="cs" w:ascii="Arial" w:hAnsi="Arial"/>
          <w:rtl/>
        </w:rPr>
        <w:t>לקבלת הסכמת הנושים של יורוקום נדל"</w:t>
      </w:r>
      <w:r w:rsidR="005843F4">
        <w:rPr>
          <w:rFonts w:hint="cs" w:ascii="Arial" w:hAnsi="Arial"/>
          <w:rtl/>
        </w:rPr>
        <w:t xml:space="preserve">ן ברוב הדרוש לפי סעיף 350 לחוק החברות </w:t>
      </w:r>
      <w:r w:rsidR="00D164EF">
        <w:rPr>
          <w:rFonts w:hint="cs" w:ascii="Arial" w:hAnsi="Arial"/>
          <w:rtl/>
        </w:rPr>
        <w:t xml:space="preserve">וכפי שהדבר עלה מדברי ב"כ החברה, המשקיפים ואף </w:t>
      </w:r>
      <w:r w:rsidR="005843F4">
        <w:rPr>
          <w:rFonts w:hint="cs" w:ascii="Arial" w:hAnsi="Arial"/>
          <w:rtl/>
        </w:rPr>
        <w:t xml:space="preserve">של </w:t>
      </w:r>
      <w:r w:rsidR="00D164EF">
        <w:rPr>
          <w:rFonts w:hint="cs" w:ascii="Arial" w:hAnsi="Arial"/>
          <w:rtl/>
        </w:rPr>
        <w:t xml:space="preserve">חלק </w:t>
      </w:r>
      <w:r w:rsidR="005843F4">
        <w:rPr>
          <w:rFonts w:hint="cs" w:ascii="Arial" w:hAnsi="Arial"/>
          <w:rtl/>
        </w:rPr>
        <w:t xml:space="preserve">מב"כ </w:t>
      </w:r>
      <w:r w:rsidR="00D164EF">
        <w:rPr>
          <w:rFonts w:hint="cs" w:ascii="Arial" w:hAnsi="Arial"/>
          <w:rtl/>
        </w:rPr>
        <w:t>נושי</w:t>
      </w:r>
      <w:r w:rsidR="00F84C17">
        <w:rPr>
          <w:rFonts w:hint="cs" w:ascii="Arial" w:hAnsi="Arial"/>
          <w:rtl/>
        </w:rPr>
        <w:t xml:space="preserve">ה הרגילים של </w:t>
      </w:r>
      <w:r w:rsidR="00D164EF">
        <w:rPr>
          <w:rFonts w:hint="cs" w:ascii="Arial" w:hAnsi="Arial"/>
          <w:rtl/>
        </w:rPr>
        <w:t xml:space="preserve">יורוקום נדל"ן. כל זאת, מבלי שיהיה </w:t>
      </w:r>
      <w:r w:rsidR="005843F4">
        <w:rPr>
          <w:rFonts w:hint="cs" w:ascii="Arial" w:hAnsi="Arial"/>
          <w:rtl/>
        </w:rPr>
        <w:t xml:space="preserve">בדברי אלה כדי </w:t>
      </w:r>
      <w:r w:rsidR="00D164EF">
        <w:rPr>
          <w:rFonts w:hint="cs" w:ascii="Arial" w:hAnsi="Arial"/>
          <w:rtl/>
        </w:rPr>
        <w:t xml:space="preserve">לקבוע מסמרות. </w:t>
      </w:r>
      <w:r w:rsidR="005843F4">
        <w:rPr>
          <w:rFonts w:hint="cs" w:ascii="Arial" w:hAnsi="Arial"/>
          <w:rtl/>
        </w:rPr>
        <w:t xml:space="preserve">אציין </w:t>
      </w:r>
      <w:r w:rsidR="00E54290">
        <w:rPr>
          <w:rFonts w:hint="cs" w:ascii="Arial" w:hAnsi="Arial"/>
          <w:rtl/>
        </w:rPr>
        <w:t xml:space="preserve">בהקשר זה </w:t>
      </w:r>
      <w:r w:rsidR="005843F4">
        <w:rPr>
          <w:rFonts w:hint="cs" w:ascii="Arial" w:hAnsi="Arial"/>
          <w:rtl/>
        </w:rPr>
        <w:t>ש</w:t>
      </w:r>
      <w:r w:rsidR="00E54290">
        <w:rPr>
          <w:rFonts w:hint="cs" w:ascii="Arial" w:hAnsi="Arial"/>
          <w:rtl/>
        </w:rPr>
        <w:t xml:space="preserve">נטען </w:t>
      </w:r>
      <w:r w:rsidR="00F84C17">
        <w:rPr>
          <w:rFonts w:hint="cs" w:ascii="Arial" w:hAnsi="Arial"/>
          <w:rtl/>
        </w:rPr>
        <w:t>ל</w:t>
      </w:r>
      <w:r w:rsidR="005843F4">
        <w:rPr>
          <w:rFonts w:hint="cs" w:ascii="Arial" w:hAnsi="Arial"/>
          <w:rtl/>
        </w:rPr>
        <w:t xml:space="preserve">פני שהיו מגעים מתקדמים עם גורמים בכירים ברשויות המס, לרבות על דעת המשקיע, וקיימת היתכנות להסדר גם עם נושה זה שהינו </w:t>
      </w:r>
      <w:r w:rsidR="00E54290">
        <w:rPr>
          <w:rFonts w:hint="cs" w:ascii="Arial" w:hAnsi="Arial"/>
          <w:rtl/>
        </w:rPr>
        <w:t>נושה בדין קדימה של יורוקום נדל"</w:t>
      </w:r>
      <w:r w:rsidR="00527FB5">
        <w:rPr>
          <w:rFonts w:hint="cs" w:ascii="Arial" w:hAnsi="Arial"/>
          <w:rtl/>
        </w:rPr>
        <w:t>ן</w:t>
      </w:r>
      <w:r w:rsidR="005843F4">
        <w:rPr>
          <w:rFonts w:hint="cs" w:ascii="Arial" w:hAnsi="Arial"/>
          <w:rtl/>
        </w:rPr>
        <w:t>,</w:t>
      </w:r>
      <w:r w:rsidR="00527FB5">
        <w:rPr>
          <w:rFonts w:hint="cs" w:ascii="Arial" w:hAnsi="Arial"/>
          <w:rtl/>
        </w:rPr>
        <w:t xml:space="preserve"> לרבות באשר לחבויות מס בעתיד כתוצאה מההסדר. אמנם, ב"כ בנק מזרחי</w:t>
      </w:r>
      <w:r w:rsidR="005843F4">
        <w:rPr>
          <w:rFonts w:hint="cs" w:ascii="Arial" w:hAnsi="Arial"/>
          <w:rtl/>
        </w:rPr>
        <w:t xml:space="preserve">, שהינו נושה מובטח, </w:t>
      </w:r>
      <w:r w:rsidR="00527FB5">
        <w:rPr>
          <w:rFonts w:hint="cs" w:ascii="Arial" w:hAnsi="Arial"/>
          <w:rtl/>
        </w:rPr>
        <w:t xml:space="preserve">עמד על </w:t>
      </w:r>
      <w:r w:rsidR="005843F4">
        <w:rPr>
          <w:rFonts w:hint="cs" w:ascii="Arial" w:hAnsi="Arial"/>
          <w:rtl/>
        </w:rPr>
        <w:t xml:space="preserve">התנגדותו והצביע על כך שלשיטתו </w:t>
      </w:r>
      <w:r w:rsidR="00527FB5">
        <w:rPr>
          <w:rFonts w:hint="cs" w:ascii="Arial" w:hAnsi="Arial"/>
          <w:rtl/>
        </w:rPr>
        <w:t xml:space="preserve">יש צורך במימוש </w:t>
      </w:r>
      <w:r w:rsidR="005843F4">
        <w:rPr>
          <w:rFonts w:hint="cs" w:ascii="Arial" w:hAnsi="Arial"/>
          <w:rtl/>
        </w:rPr>
        <w:t xml:space="preserve">מהיר של </w:t>
      </w:r>
      <w:r w:rsidR="00527FB5">
        <w:rPr>
          <w:rFonts w:hint="cs" w:ascii="Arial" w:hAnsi="Arial"/>
          <w:rtl/>
        </w:rPr>
        <w:t xml:space="preserve">השעבודים </w:t>
      </w:r>
      <w:r w:rsidR="005843F4">
        <w:rPr>
          <w:rFonts w:hint="cs" w:ascii="Arial" w:hAnsi="Arial"/>
          <w:rtl/>
        </w:rPr>
        <w:t xml:space="preserve">נוכח </w:t>
      </w:r>
      <w:r w:rsidR="00527FB5">
        <w:rPr>
          <w:rFonts w:hint="cs" w:ascii="Arial" w:hAnsi="Arial"/>
          <w:rtl/>
        </w:rPr>
        <w:t xml:space="preserve">הנזק ההולך </w:t>
      </w:r>
      <w:r w:rsidR="005843F4">
        <w:rPr>
          <w:rFonts w:hint="cs" w:ascii="Arial" w:hAnsi="Arial"/>
          <w:rtl/>
        </w:rPr>
        <w:t>ו</w:t>
      </w:r>
      <w:r w:rsidR="00527FB5">
        <w:rPr>
          <w:rFonts w:hint="cs" w:ascii="Arial" w:hAnsi="Arial"/>
          <w:rtl/>
        </w:rPr>
        <w:t xml:space="preserve">גדל, אך לא ניתן לשלול שניתן יהיה להגיע להסכמה גם בקשר לחוב שמגיע לנושה זה במסגרת הסדר כולל.  </w:t>
      </w:r>
    </w:p>
    <w:p w:rsidR="005843F4" w:rsidP="00527FB5" w:rsidRDefault="005843F4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6E65C2" w:rsidP="005843F4" w:rsidRDefault="005843F4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>באשר לגורל הפקדון; קיימות בסוגיה זו מחלוקות בין הצדדים, קרי, המשקיע מצד אחד והחברה והמשקיפים מצד שני. דומה שהכרעה בהקשר זה חייבת בירור ובמסגרתו שמיעת ראיות. בין היתר</w:t>
      </w:r>
      <w:r w:rsidR="00F84C17">
        <w:rPr>
          <w:rFonts w:hint="cs" w:ascii="Arial" w:hAnsi="Arial"/>
          <w:rtl/>
        </w:rPr>
        <w:t xml:space="preserve"> בסוגיות</w:t>
      </w:r>
      <w:r>
        <w:rPr>
          <w:rFonts w:hint="cs" w:ascii="Arial" w:hAnsi="Arial"/>
          <w:rtl/>
        </w:rPr>
        <w:t>: שאלת התקיימות התנאים המתלים; השינוי המהותי לרעה שנטען בבזק, וככל שכך האם יש בו כדי לבסס את עמדת המשקיע</w:t>
      </w:r>
      <w:r w:rsidR="009752FC">
        <w:rPr>
          <w:rFonts w:hint="cs" w:ascii="Arial" w:hAnsi="Arial"/>
          <w:rtl/>
        </w:rPr>
        <w:t xml:space="preserve">; השלכת אישור או אי אישור ההסדר על הפקדון; חלוף המועדים שקבועים בהצעת המשקיע. </w:t>
      </w:r>
    </w:p>
    <w:p w:rsidR="009752FC" w:rsidP="005843F4" w:rsidRDefault="009752FC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6F3455" w:rsidP="0048352E" w:rsidRDefault="006F3455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8.</w:t>
      </w:r>
      <w:r>
        <w:rPr>
          <w:rFonts w:hint="cs" w:ascii="Arial" w:hAnsi="Arial"/>
          <w:rtl/>
        </w:rPr>
        <w:tab/>
        <w:t xml:space="preserve">מתוך ראיה כוללת ובהמשך להחלטתי מיום 20.3.18 שבה הבהרתי שעדיף מסלול של הסדר, סבורני שיש לאפשר ארכה </w:t>
      </w:r>
      <w:r w:rsidR="00F84C17">
        <w:rPr>
          <w:rFonts w:hint="cs" w:ascii="Arial" w:hAnsi="Arial"/>
          <w:rtl/>
        </w:rPr>
        <w:t xml:space="preserve">קצרה </w:t>
      </w:r>
      <w:r w:rsidR="0048352E">
        <w:rPr>
          <w:rFonts w:hint="cs" w:ascii="Arial" w:hAnsi="Arial"/>
          <w:rtl/>
        </w:rPr>
        <w:t xml:space="preserve">נוספת בטרם הכרעה בבקשות לאישור </w:t>
      </w:r>
      <w:r>
        <w:rPr>
          <w:rFonts w:hint="cs" w:ascii="Arial" w:hAnsi="Arial"/>
          <w:rtl/>
        </w:rPr>
        <w:t>הסדר</w:t>
      </w:r>
      <w:r w:rsidR="0048352E">
        <w:rPr>
          <w:rFonts w:hint="cs" w:ascii="Arial" w:hAnsi="Arial"/>
          <w:rtl/>
        </w:rPr>
        <w:t>י הנושים</w:t>
      </w:r>
      <w:r>
        <w:rPr>
          <w:rFonts w:hint="cs" w:ascii="Arial" w:hAnsi="Arial"/>
          <w:rtl/>
        </w:rPr>
        <w:t>, מתוך ציפיה שבמהלך התקופה ישכילו הצדדים להגיע להבנות שיסללו דרך להסדר</w:t>
      </w:r>
      <w:r w:rsidR="0048352E">
        <w:rPr>
          <w:rFonts w:hint="cs" w:ascii="Arial" w:hAnsi="Arial"/>
          <w:rtl/>
        </w:rPr>
        <w:t>י</w:t>
      </w:r>
      <w:r>
        <w:rPr>
          <w:rFonts w:hint="cs" w:ascii="Arial" w:hAnsi="Arial"/>
          <w:rtl/>
        </w:rPr>
        <w:t xml:space="preserve"> נושים, שהינ</w:t>
      </w:r>
      <w:r w:rsidR="0048352E">
        <w:rPr>
          <w:rFonts w:hint="cs" w:ascii="Arial" w:hAnsi="Arial"/>
          <w:rtl/>
        </w:rPr>
        <w:t>ם</w:t>
      </w:r>
      <w:r>
        <w:rPr>
          <w:rFonts w:hint="cs" w:ascii="Arial" w:hAnsi="Arial"/>
          <w:rtl/>
        </w:rPr>
        <w:t xml:space="preserve"> עדי</w:t>
      </w:r>
      <w:r w:rsidR="0048352E">
        <w:rPr>
          <w:rFonts w:hint="cs" w:ascii="Arial" w:hAnsi="Arial"/>
          <w:rtl/>
        </w:rPr>
        <w:t>פים</w:t>
      </w:r>
      <w:r>
        <w:rPr>
          <w:rFonts w:hint="cs" w:ascii="Arial" w:hAnsi="Arial"/>
          <w:rtl/>
        </w:rPr>
        <w:t xml:space="preserve"> על אלטרנטיבות אחרות. ער אני למכלול טענות הצדדים שאת חלקן ציינתי לעיל וסבורני שנכון יהיה שכל צד </w:t>
      </w:r>
      <w:r w:rsidR="009E164C">
        <w:rPr>
          <w:rFonts w:hint="cs" w:ascii="Arial" w:hAnsi="Arial"/>
          <w:rtl/>
        </w:rPr>
        <w:t xml:space="preserve">יגלה פתיחות </w:t>
      </w:r>
      <w:r w:rsidR="00F84C17">
        <w:rPr>
          <w:rFonts w:hint="cs" w:ascii="Arial" w:hAnsi="Arial"/>
          <w:rtl/>
        </w:rPr>
        <w:t xml:space="preserve">שתאפשר </w:t>
      </w:r>
      <w:r w:rsidR="009E164C">
        <w:rPr>
          <w:rFonts w:hint="cs" w:ascii="Arial" w:hAnsi="Arial"/>
          <w:rtl/>
        </w:rPr>
        <w:t xml:space="preserve">הגעה להסדר. </w:t>
      </w:r>
      <w:r w:rsidR="006D7298">
        <w:rPr>
          <w:rFonts w:hint="cs" w:ascii="Arial" w:hAnsi="Arial"/>
          <w:rtl/>
        </w:rPr>
        <w:t>נסיון להגעה להסדר כאמור יעשה לא יאוחר מיום 22.4.18</w:t>
      </w:r>
      <w:r w:rsidR="00C93CCB">
        <w:rPr>
          <w:rFonts w:hint="cs" w:ascii="Arial" w:hAnsi="Arial"/>
          <w:rtl/>
        </w:rPr>
        <w:t>,</w:t>
      </w:r>
      <w:r w:rsidR="006D7298">
        <w:rPr>
          <w:rFonts w:hint="cs" w:ascii="Arial" w:hAnsi="Arial"/>
          <w:rtl/>
        </w:rPr>
        <w:t xml:space="preserve"> </w:t>
      </w:r>
      <w:r w:rsidR="00F84C17">
        <w:rPr>
          <w:rFonts w:hint="cs" w:ascii="Arial" w:hAnsi="Arial"/>
          <w:rtl/>
        </w:rPr>
        <w:t xml:space="preserve">מועד שבו </w:t>
      </w:r>
      <w:r w:rsidR="006D7298">
        <w:rPr>
          <w:rFonts w:hint="cs" w:ascii="Arial" w:hAnsi="Arial"/>
          <w:rtl/>
        </w:rPr>
        <w:t xml:space="preserve">קבועות לדיון הבקשות למימוש השעבודים ולפירוק חברת יורוקום תקשורת, שאם לא כן, אכריע בבקשות לגופן. </w:t>
      </w:r>
    </w:p>
    <w:p w:rsidR="003C5E52" w:rsidRDefault="003C5E52">
      <w:pPr>
        <w:bidi w:val="0"/>
        <w:rPr>
          <w:rFonts w:ascii="Arial" w:hAnsi="Arial"/>
        </w:rPr>
      </w:pPr>
      <w:r>
        <w:rPr>
          <w:rFonts w:ascii="Arial" w:hAnsi="Arial"/>
          <w:rtl/>
        </w:rPr>
        <w:br w:type="page"/>
      </w:r>
    </w:p>
    <w:p w:rsidR="006D7298" w:rsidP="006D7298" w:rsidRDefault="006D7298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6D7298" w:rsidP="006D7298" w:rsidRDefault="006D7298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המזכירות תסרוק את ההחלטה בשלוש הבקשות שבכותרת. </w:t>
      </w:r>
    </w:p>
    <w:p w:rsidR="0048352E" w:rsidP="006D7298" w:rsidRDefault="0048352E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="006D7298" w:rsidP="006D7298" w:rsidRDefault="006D7298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המזכירות תשלח את ההחלטה לצדדים. </w:t>
      </w:r>
    </w:p>
    <w:p w:rsidRPr="002126C9" w:rsidR="006D7298" w:rsidP="006D7298" w:rsidRDefault="006D7298">
      <w:pPr>
        <w:spacing w:line="360" w:lineRule="auto"/>
        <w:ind w:left="720" w:hanging="720"/>
        <w:jc w:val="both"/>
        <w:rPr>
          <w:rFonts w:ascii="Arial" w:hAnsi="Arial"/>
        </w:rPr>
      </w:pPr>
    </w:p>
    <w:p w:rsidRPr="00E978B4" w:rsidR="003A1911" w:rsidRDefault="009F2145">
      <w:pPr>
        <w:spacing w:line="360" w:lineRule="auto"/>
        <w:jc w:val="both"/>
        <w:rPr>
          <w:rFonts w:ascii="Arial" w:hAnsi="Arial"/>
          <w:b/>
          <w:bCs/>
          <w:rtl/>
        </w:rPr>
      </w:pPr>
      <w:r w:rsidRPr="00E978B4">
        <w:rPr>
          <w:rFonts w:hint="cs" w:ascii="Arial" w:hAnsi="Arial"/>
          <w:b/>
          <w:bCs/>
          <w:rtl/>
        </w:rPr>
        <w:t xml:space="preserve">ניתנה היום,  </w:t>
      </w:r>
      <w:sdt>
        <w:sdtPr>
          <w:rPr>
            <w:b/>
            <w:bCs/>
            <w:rtl/>
          </w:rPr>
          <w:alias w:val="1455"/>
          <w:tag w:val="1455"/>
          <w:id w:val="1264420222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כ"ו ניסן תשע"ח</w:t>
          </w:r>
        </w:sdtContent>
      </w:sdt>
      <w:r w:rsidRPr="00E978B4">
        <w:rPr>
          <w:rFonts w:hint="cs"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210729931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11 אפריל 2018</w:t>
          </w:r>
        </w:sdtContent>
      </w:sdt>
      <w:r w:rsidRPr="00E978B4">
        <w:rPr>
          <w:rFonts w:hint="cs" w:ascii="Arial" w:hAnsi="Arial"/>
          <w:b/>
          <w:bCs/>
          <w:rtl/>
        </w:rPr>
        <w:t>, בהעדר הצדדים.</w:t>
      </w:r>
    </w:p>
    <w:p w:rsidR="00FF5E3C" w:rsidP="008239A3" w:rsidRDefault="00FF5E3C">
      <w:pPr>
        <w:spacing w:line="360" w:lineRule="auto"/>
        <w:ind w:left="5040"/>
        <w:jc w:val="center"/>
        <w:rPr>
          <w:rFonts w:ascii="Arial" w:hAnsi="Arial"/>
          <w:rtl/>
        </w:rPr>
      </w:pPr>
    </w:p>
    <w:p w:rsidR="00FF5E3C" w:rsidP="008239A3" w:rsidRDefault="00FF5E3C">
      <w:pPr>
        <w:spacing w:line="360" w:lineRule="auto"/>
        <w:ind w:left="5040"/>
        <w:jc w:val="center"/>
        <w:rPr>
          <w:rFonts w:ascii="Arial" w:hAnsi="Arial"/>
          <w:rtl/>
        </w:rPr>
      </w:pPr>
    </w:p>
    <w:p w:rsidR="003A1911" w:rsidP="008239A3" w:rsidRDefault="00FF1AC9">
      <w:pPr>
        <w:spacing w:line="360" w:lineRule="auto"/>
        <w:ind w:left="504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7068" cy="617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1df493d604d468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68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sectPr w:rsidR="003A1911" w:rsidSect="004B741D">
      <w:headerReference w:type="default" r:id="rId8"/>
      <w:footerReference w:type="default" r:id="rId9"/>
      <w:pgSz w:w="11907" w:h="16840" w:code="9"/>
      <w:pgMar w:top="244" w:right="1701" w:bottom="2552" w:left="1701" w:header="187" w:footer="720" w:gutter="0"/>
      <w:lnNumType w:countBy="1"/>
      <w:pgNumType w:start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8E0299">
      <w:fldChar w:fldCharType="begin"/>
    </w:r>
    <w:r>
      <w:instrText xml:space="preserve"> PAGE </w:instrText>
    </w:r>
    <w:r w:rsidR="008E0299">
      <w:fldChar w:fldCharType="separate"/>
    </w:r>
    <w:r w:rsidR="00FF1AC9">
      <w:rPr>
        <w:rtl/>
      </w:rPr>
      <w:t>8</w:t>
    </w:r>
    <w:r w:rsidR="008E0299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8E0299">
      <w:fldChar w:fldCharType="begin"/>
    </w:r>
    <w:r>
      <w:instrText xml:space="preserve"> NUMPAGES </w:instrText>
    </w:r>
    <w:r w:rsidR="008E0299">
      <w:fldChar w:fldCharType="separate"/>
    </w:r>
    <w:r w:rsidR="00FF1AC9">
      <w:rPr>
        <w:rtl/>
      </w:rPr>
      <w:t>8</w:t>
    </w:r>
    <w:r w:rsidR="008E029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FF1AC9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206DF8">
      <w:rPr>
        <w:rFonts w:cs="FrankRuehl"/>
        <w:sz w:val="28"/>
        <w:szCs w:val="28"/>
      </w:rPr>
      <w:drawing>
        <wp:inline distT="0" distB="0" distL="0" distR="0" wp14:anchorId="1F79AEB3" wp14:editId="1A2FD70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73"/>
      <w:gridCol w:w="3106"/>
      <w:gridCol w:w="1070"/>
      <w:gridCol w:w="3672"/>
    </w:tblGrid>
    <w:tr w:rsidR="003A1911" w:rsidTr="00495F89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2131203906"/>
          <w:text/>
        </w:sdtPr>
        <w:sdtEndPr/>
        <w:sdtContent>
          <w:tc>
            <w:tcPr>
              <w:tcW w:w="8721" w:type="dxa"/>
              <w:gridSpan w:val="4"/>
            </w:tcPr>
            <w:p w:rsidR="003A1911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D94402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3A1911" w:rsidTr="00495F89">
      <w:trPr>
        <w:trHeight w:val="337"/>
        <w:jc w:val="center"/>
      </w:trPr>
      <w:tc>
        <w:tcPr>
          <w:tcW w:w="3979" w:type="dxa"/>
          <w:gridSpan w:val="2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 w:rsidTr="00495F89">
      <w:trPr>
        <w:trHeight w:val="337"/>
        <w:jc w:val="center"/>
      </w:trPr>
      <w:tc>
        <w:tcPr>
          <w:tcW w:w="8721" w:type="dxa"/>
          <w:gridSpan w:val="4"/>
        </w:tcPr>
        <w:p w:rsidR="00884E46" w:rsidP="00884E46" w:rsidRDefault="00FF1AC9">
          <w:sdt>
            <w:sdtPr>
              <w:rPr>
                <w:rFonts w:hint="cs"/>
                <w:rtl/>
              </w:rPr>
              <w:alias w:val="849"/>
              <w:tag w:val="849"/>
              <w:id w:val="1254863889"/>
              <w:text w:multiLine="1"/>
            </w:sdtPr>
            <w:sdtEndPr/>
            <w:sdtContent>
              <w:r w:rsidR="00884E46">
                <w:rPr>
                  <w:rFonts w:hint="cs"/>
                  <w:b/>
                  <w:bCs/>
                  <w:sz w:val="26"/>
                  <w:szCs w:val="26"/>
                  <w:rtl/>
                </w:rPr>
                <w:t>פר"ק</w:t>
              </w:r>
            </w:sdtContent>
          </w:sdt>
          <w:r w:rsidR="00884E4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rtl/>
              </w:rPr>
              <w:alias w:val="158"/>
              <w:tag w:val="158"/>
              <w:id w:val="1439941916"/>
              <w:text w:multiLine="1"/>
            </w:sdtPr>
            <w:sdtEndPr/>
            <w:sdtContent>
              <w:r w:rsidR="00884E46">
                <w:rPr>
                  <w:rFonts w:hint="cs"/>
                  <w:b/>
                  <w:bCs/>
                  <w:sz w:val="26"/>
                  <w:szCs w:val="26"/>
                  <w:rtl/>
                </w:rPr>
                <w:t>31618-01-18</w:t>
              </w:r>
            </w:sdtContent>
          </w:sdt>
          <w:r w:rsidR="00884E46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rtl/>
              </w:rPr>
              <w:alias w:val="293"/>
              <w:tag w:val="293"/>
              <w:id w:val="511339193"/>
              <w:text w:multiLine="1"/>
            </w:sdtPr>
            <w:sdtEndPr/>
            <w:sdtContent>
              <w:r w:rsidR="00884E46">
                <w:rPr>
                  <w:rFonts w:hint="cs"/>
                  <w:b/>
                  <w:bCs/>
                  <w:sz w:val="26"/>
                  <w:szCs w:val="26"/>
                  <w:rtl/>
                </w:rPr>
                <w:t>יורוקום-תקשורת בע"מ ואח' נ' בנק הפועלים בע"מ ואח' – בקשה 11</w:t>
              </w:r>
            </w:sdtContent>
          </w:sdt>
        </w:p>
        <w:p w:rsidR="00884E46" w:rsidP="00884E46" w:rsidRDefault="00884E4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>פר"'ק 37612-01-18 יורוקום אחזקות (1979) בע"מ ואח' נ' בנק הפועלים בע"מ ואח' – בקשה 6</w:t>
          </w:r>
        </w:p>
        <w:p w:rsidR="00884E46" w:rsidP="00884E46" w:rsidRDefault="00884E4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>פר"ק 37667-01-18 יורוקום נדל"ן בע"מ ואח' נ' יורוקום תעשיות (1986) בע"מ ואח' – בקשה 9</w:t>
          </w:r>
        </w:p>
        <w:p w:rsidR="003A1911" w:rsidRDefault="00495F89">
          <w:pPr>
            <w:rPr>
              <w:rtl/>
            </w:rPr>
          </w:pPr>
          <w:r>
            <w:rPr>
              <w:rFonts w:hint="cs"/>
              <w:rtl/>
            </w:rPr>
            <w:t xml:space="preserve"> </w:t>
          </w:r>
        </w:p>
      </w:tc>
    </w:tr>
    <w:tr w:rsidR="00495F89" w:rsidTr="00495F89">
      <w:trPr>
        <w:trHeight w:val="337"/>
        <w:jc w:val="center"/>
      </w:trPr>
      <w:tc>
        <w:tcPr>
          <w:tcW w:w="873" w:type="dxa"/>
        </w:tcPr>
        <w:p w:rsidRPr="00495F89" w:rsidR="00495F89" w:rsidP="00495F89" w:rsidRDefault="00495F89">
          <w:pPr>
            <w:tabs>
              <w:tab w:val="left" w:pos="765"/>
              <w:tab w:val="left" w:pos="4905"/>
            </w:tabs>
            <w:rPr>
              <w:b/>
              <w:bCs/>
              <w:sz w:val="26"/>
              <w:szCs w:val="26"/>
              <w:rtl/>
            </w:rPr>
          </w:pPr>
          <w:r w:rsidRPr="00495F89">
            <w:rPr>
              <w:b/>
              <w:bCs/>
              <w:sz w:val="26"/>
              <w:szCs w:val="26"/>
              <w:rtl/>
            </w:rPr>
            <w:tab/>
          </w:r>
          <w:r w:rsidRPr="00495F89">
            <w:rPr>
              <w:b/>
              <w:bCs/>
              <w:sz w:val="26"/>
              <w:szCs w:val="26"/>
              <w:rtl/>
            </w:rPr>
            <w:tab/>
          </w:r>
        </w:p>
      </w:tc>
      <w:tc>
        <w:tcPr>
          <w:tcW w:w="7848" w:type="dxa"/>
          <w:gridSpan w:val="3"/>
        </w:tcPr>
        <w:p w:rsidR="00E92D70" w:rsidP="00E92D70" w:rsidRDefault="00CA5D0E">
          <w:pPr>
            <w:rPr>
              <w:b/>
              <w:bCs/>
              <w:sz w:val="26"/>
              <w:szCs w:val="26"/>
            </w:rPr>
          </w:pPr>
          <w:r w:rsidRPr="00495F89">
            <w:rPr>
              <w:rFonts w:hint="cs"/>
              <w:b/>
              <w:bCs/>
              <w:sz w:val="26"/>
              <w:szCs w:val="26"/>
              <w:rtl/>
            </w:rPr>
            <w:t>לפני</w:t>
          </w:r>
          <w:r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r w:rsidR="00E92D70">
            <w:rPr>
              <w:rFonts w:hint="cs"/>
              <w:b/>
              <w:bCs/>
              <w:sz w:val="26"/>
              <w:szCs w:val="26"/>
              <w:rtl/>
            </w:rPr>
            <w:t>כב'</w:t>
          </w:r>
          <w:r w:rsidR="007E6EA9">
            <w:rPr>
              <w:rFonts w:hint="cs"/>
              <w:b/>
              <w:bCs/>
              <w:sz w:val="26"/>
              <w:szCs w:val="26"/>
              <w:rtl/>
            </w:rPr>
            <w:t xml:space="preserve"> הנשיא איתן אורנשטיין</w:t>
          </w:r>
        </w:p>
        <w:p w:rsidRPr="00495F89" w:rsidR="00495F89" w:rsidP="00AE1343" w:rsidRDefault="00495F89">
          <w:pPr>
            <w:tabs>
              <w:tab w:val="left" w:pos="765"/>
              <w:tab w:val="left" w:pos="4905"/>
            </w:tabs>
            <w:rPr>
              <w:b/>
              <w:bCs/>
              <w:sz w:val="26"/>
              <w:szCs w:val="26"/>
              <w:rtl/>
            </w:rPr>
          </w:pPr>
        </w:p>
      </w:tc>
    </w:tr>
  </w:tbl>
  <w:p w:rsidR="003A1911" w:rsidP="00D94402" w:rsidRDefault="003A1911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2076"/>
    <w:rsid w:val="000321EF"/>
    <w:rsid w:val="0006217E"/>
    <w:rsid w:val="000E28A5"/>
    <w:rsid w:val="000E33CF"/>
    <w:rsid w:val="001046DE"/>
    <w:rsid w:val="00123AB7"/>
    <w:rsid w:val="00174A2D"/>
    <w:rsid w:val="001F4590"/>
    <w:rsid w:val="001F5797"/>
    <w:rsid w:val="00206DF8"/>
    <w:rsid w:val="002126C9"/>
    <w:rsid w:val="0025767C"/>
    <w:rsid w:val="00315031"/>
    <w:rsid w:val="00325DF9"/>
    <w:rsid w:val="00360DD5"/>
    <w:rsid w:val="00371133"/>
    <w:rsid w:val="00371AD5"/>
    <w:rsid w:val="00372B96"/>
    <w:rsid w:val="00386811"/>
    <w:rsid w:val="003A1911"/>
    <w:rsid w:val="003C5E52"/>
    <w:rsid w:val="0048352E"/>
    <w:rsid w:val="00495F89"/>
    <w:rsid w:val="004B741D"/>
    <w:rsid w:val="004E47E0"/>
    <w:rsid w:val="004F5549"/>
    <w:rsid w:val="004F77B2"/>
    <w:rsid w:val="00520B6E"/>
    <w:rsid w:val="00527FB5"/>
    <w:rsid w:val="005301DF"/>
    <w:rsid w:val="005624C8"/>
    <w:rsid w:val="005843F4"/>
    <w:rsid w:val="005F7295"/>
    <w:rsid w:val="006600D0"/>
    <w:rsid w:val="00681B45"/>
    <w:rsid w:val="00690A8D"/>
    <w:rsid w:val="00696790"/>
    <w:rsid w:val="006D7298"/>
    <w:rsid w:val="006E2C63"/>
    <w:rsid w:val="006E65C2"/>
    <w:rsid w:val="006F3455"/>
    <w:rsid w:val="00711394"/>
    <w:rsid w:val="00752B73"/>
    <w:rsid w:val="007E6EA9"/>
    <w:rsid w:val="007F5946"/>
    <w:rsid w:val="008239A3"/>
    <w:rsid w:val="00884E46"/>
    <w:rsid w:val="008D1C32"/>
    <w:rsid w:val="008E0299"/>
    <w:rsid w:val="008E3B4B"/>
    <w:rsid w:val="00957E80"/>
    <w:rsid w:val="009752FC"/>
    <w:rsid w:val="009C5060"/>
    <w:rsid w:val="009E164C"/>
    <w:rsid w:val="009E586C"/>
    <w:rsid w:val="009F2145"/>
    <w:rsid w:val="00A76534"/>
    <w:rsid w:val="00A81306"/>
    <w:rsid w:val="00AA5F43"/>
    <w:rsid w:val="00AA6023"/>
    <w:rsid w:val="00AD797D"/>
    <w:rsid w:val="00AE1343"/>
    <w:rsid w:val="00B0144F"/>
    <w:rsid w:val="00B56FC9"/>
    <w:rsid w:val="00B57D50"/>
    <w:rsid w:val="00B6514B"/>
    <w:rsid w:val="00B70BFE"/>
    <w:rsid w:val="00BD5566"/>
    <w:rsid w:val="00BF4DA9"/>
    <w:rsid w:val="00C23922"/>
    <w:rsid w:val="00C46038"/>
    <w:rsid w:val="00C93CCB"/>
    <w:rsid w:val="00CA1776"/>
    <w:rsid w:val="00CA5D0E"/>
    <w:rsid w:val="00CB516B"/>
    <w:rsid w:val="00CE45CA"/>
    <w:rsid w:val="00D164EF"/>
    <w:rsid w:val="00D46BE1"/>
    <w:rsid w:val="00D94402"/>
    <w:rsid w:val="00DB3A81"/>
    <w:rsid w:val="00DD1940"/>
    <w:rsid w:val="00E02B71"/>
    <w:rsid w:val="00E54290"/>
    <w:rsid w:val="00E92D70"/>
    <w:rsid w:val="00E978B4"/>
    <w:rsid w:val="00F84C17"/>
    <w:rsid w:val="00FB0257"/>
    <w:rsid w:val="00FF1AC9"/>
    <w:rsid w:val="00FF39BA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1ABDF6A8"/>
  <w15:docId w15:val="{447D2602-3A3F-4509-A844-EC909EF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D46BE1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D46BE1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61df493d604d468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1291</Words>
  <Characters>6459</Characters>
  <Application>Microsoft Office Word</Application>
  <DocSecurity>0</DocSecurity>
  <Lines>53</Lines>
  <Paragraphs>15</Paragraphs>
  <ScaleCrop>false</ScaleCrop>
  <Company>Microsoft Corporation</Company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איתן אורנשטיין</cp:lastModifiedBy>
  <cp:revision>83</cp:revision>
  <cp:lastPrinted>2018-04-11T11:06:00Z</cp:lastPrinted>
  <dcterms:created xsi:type="dcterms:W3CDTF">2012-08-05T19:30:00Z</dcterms:created>
  <dcterms:modified xsi:type="dcterms:W3CDTF">2018-04-11T12:07:00Z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