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912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878"/>
      </w:tblGrid>
      <w:tr w:rsidRPr="00353694" w:rsidR="006816EC" w:rsidTr="003F5D5D">
        <w:trPr>
          <w:jc w:val="center"/>
        </w:trPr>
        <w:tc>
          <w:tcPr>
            <w:tcW w:w="743" w:type="dxa"/>
            <w:hideMark/>
          </w:tcPr>
          <w:p w:rsidRPr="00353694" w:rsidR="006816EC" w:rsidRDefault="006816EC">
            <w:pPr>
              <w:jc w:val="both"/>
              <w:rPr>
                <w:rFonts w:ascii="Arial (W1)" w:hAnsi="Arial (W1)"/>
                <w:b/>
                <w:bCs/>
                <w:spacing w:val="10"/>
                <w:sz w:val="28"/>
                <w:szCs w:val="28"/>
              </w:rPr>
            </w:pPr>
            <w:r w:rsidRPr="00353694">
              <w:rPr>
                <w:rFonts w:hint="cs"/>
                <w:b/>
                <w:bCs/>
                <w:spacing w:val="10"/>
                <w:sz w:val="28"/>
                <w:szCs w:val="28"/>
                <w:rtl/>
              </w:rPr>
              <w:t xml:space="preserve">בפני </w:t>
            </w:r>
          </w:p>
        </w:tc>
        <w:tc>
          <w:tcPr>
            <w:tcW w:w="8384" w:type="dxa"/>
            <w:gridSpan w:val="2"/>
            <w:hideMark/>
          </w:tcPr>
          <w:p w:rsidRPr="00353694" w:rsidR="006816EC" w:rsidP="00D801F9" w:rsidRDefault="00B32C61">
            <w:pPr>
              <w:rPr>
                <w:spacing w:val="10"/>
                <w:sz w:val="28"/>
                <w:szCs w:val="28"/>
              </w:rPr>
            </w:pPr>
            <w:r w:rsidRPr="00353694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>כבוד</w:t>
            </w:r>
            <w:r w:rsidRPr="00353694" w:rsidR="006816EC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 w:rsidRPr="00353694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353694" w:rsidR="006816EC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 w:rsidRPr="00353694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אורי גולדקורן</w:t>
                </w:r>
                <w:r w:rsidR="00E123FF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br/>
                </w:r>
              </w:sdtContent>
            </w:sdt>
          </w:p>
        </w:tc>
      </w:tr>
      <w:tr w:rsidRPr="00353694" w:rsidR="006816EC" w:rsidTr="003F5D5D">
        <w:trPr>
          <w:jc w:val="center"/>
        </w:trPr>
        <w:tc>
          <w:tcPr>
            <w:tcW w:w="3249" w:type="dxa"/>
            <w:gridSpan w:val="2"/>
          </w:tcPr>
          <w:p w:rsidRPr="00353694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spacing w:val="10"/>
                <w:sz w:val="28"/>
                <w:szCs w:val="28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Pr="00353694" w:rsidR="00AE1629" w:rsidP="0072584A" w:rsidRDefault="0072584A">
                <w:pPr>
                  <w:rPr>
                    <w:rFonts w:ascii="Arial (W1)" w:hAnsi="Arial (W1)"/>
                    <w:b/>
                    <w:bCs/>
                    <w:noProof w:val="0"/>
                    <w:spacing w:val="10"/>
                    <w:sz w:val="28"/>
                    <w:szCs w:val="28"/>
                  </w:rPr>
                </w:pPr>
                <w:r w:rsidRPr="00353694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התובעת</w:t>
                </w:r>
              </w:p>
            </w:sdtContent>
          </w:sdt>
        </w:tc>
        <w:tc>
          <w:tcPr>
            <w:tcW w:w="5878" w:type="dxa"/>
          </w:tcPr>
          <w:p w:rsidRPr="00353694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353694" w:rsidR="006816EC" w:rsidRDefault="000F5050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איילון חברה לביטוח בע"מ</w:t>
                </w:r>
                <w:r w:rsidRPr="00353694" w:rsidR="0072584A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, ח"פ 52-0042169</w:t>
                </w:r>
                <w:r w:rsidRPr="00353694" w:rsidR="0072584A">
                  <w:rPr>
                    <w:b/>
                    <w:bCs/>
                    <w:spacing w:val="10"/>
                    <w:sz w:val="28"/>
                    <w:szCs w:val="28"/>
                    <w:rtl/>
                  </w:rPr>
                  <w:br/>
                </w:r>
                <w:r w:rsidRPr="00353694" w:rsidR="0072584A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ע"י ב"כ עו"ד שי ששון-נתנאל</w:t>
                </w:r>
              </w:sdtContent>
            </w:sdt>
          </w:p>
        </w:tc>
      </w:tr>
      <w:tr w:rsidRPr="00353694" w:rsidR="006816EC" w:rsidTr="003F5D5D">
        <w:trPr>
          <w:jc w:val="center"/>
        </w:trPr>
        <w:tc>
          <w:tcPr>
            <w:tcW w:w="9127" w:type="dxa"/>
            <w:gridSpan w:val="3"/>
          </w:tcPr>
          <w:p w:rsidRPr="00353694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353694" w:rsidR="006816EC" w:rsidP="00D801F9" w:rsidRDefault="006816EC">
            <w:pPr>
              <w:jc w:val="center"/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r w:rsidRPr="00353694">
              <w:rPr>
                <w:rFonts w:hint="cs"/>
                <w:b/>
                <w:bCs/>
                <w:noProof w:val="0"/>
                <w:spacing w:val="10"/>
                <w:sz w:val="28"/>
                <w:szCs w:val="28"/>
                <w:rtl/>
              </w:rPr>
              <w:t>נגד</w:t>
            </w:r>
          </w:p>
        </w:tc>
      </w:tr>
      <w:tr w:rsidRPr="00353694" w:rsidR="006816EC" w:rsidTr="003F5D5D">
        <w:trPr>
          <w:jc w:val="center"/>
        </w:trPr>
        <w:tc>
          <w:tcPr>
            <w:tcW w:w="3249" w:type="dxa"/>
            <w:gridSpan w:val="2"/>
          </w:tcPr>
          <w:p w:rsidRPr="00353694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353694" w:rsidR="006816EC" w:rsidRDefault="000F5050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353694" w:rsidR="0072584A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ה</w:t>
                </w:r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נתבעים</w:t>
                </w:r>
              </w:sdtContent>
            </w:sdt>
          </w:p>
        </w:tc>
        <w:tc>
          <w:tcPr>
            <w:tcW w:w="5878" w:type="dxa"/>
          </w:tcPr>
          <w:p w:rsidRPr="00353694" w:rsidR="006816EC" w:rsidRDefault="006816EC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  <w:rtl/>
              </w:rPr>
            </w:pPr>
          </w:p>
          <w:p w:rsidRPr="00353694" w:rsidR="006816EC" w:rsidRDefault="000F5050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1</w:t>
                </w:r>
              </w:sdtContent>
            </w:sdt>
            <w:r w:rsidRPr="00353694" w:rsidR="006816EC">
              <w:rPr>
                <w:rFonts w:hint="cs"/>
                <w:b/>
                <w:bCs/>
                <w:noProof w:val="0"/>
                <w:spacing w:val="1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Pr="00353694" w:rsidR="003F5D5D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 xml:space="preserve">  </w:t>
                </w:r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עלי טארק</w:t>
                </w:r>
                <w:r w:rsidRPr="00353694" w:rsidR="0072584A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, ת"ז 058953662</w:t>
                </w:r>
              </w:sdtContent>
            </w:sdt>
          </w:p>
          <w:p w:rsidRPr="00353694" w:rsidR="006816EC" w:rsidRDefault="000F5050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571"/>
                <w:tag w:val="1571"/>
                <w:id w:val="-1620454201"/>
                <w:text w:multiLine="1"/>
              </w:sdtPr>
              <w:sdtEndPr/>
              <w:sdtContent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2</w:t>
                </w:r>
              </w:sdtContent>
            </w:sdt>
            <w:r w:rsidRPr="00353694" w:rsidR="006816EC">
              <w:rPr>
                <w:rFonts w:hint="cs"/>
                <w:b/>
                <w:bCs/>
                <w:noProof w:val="0"/>
                <w:spacing w:val="1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86"/>
                <w:tag w:val="1486"/>
                <w:id w:val="356318153"/>
                <w:text w:multiLine="1"/>
              </w:sdtPr>
              <w:sdtEndPr/>
              <w:sdtContent>
                <w:r w:rsidRPr="00353694" w:rsidR="003F5D5D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 xml:space="preserve">  </w:t>
                </w:r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מנורה מבטחים ביטוח בע"מ</w:t>
                </w:r>
                <w:r w:rsidRPr="00353694" w:rsidR="0072584A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, ח"פ 52-0042540</w:t>
                </w:r>
                <w:r w:rsidRPr="00353694" w:rsidR="0072584A">
                  <w:rPr>
                    <w:b/>
                    <w:bCs/>
                    <w:spacing w:val="10"/>
                    <w:sz w:val="28"/>
                    <w:szCs w:val="28"/>
                    <w:rtl/>
                  </w:rPr>
                  <w:br/>
                </w:r>
                <w:r w:rsidRPr="00353694" w:rsidR="003F5D5D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שניהם ע"י ב"כ עו"ד שי ליאון</w:t>
                </w:r>
                <w:r w:rsidRPr="00353694" w:rsidR="003F5D5D">
                  <w:rPr>
                    <w:b/>
                    <w:bCs/>
                    <w:spacing w:val="10"/>
                    <w:sz w:val="28"/>
                    <w:szCs w:val="28"/>
                    <w:rtl/>
                  </w:rPr>
                  <w:br/>
                </w:r>
              </w:sdtContent>
            </w:sdt>
          </w:p>
          <w:p w:rsidRPr="00353694" w:rsidR="006816EC" w:rsidRDefault="000F5050">
            <w:pPr>
              <w:rPr>
                <w:rFonts w:ascii="Arial (W1)" w:hAnsi="Arial (W1)"/>
                <w:b/>
                <w:bCs/>
                <w:noProof w:val="0"/>
                <w:spacing w:val="10"/>
                <w:sz w:val="28"/>
                <w:szCs w:val="28"/>
              </w:rPr>
            </w:pPr>
            <w:sdt>
              <w:sdtPr>
                <w:rPr>
                  <w:rFonts w:hint="cs"/>
                  <w:spacing w:val="10"/>
                  <w:sz w:val="28"/>
                  <w:szCs w:val="28"/>
                  <w:rtl/>
                </w:rPr>
                <w:alias w:val="1571"/>
                <w:tag w:val="1571"/>
                <w:id w:val="358946584"/>
                <w:text w:multiLine="1"/>
              </w:sdtPr>
              <w:sdtEndPr/>
              <w:sdtContent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3</w:t>
                </w:r>
              </w:sdtContent>
            </w:sdt>
            <w:r w:rsidRPr="00353694" w:rsidR="006816EC">
              <w:rPr>
                <w:rFonts w:hint="cs"/>
                <w:b/>
                <w:bCs/>
                <w:noProof w:val="0"/>
                <w:spacing w:val="10"/>
                <w:sz w:val="28"/>
                <w:szCs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spacing w:val="10"/>
                  <w:sz w:val="28"/>
                  <w:szCs w:val="28"/>
                  <w:rtl/>
                </w:rPr>
                <w:alias w:val="1486"/>
                <w:tag w:val="1486"/>
                <w:id w:val="-2093158935"/>
                <w:text w:multiLine="1"/>
              </w:sdtPr>
              <w:sdtEndPr/>
              <w:sdtContent>
                <w:r w:rsidRPr="00353694" w:rsidR="003F5D5D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 xml:space="preserve">  </w:t>
                </w:r>
                <w:r w:rsidRPr="00353694" w:rsidR="00D36A71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אחמד חליליה</w:t>
                </w:r>
                <w:r w:rsidRPr="00353694" w:rsidR="003F5D5D">
                  <w:rPr>
                    <w:rFonts w:hint="cs"/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t>, ת"ז 312317811</w:t>
                </w:r>
                <w:r w:rsidRPr="00353694" w:rsidR="003F5D5D">
                  <w:rPr>
                    <w:b/>
                    <w:bCs/>
                    <w:noProof w:val="0"/>
                    <w:spacing w:val="10"/>
                    <w:sz w:val="28"/>
                    <w:szCs w:val="28"/>
                    <w:rtl/>
                  </w:rPr>
                  <w:br/>
                </w:r>
                <w:r w:rsidRPr="00353694" w:rsidR="003F5D5D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  ע"י ב"כ עו"ד כמאל אבו רחמון</w:t>
                </w:r>
              </w:sdtContent>
            </w:sdt>
          </w:p>
        </w:tc>
      </w:tr>
    </w:tbl>
    <w:p w:rsidRPr="00353694" w:rsidR="006816EC" w:rsidP="003823DA" w:rsidRDefault="006816EC">
      <w:pPr>
        <w:suppressLineNumbers/>
        <w:rPr>
          <w:spacing w:val="10"/>
          <w:sz w:val="28"/>
          <w:szCs w:val="28"/>
          <w:rtl/>
        </w:rPr>
      </w:pPr>
    </w:p>
    <w:p w:rsidRPr="00353694" w:rsidR="00D801F9" w:rsidP="003823DA" w:rsidRDefault="00D801F9">
      <w:pPr>
        <w:suppressLineNumbers/>
        <w:rPr>
          <w:spacing w:val="10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353694" w:rsidR="00694556">
        <w:trPr>
          <w:jc w:val="center"/>
        </w:trPr>
        <w:tc>
          <w:tcPr>
            <w:tcW w:w="8820" w:type="dxa"/>
          </w:tcPr>
          <w:p w:rsidRPr="00353694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</w:rPr>
            </w:pPr>
            <w:r w:rsidRPr="00353694"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  <w:rtl/>
              </w:rPr>
              <w:t>פסק דין</w:t>
            </w:r>
          </w:p>
        </w:tc>
      </w:tr>
    </w:tbl>
    <w:p w:rsidRPr="00353694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Pr="00353694" w:rsidR="00844C4D" w:rsidP="00844C4D" w:rsidRDefault="00844C4D">
      <w:pPr>
        <w:tabs>
          <w:tab w:val="left" w:pos="850"/>
        </w:tabs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Pr="00353694" w:rsidR="00F37D03" w:rsidP="00E123FF" w:rsidRDefault="00844C4D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/>
          <w:noProof w:val="0"/>
          <w:spacing w:val="10"/>
          <w:rtl/>
        </w:rPr>
        <w:t>1.</w:t>
      </w: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 w:rsidR="007A0961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ביום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18</w:t>
      </w:r>
      <w:r w:rsidRPr="00353694" w:rsidR="007A0961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12</w:t>
      </w:r>
      <w:r w:rsidRPr="00353694" w:rsidR="007A0961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2015</w:t>
      </w:r>
      <w:r w:rsidRPr="00353694" w:rsidR="007A0961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אירעה תאונת שרשרת בה היו מעורבים שלושה כלי רכב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אשר נסעו אחד אחרי השני</w:t>
      </w:r>
      <w:r w:rsidRPr="00353694" w:rsidR="00B5306B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בטור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. ברכב הראשון מסוג </w:t>
      </w:r>
      <w:r w:rsidRPr="00353694">
        <w:rPr>
          <w:rFonts w:hint="cs" w:ascii="Arial" w:hAnsi="Arial" w:cs="Miriam"/>
          <w:noProof w:val="0"/>
          <w:spacing w:val="10"/>
          <w:rtl/>
        </w:rPr>
        <w:t>פורד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, אשר בוטח על-ידי התובעת, </w:t>
      </w:r>
      <w:r w:rsidRPr="00353694" w:rsid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נהגה ח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ליליה אגסאן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(להלן: </w:t>
      </w:r>
      <w:r w:rsidRPr="00353694" w:rsidR="00A90462">
        <w:rPr>
          <w:rFonts w:hint="cs" w:ascii="Arial" w:hAnsi="Arial" w:cs="Miriam"/>
          <w:noProof w:val="0"/>
          <w:spacing w:val="10"/>
          <w:rtl/>
        </w:rPr>
        <w:t>נהגת הפורד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)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, ברכב השני מסוג </w:t>
      </w:r>
      <w:r w:rsidRPr="00353694">
        <w:rPr>
          <w:rFonts w:hint="cs" w:ascii="Arial" w:hAnsi="Arial" w:cs="Miriam"/>
          <w:noProof w:val="0"/>
          <w:spacing w:val="10"/>
          <w:rtl/>
        </w:rPr>
        <w:t>סקודה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 אשר היה בבעלות הנתבע מס' 1 ובוטח על-ידי הנתבעת מס' 2, נהג יעקב תבורי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(להלן: </w:t>
      </w:r>
      <w:r w:rsidRPr="00353694" w:rsidR="00A90462">
        <w:rPr>
          <w:rFonts w:hint="cs" w:ascii="Arial" w:hAnsi="Arial" w:cs="Miriam"/>
          <w:noProof w:val="0"/>
          <w:spacing w:val="10"/>
          <w:rtl/>
        </w:rPr>
        <w:t>נהג הסקודה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)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, וברכב השלישי מסוג </w:t>
      </w:r>
      <w:r w:rsidRPr="00353694">
        <w:rPr>
          <w:rFonts w:hint="cs" w:ascii="Arial" w:hAnsi="Arial" w:cs="Miriam"/>
          <w:noProof w:val="0"/>
          <w:spacing w:val="10"/>
          <w:rtl/>
        </w:rPr>
        <w:t>ב.מ.וו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נהג הנתבע </w:t>
      </w:r>
      <w:r w:rsidRPr="00353694" w:rsidR="00EB18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מס' 3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(להלן: </w:t>
      </w:r>
      <w:r w:rsidRPr="00353694" w:rsidR="00A90462">
        <w:rPr>
          <w:rFonts w:hint="cs" w:ascii="Arial" w:hAnsi="Arial" w:cs="Miriam"/>
          <w:noProof w:val="0"/>
          <w:spacing w:val="10"/>
          <w:rtl/>
        </w:rPr>
        <w:t>נהג הב.מ.וו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)</w:t>
      </w:r>
      <w:r w:rsidRPr="00353694" w:rsid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="00F115A3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353694" w:rsidR="00F115A3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בעקבות התאונה נגרם נזק לפורד.</w:t>
      </w:r>
      <w:r w:rsidR="000670A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353694" w:rsidR="000670A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התובעת אשר סברה שהתאונה נגרמה באשמת נהג הסקודה ונהג הב.מ.וו, הגישה תביעה נגד הנתבעים בגין נזקיה.</w:t>
      </w:r>
    </w:p>
    <w:p w:rsidRPr="00353694" w:rsidR="00B5306B" w:rsidP="00B5306B" w:rsidRDefault="00B5306B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353694" w:rsidR="00B5306B" w:rsidP="00E123FF" w:rsidRDefault="00F37D0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2.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>בכתב התביעה נטען כי בזמן ש</w:t>
      </w:r>
      <w:r w:rsidRPr="00353694" w:rsidR="00D801F9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הפורד נסע בכביש ב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נצרת והאט כ</w:t>
      </w:r>
      <w:r w:rsidR="00F115A3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די לאפשר לאוטובוס להשתלב</w:t>
      </w:r>
      <w:r w:rsidRPr="00353694" w:rsidR="00B5306B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פגע הסקודה</w:t>
      </w:r>
      <w:r w:rsidRPr="00353694" w:rsidR="00EB699A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בפורד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מאחור והב.מ.וו פגע בסקודה מאחור.</w:t>
      </w:r>
      <w:r w:rsidRPr="00353694" w:rsidR="00B5306B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353694" w:rsidR="0089451B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בכתב ההגנה שהגישו הנתבעים</w:t>
      </w:r>
      <w:r w:rsidR="004B6D8A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מס' </w:t>
      </w:r>
      <w:r w:rsidRPr="00353694" w:rsidR="0089451B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1 ו-2</w:t>
      </w:r>
      <w:r w:rsidRPr="00353694" w:rsidR="00A9046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נטען כי בעקבות האטת הפורד, האט נהג הסקודה את רכבו</w:t>
      </w:r>
      <w:r w:rsidRPr="00353694" w:rsidR="00323A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ותוך כדי כך</w:t>
      </w:r>
      <w:r w:rsidRPr="00353694" w:rsidR="00323A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פגע בו הב.מ.וו והדף אותו אל עבר הפורד. בכתב ההגנה מטעם </w:t>
      </w:r>
      <w:r w:rsidR="004B6D8A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</w:t>
      </w:r>
      <w:r w:rsidRPr="00353694" w:rsidR="00323A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נתבע</w:t>
      </w:r>
      <w:r w:rsidR="004B6D8A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מס' </w:t>
      </w:r>
      <w:r w:rsidRPr="00353694" w:rsidR="00323A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3 נטען כי</w:t>
      </w:r>
      <w:r w:rsidRPr="00353694" w:rsidR="0038091B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תחילה פגע הסקודה בפורד ורק לאחר מכן </w:t>
      </w:r>
      <w:r w:rsidRPr="00353694" w:rsidR="001B402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פגע הב.מ.וו קלות בסקודה.</w:t>
      </w:r>
    </w:p>
    <w:p w:rsidRPr="00353694" w:rsidR="000D3140" w:rsidP="00B5306B" w:rsidRDefault="000D3140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353694" w:rsidR="000D3140" w:rsidP="00E123FF" w:rsidRDefault="000D3140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3.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>ביום 13.3.2018 העידו שלושת הנהגים</w:t>
      </w:r>
      <w:r w:rsidRPr="00353694" w:rsidR="0089451B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ונחקרו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בחקירות נגדיות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 נהגת הפורד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העידה כי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נסעה במהי</w:t>
      </w:r>
      <w:r w:rsidRPr="00353694" w:rsidR="0074112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רות 50-40 קמ"ש וכאשר ראתה אוטובוס יוצא מתחנ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 באופן מפתיע,</w:t>
      </w:r>
      <w:r w:rsidRPr="00353694" w:rsidR="0074112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353694" w:rsidR="00741125">
        <w:rPr>
          <w:rFonts w:hint="cs" w:ascii="Arial" w:hAnsi="Arial" w:cs="FrankRuehl"/>
          <w:noProof w:val="0"/>
          <w:spacing w:val="10"/>
          <w:sz w:val="28"/>
          <w:szCs w:val="28"/>
          <w:rtl/>
        </w:rPr>
        <w:lastRenderedPageBreak/>
        <w:t xml:space="preserve">היא </w:t>
      </w:r>
      <w:r w:rsidRPr="00353694" w:rsidR="001B402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נאלצה לבלום</w:t>
      </w:r>
      <w:r w:rsidRPr="00353694" w:rsidR="0074112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 לדבריה</w:t>
      </w:r>
      <w:r w:rsidRPr="00353694" w:rsidR="001B402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 w:rsidR="0074112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היא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"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הרגישה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"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שתי פגיעות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 w:rsidR="001B402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אך </w:t>
      </w:r>
      <w:r w:rsidRPr="00353694" w:rsidR="001B402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לא ידעה לומר מה היה סדר הפגיעות בכל אחד מכלי הרכב.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נהג הסקודה העיד כי ראה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ש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הפורד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אט ו</w:t>
      </w:r>
      <w:r w:rsidRPr="00353694" w:rsidR="00E37F5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לכן הוא 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בלם</w:t>
      </w:r>
      <w:r w:rsidRPr="00353694" w:rsidR="00A7782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מבלי לפגוע ב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ו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ובתוך כך פגע הב.מ.וו בעוצמה בסקודה והדף אותו קדימה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אל עבר הפורד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שפגע בו</w:t>
      </w:r>
      <w:r w:rsidRPr="00353694" w:rsidR="000D3D32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 הוא הדגיש כי הב.מ.וו פגע בסקודה לפני שהסקודה פגע בפורד.</w:t>
      </w:r>
      <w:r w:rsidRPr="00353694" w:rsidR="000E5C6D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לעומת זאת, לדברי נהג הב.מ.וו,</w:t>
      </w:r>
      <w:r w:rsidRPr="00353694" w:rsidR="000E5C6D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בזמן שהוא נהג במהירות 50-40 קמ"ש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 w:rsidR="000E5C6D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הוא ראה שהפורד עצר בתחנה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="00EC23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בתוך כך,</w:t>
      </w:r>
      <w:r w:rsidR="008D486E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Pr="00353694" w:rsidR="000E5C6D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נהג הסקודה 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ניסה ולא הצליח </w:t>
      </w:r>
      <w:r w:rsidRPr="00353694" w:rsidR="000E5C6D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לעקוף את הפורד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ופגע בו</w:t>
      </w:r>
      <w:r w:rsidR="00EC23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C23DE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בהמשך,</w:t>
      </w:r>
      <w:r w:rsidRPr="00353694" w:rsidR="00D76DAD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ה.ב.מ.וו פגע קלות בסקודה.</w:t>
      </w:r>
    </w:p>
    <w:p w:rsidRPr="00353694" w:rsidR="00F37D03" w:rsidP="00F37D03" w:rsidRDefault="00F37D0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353694" w:rsidR="00F37D03" w:rsidP="00F37D03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4</w:t>
      </w:r>
      <w:r w:rsidRPr="00353694" w:rsidR="00F37D03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353694" w:rsidR="00F37D03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 xml:space="preserve">באי-כוח הצדדים הסמיכוני לתת פסק דין על דרך הפשרה על-פי סעיף 79א לחוק בתי המשפט [נוסח משולב], התשמ"ד-1984 וסיכמו את טענותיהם בעל פה. </w:t>
      </w:r>
    </w:p>
    <w:p w:rsidRPr="00353694" w:rsidR="00F37D03" w:rsidP="00F37D03" w:rsidRDefault="00F37D0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353694" w:rsidR="00F37D03" w:rsidP="00E123FF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yellow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5</w:t>
      </w:r>
      <w:r w:rsidRPr="00353694" w:rsidR="00F37D03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353694" w:rsidR="00F37D03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>לאחר שבחנתי את כל החומר שבפניי החלטתי לקבל את התביעה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ולקבוע כי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האחריות של נהג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הסקודה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הינה בשיעור 80% ושל נהג הב.מ.וו הינה 20%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</w:p>
    <w:p w:rsidRPr="00353694" w:rsidR="00100113" w:rsidP="00100113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353694" w:rsidR="00100113" w:rsidP="00100113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6.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>לאור האמור לעיל, הנני מקבל את התביעה ומורה כלדקמן:</w:t>
      </w:r>
    </w:p>
    <w:p w:rsidRPr="00353694" w:rsidR="00100113" w:rsidP="00100113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green"/>
          <w:rtl/>
        </w:rPr>
      </w:pPr>
    </w:p>
    <w:p w:rsidRPr="00353694" w:rsidR="00100113" w:rsidP="00100113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u w:val="single"/>
          <w:rtl/>
        </w:rPr>
        <w:t>נתבעים 1 ו-2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(ביחד ולחוד) ישלמו לתובעת את הסכומים הבאים:</w:t>
      </w:r>
    </w:p>
    <w:p w:rsidRPr="00353694" w:rsidR="00100113" w:rsidP="0029481C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(א)      6,46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8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₪ בצירוף הפרשי הצמדה וריבית כחוק החל ממועד הגשת התביעה, 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15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2017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 ועד לתשלום המלא בפועל;</w:t>
      </w:r>
    </w:p>
    <w:p w:rsidRPr="00353694" w:rsidR="00100113" w:rsidP="00E123FF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(ב)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 xml:space="preserve"> 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שני שליש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מאגרת תביעה בצירוף הפרשי הצמדה וריבית כחוק החל ממועד הגשת התביעה ועד לתשלום המלא בפועל; </w:t>
      </w:r>
    </w:p>
    <w:p w:rsidRPr="00353694" w:rsidR="00100113" w:rsidP="0029481C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(ג)     </w:t>
      </w:r>
      <w:r w:rsidR="00E123FF">
        <w:rPr>
          <w:rFonts w:ascii="Arial" w:hAnsi="Arial" w:cs="FrankRuehl"/>
          <w:noProof w:val="0"/>
          <w:spacing w:val="10"/>
          <w:sz w:val="28"/>
          <w:szCs w:val="28"/>
          <w:rtl/>
        </w:rPr>
        <w:tab/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שכר טרחת עורך-דין בסך 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2,000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₪ בצירוף הפרשי הצמדה וריבית כחוק החל מהיום ועד לתשלום המלא בפועל.</w:t>
      </w:r>
    </w:p>
    <w:p w:rsidRPr="00353694" w:rsidR="00100113" w:rsidP="00100113" w:rsidRDefault="00100113">
      <w:pPr>
        <w:spacing w:line="360" w:lineRule="auto"/>
        <w:jc w:val="both"/>
        <w:rPr>
          <w:rFonts w:ascii="Arial" w:hAnsi="Arial"/>
          <w:noProof w:val="0"/>
          <w:spacing w:val="10"/>
          <w:highlight w:val="green"/>
          <w:rtl/>
        </w:rPr>
      </w:pPr>
    </w:p>
    <w:p w:rsidRPr="00353694" w:rsidR="00100113" w:rsidP="0029481C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u w:val="single"/>
          <w:rtl/>
        </w:rPr>
        <w:t>נתבע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u w:val="single"/>
          <w:rtl/>
        </w:rPr>
        <w:t xml:space="preserve"> 3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u w:val="single"/>
          <w:rtl/>
        </w:rPr>
        <w:t xml:space="preserve">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ישל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ם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לתובעת את הסכומים הבאים:</w:t>
      </w:r>
    </w:p>
    <w:p w:rsidRPr="00353694" w:rsidR="00100113" w:rsidP="0029481C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(א)        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</w:t>
      </w:r>
      <w:r w:rsidRPr="00353694" w:rsidR="0029481C">
        <w:rPr>
          <w:rFonts w:hint="cs" w:ascii="Arial" w:hAnsi="Arial" w:cs="FrankRuehl"/>
          <w:noProof w:val="0"/>
          <w:spacing w:val="10"/>
          <w:sz w:val="28"/>
          <w:szCs w:val="28"/>
          <w:rtl/>
        </w:rPr>
        <w:t>616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₪  בצירוף הפרשי הצמדה וריבית כחוק החל ממועד הגשת התביעה, ועד לתשלום המלא בפועל;</w:t>
      </w:r>
    </w:p>
    <w:p w:rsidRPr="00353694" w:rsidR="00100113" w:rsidP="00E123FF" w:rsidRDefault="0010011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(ב)       </w:t>
      </w:r>
      <w:r w:rsidR="00E123F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שליש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מאגרת תביעה בצירוף הפרשי הצמדה וריבית כחוק החל ממועד הגשת התביעה ועד לתשלום המלא; </w:t>
      </w:r>
    </w:p>
    <w:p w:rsidRPr="00353694" w:rsidR="00100113" w:rsidP="00337088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lastRenderedPageBreak/>
        <w:t xml:space="preserve">(ג) 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  <w:t xml:space="preserve">שכר טרחת עורך-דין בסך </w:t>
      </w:r>
      <w:r w:rsidR="00337088">
        <w:rPr>
          <w:rFonts w:hint="cs" w:ascii="Arial" w:hAnsi="Arial" w:cs="FrankRuehl"/>
          <w:noProof w:val="0"/>
          <w:spacing w:val="10"/>
          <w:sz w:val="28"/>
          <w:szCs w:val="28"/>
          <w:rtl/>
        </w:rPr>
        <w:t>500</w:t>
      </w:r>
      <w:r w:rsidRPr="00353694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₪ בצירוף הפרשי הצמדה וריבית כחוק החל מהיום ועד לתשלום המלא בפועל.</w:t>
      </w:r>
    </w:p>
    <w:p w:rsidRPr="00353694" w:rsidR="00100113" w:rsidP="00100113" w:rsidRDefault="0010011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yellow"/>
          <w:rtl/>
        </w:rPr>
      </w:pPr>
    </w:p>
    <w:p w:rsidRPr="00353694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  <w:bookmarkStart w:name="_GoBack" w:id="0"/>
      <w:bookmarkEnd w:id="0"/>
    </w:p>
    <w:p w:rsidRPr="00353694" w:rsidR="00694556" w:rsidRDefault="00005C8B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353694">
        <w:rPr>
          <w:rFonts w:ascii="Arial" w:hAnsi="Arial" w:cs="FrankRuehl"/>
          <w:noProof w:val="0"/>
          <w:spacing w:val="10"/>
          <w:sz w:val="28"/>
          <w:szCs w:val="28"/>
          <w:rtl/>
        </w:rPr>
        <w:t xml:space="preserve">ניתן היום,  </w:t>
      </w:r>
      <w:sdt>
        <w:sdtPr>
          <w:rPr>
            <w:rFonts w:ascii="Arial" w:hAnsi="Arial" w:cs="FrankRuehl"/>
            <w:noProof w:val="0"/>
            <w:spacing w:val="10"/>
            <w:sz w:val="28"/>
            <w:szCs w:val="28"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 w:cs="FrankRuehl"/>
              <w:noProof w:val="0"/>
              <w:spacing w:val="10"/>
              <w:sz w:val="28"/>
              <w:szCs w:val="28"/>
              <w:rtl/>
            </w:rPr>
            <w:t>כ"ו ניסן תשע"ח</w:t>
          </w:r>
        </w:sdtContent>
      </w:sdt>
      <w:r w:rsidRPr="00353694">
        <w:rPr>
          <w:rFonts w:ascii="Arial" w:hAnsi="Arial" w:cs="FrankRuehl"/>
          <w:noProof w:val="0"/>
          <w:spacing w:val="10"/>
          <w:sz w:val="28"/>
          <w:szCs w:val="28"/>
          <w:rtl/>
        </w:rPr>
        <w:t xml:space="preserve">, </w:t>
      </w:r>
      <w:sdt>
        <w:sdtPr>
          <w:rPr>
            <w:rFonts w:ascii="Arial" w:hAnsi="Arial" w:cs="FrankRuehl"/>
            <w:noProof w:val="0"/>
            <w:spacing w:val="10"/>
            <w:sz w:val="28"/>
            <w:szCs w:val="28"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 w:cs="FrankRuehl"/>
              <w:noProof w:val="0"/>
              <w:spacing w:val="10"/>
              <w:sz w:val="28"/>
              <w:szCs w:val="28"/>
              <w:rtl/>
            </w:rPr>
            <w:t>11 אפריל 2018</w:t>
          </w:r>
        </w:sdtContent>
      </w:sdt>
      <w:r w:rsidRPr="00353694">
        <w:rPr>
          <w:rFonts w:ascii="Arial" w:hAnsi="Arial" w:cs="FrankRuehl"/>
          <w:noProof w:val="0"/>
          <w:spacing w:val="10"/>
          <w:sz w:val="28"/>
          <w:szCs w:val="28"/>
          <w:rtl/>
        </w:rPr>
        <w:t>, בהעדר הצדדים.</w:t>
      </w:r>
    </w:p>
    <w:p w:rsidRPr="00353694" w:rsidR="005B0F49" w:rsidP="00633C4F" w:rsidRDefault="005B0F49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 w:rsidR="00633C4F">
        <w:rPr>
          <w:rFonts w:ascii="Arial" w:hAnsi="Arial"/>
          <w:noProof w:val="0"/>
          <w:spacing w:val="10"/>
          <w:rtl/>
        </w:rPr>
        <w:tab/>
      </w:r>
      <w:sdt>
        <w:sdtPr>
          <w:rPr>
            <w:rFonts w:hint="cs" w:ascii="Arial" w:hAnsi="Arial"/>
            <w:noProof w:val="0"/>
            <w:spacing w:val="1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>
        <w:rPr>
          <w:rFonts w:hint="cs" w:ascii="Arial" w:hAnsi="Arial"/>
          <w:noProof w:val="0"/>
          <w:spacing w:val="10"/>
          <w:rtl/>
        </w:rPr>
        <w:tab/>
      </w:r>
      <w:r w:rsidRPr="00353694" w:rsidR="00633C4F">
        <w:rPr>
          <w:rFonts w:ascii="Arial" w:hAnsi="Arial"/>
          <w:noProof w:val="0"/>
          <w:spacing w:val="10"/>
          <w:rtl/>
        </w:rPr>
        <w:t xml:space="preserve"> </w:t>
      </w:r>
    </w:p>
    <w:p w:rsidRPr="00353694" w:rsidR="00694556" w:rsidP="00633C4F" w:rsidRDefault="000F5050">
      <w:pPr>
        <w:spacing w:line="360" w:lineRule="auto"/>
        <w:ind w:left="3600" w:firstLine="720"/>
        <w:rPr>
          <w:rFonts w:ascii="Arial" w:hAnsi="Arial"/>
          <w:noProof w:val="0"/>
          <w:spacing w:val="1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4508019f6414f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353694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p w:rsidRPr="00353694" w:rsidR="00694556" w:rsidRDefault="00694556">
      <w:pPr>
        <w:spacing w:line="360" w:lineRule="auto"/>
        <w:jc w:val="both"/>
        <w:rPr>
          <w:rFonts w:ascii="Arial" w:hAnsi="Arial"/>
          <w:noProof w:val="0"/>
          <w:spacing w:val="10"/>
          <w:rtl/>
        </w:rPr>
      </w:pPr>
    </w:p>
    <w:sectPr w:rsidRPr="00353694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F5050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F5050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505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0F505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33258-01-17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איילון חברה לביטוח בע"מ נ' עלי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3039D"/>
    <w:rsid w:val="000564AB"/>
    <w:rsid w:val="00063FFA"/>
    <w:rsid w:val="000670A4"/>
    <w:rsid w:val="000D3140"/>
    <w:rsid w:val="000D3D32"/>
    <w:rsid w:val="000D4A02"/>
    <w:rsid w:val="000E5C6D"/>
    <w:rsid w:val="000F5050"/>
    <w:rsid w:val="00100113"/>
    <w:rsid w:val="001072A9"/>
    <w:rsid w:val="00121F97"/>
    <w:rsid w:val="001277D7"/>
    <w:rsid w:val="00132017"/>
    <w:rsid w:val="0014234E"/>
    <w:rsid w:val="00145A87"/>
    <w:rsid w:val="00176C84"/>
    <w:rsid w:val="001B402E"/>
    <w:rsid w:val="001C4003"/>
    <w:rsid w:val="001D6065"/>
    <w:rsid w:val="001F5474"/>
    <w:rsid w:val="002352F7"/>
    <w:rsid w:val="0029481C"/>
    <w:rsid w:val="002B0EAE"/>
    <w:rsid w:val="00323ADE"/>
    <w:rsid w:val="0033283D"/>
    <w:rsid w:val="00337088"/>
    <w:rsid w:val="00350C10"/>
    <w:rsid w:val="00353694"/>
    <w:rsid w:val="0038091B"/>
    <w:rsid w:val="00381D3A"/>
    <w:rsid w:val="003823DA"/>
    <w:rsid w:val="003F5D5D"/>
    <w:rsid w:val="0043595F"/>
    <w:rsid w:val="0047645A"/>
    <w:rsid w:val="00484E93"/>
    <w:rsid w:val="004B6D8A"/>
    <w:rsid w:val="004C339D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793A"/>
    <w:rsid w:val="00622BAA"/>
    <w:rsid w:val="00625C89"/>
    <w:rsid w:val="00633C4F"/>
    <w:rsid w:val="00671BD5"/>
    <w:rsid w:val="006739BB"/>
    <w:rsid w:val="00676615"/>
    <w:rsid w:val="006805C1"/>
    <w:rsid w:val="006816EC"/>
    <w:rsid w:val="00694556"/>
    <w:rsid w:val="006E1A53"/>
    <w:rsid w:val="007056AA"/>
    <w:rsid w:val="0072584A"/>
    <w:rsid w:val="00741125"/>
    <w:rsid w:val="00744F41"/>
    <w:rsid w:val="007A0961"/>
    <w:rsid w:val="007A24FE"/>
    <w:rsid w:val="007A35AA"/>
    <w:rsid w:val="007F1048"/>
    <w:rsid w:val="00820005"/>
    <w:rsid w:val="00844C4D"/>
    <w:rsid w:val="00846D27"/>
    <w:rsid w:val="008610A7"/>
    <w:rsid w:val="0089451B"/>
    <w:rsid w:val="008D486E"/>
    <w:rsid w:val="008E1332"/>
    <w:rsid w:val="00903896"/>
    <w:rsid w:val="00927813"/>
    <w:rsid w:val="00944D13"/>
    <w:rsid w:val="00955C52"/>
    <w:rsid w:val="00957C90"/>
    <w:rsid w:val="009908B3"/>
    <w:rsid w:val="009910EA"/>
    <w:rsid w:val="009D1050"/>
    <w:rsid w:val="009E0263"/>
    <w:rsid w:val="00A267CF"/>
    <w:rsid w:val="00A43458"/>
    <w:rsid w:val="00A77824"/>
    <w:rsid w:val="00A90462"/>
    <w:rsid w:val="00AC4E19"/>
    <w:rsid w:val="00AE1629"/>
    <w:rsid w:val="00AF1ED6"/>
    <w:rsid w:val="00B32C61"/>
    <w:rsid w:val="00B368FE"/>
    <w:rsid w:val="00B5306B"/>
    <w:rsid w:val="00B80CBD"/>
    <w:rsid w:val="00BB39D1"/>
    <w:rsid w:val="00BC3369"/>
    <w:rsid w:val="00BF77EE"/>
    <w:rsid w:val="00C32E0F"/>
    <w:rsid w:val="00C42BF9"/>
    <w:rsid w:val="00C83E56"/>
    <w:rsid w:val="00C84B99"/>
    <w:rsid w:val="00CA10F5"/>
    <w:rsid w:val="00D319B3"/>
    <w:rsid w:val="00D36A71"/>
    <w:rsid w:val="00D53924"/>
    <w:rsid w:val="00D60849"/>
    <w:rsid w:val="00D760F9"/>
    <w:rsid w:val="00D76DAD"/>
    <w:rsid w:val="00D801F9"/>
    <w:rsid w:val="00D96D8C"/>
    <w:rsid w:val="00DA755B"/>
    <w:rsid w:val="00DB5DE6"/>
    <w:rsid w:val="00DD337E"/>
    <w:rsid w:val="00E00B6F"/>
    <w:rsid w:val="00E04C3B"/>
    <w:rsid w:val="00E123FF"/>
    <w:rsid w:val="00E1316A"/>
    <w:rsid w:val="00E37F5E"/>
    <w:rsid w:val="00E54642"/>
    <w:rsid w:val="00E97908"/>
    <w:rsid w:val="00EB18DE"/>
    <w:rsid w:val="00EB699A"/>
    <w:rsid w:val="00EC23DE"/>
    <w:rsid w:val="00EF3ED0"/>
    <w:rsid w:val="00F115A3"/>
    <w:rsid w:val="00F17E56"/>
    <w:rsid w:val="00F37D03"/>
    <w:rsid w:val="00FA3259"/>
    <w:rsid w:val="00FD6A34"/>
    <w:rsid w:val="00FE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9D8AF8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b4508019f6414f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F22C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485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106</cp:revision>
  <cp:lastPrinted>2018-04-09T12:01:00Z</cp:lastPrinted>
  <dcterms:created xsi:type="dcterms:W3CDTF">2012-08-05T21:29:00Z</dcterms:created>
  <dcterms:modified xsi:type="dcterms:W3CDTF">2018-04-11T08:30:00Z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