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36"/>
        <w:gridCol w:w="5541"/>
      </w:tblGrid>
      <w:tr w:rsidRPr="00D53D42" w:rsidR="004F43D2" w:rsidTr="00B67ACE">
        <w:trPr>
          <w:jc w:val="center"/>
        </w:trPr>
        <w:tc>
          <w:tcPr>
            <w:tcW w:w="743" w:type="dxa"/>
          </w:tcPr>
          <w:p w:rsidRPr="00D53D42" w:rsidR="004F43D2" w:rsidP="00D53D42" w:rsidRDefault="004F43D2">
            <w:pPr>
              <w:jc w:val="both"/>
              <w:rPr>
                <w:rFonts w:ascii="Arial" w:hAnsi="Arial"/>
                <w:b/>
                <w:bCs/>
                <w:noProof/>
                <w:sz w:val="26"/>
                <w:szCs w:val="26"/>
              </w:rPr>
            </w:pPr>
            <w:r w:rsidRPr="00D53D42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Pr="00D53D42" w:rsidR="004F43D2" w:rsidP="00D53D42" w:rsidRDefault="004F43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53D42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כב' השופט אריה נאמן </w:t>
            </w:r>
          </w:p>
          <w:p w:rsidRPr="00D53D42" w:rsidR="004F43D2" w:rsidP="00D53D42" w:rsidRDefault="004F43D2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</w:rPr>
            </w:pPr>
          </w:p>
        </w:tc>
      </w:tr>
      <w:tr w:rsidRPr="00D53D42" w:rsidR="004F43D2" w:rsidTr="00B67ACE">
        <w:tblPrEx>
          <w:jc w:val="right"/>
        </w:tblPrEx>
        <w:trPr>
          <w:jc w:val="right"/>
        </w:trPr>
        <w:tc>
          <w:tcPr>
            <w:tcW w:w="3279" w:type="dxa"/>
            <w:gridSpan w:val="2"/>
          </w:tcPr>
          <w:p w:rsidRPr="00D53D42" w:rsidR="004F43D2" w:rsidP="00D53D42" w:rsidRDefault="004F43D2">
            <w:pPr>
              <w:spacing w:line="360" w:lineRule="auto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בעניין:</w:t>
            </w:r>
          </w:p>
        </w:tc>
        <w:tc>
          <w:tcPr>
            <w:tcW w:w="5541" w:type="dxa"/>
          </w:tcPr>
          <w:p w:rsidRPr="00D53D42" w:rsidR="004F43D2" w:rsidP="00D53D42" w:rsidRDefault="004F43D2">
            <w:pPr>
              <w:spacing w:line="360" w:lineRule="auto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 xml:space="preserve">פקודת פשיטת הרגל [נוסח חדש], התש"ם-1980 </w:t>
            </w:r>
          </w:p>
          <w:p w:rsidRPr="00D53D42" w:rsidR="004F43D2" w:rsidP="00D53D42" w:rsidRDefault="004F43D2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להלן: "הפקודה"</w:t>
            </w:r>
          </w:p>
        </w:tc>
      </w:tr>
      <w:tr w:rsidRPr="00D53D42" w:rsidR="004F43D2" w:rsidTr="00B67ACE">
        <w:tblPrEx>
          <w:jc w:val="right"/>
        </w:tblPrEx>
        <w:trPr>
          <w:trHeight w:val="720"/>
          <w:jc w:val="right"/>
        </w:trPr>
        <w:tc>
          <w:tcPr>
            <w:tcW w:w="3279" w:type="dxa"/>
            <w:gridSpan w:val="2"/>
          </w:tcPr>
          <w:p w:rsidRPr="00D53D42" w:rsidR="004F43D2" w:rsidP="00D53D42" w:rsidRDefault="004F43D2">
            <w:pPr>
              <w:spacing w:line="360" w:lineRule="auto"/>
              <w:rPr>
                <w:b/>
                <w:bCs/>
              </w:rPr>
            </w:pPr>
            <w:r w:rsidRPr="00D53D42">
              <w:rPr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541" w:type="dxa"/>
          </w:tcPr>
          <w:p w:rsidRPr="00D53D42" w:rsidR="004F43D2" w:rsidP="00D53D42" w:rsidRDefault="004F43D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נחאס מוחמד</w:t>
            </w:r>
            <w:r w:rsidRPr="00D53D42">
              <w:rPr>
                <w:b/>
                <w:bCs/>
                <w:rtl/>
              </w:rPr>
              <w:t xml:space="preserve">, ת"ז </w:t>
            </w:r>
            <w:r>
              <w:rPr>
                <w:rFonts w:hint="cs"/>
                <w:b/>
                <w:bCs/>
                <w:rtl/>
              </w:rPr>
              <w:t>23325657</w:t>
            </w:r>
          </w:p>
          <w:p w:rsidRPr="00D53D42" w:rsidR="004F43D2" w:rsidP="00D53D42" w:rsidRDefault="004F43D2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להלן: "החייב"</w:t>
            </w:r>
          </w:p>
        </w:tc>
      </w:tr>
      <w:tr w:rsidRPr="00D53D42" w:rsidR="004F43D2" w:rsidTr="00B67ACE">
        <w:tblPrEx>
          <w:jc w:val="right"/>
        </w:tblPrEx>
        <w:trPr>
          <w:jc w:val="right"/>
        </w:trPr>
        <w:tc>
          <w:tcPr>
            <w:tcW w:w="3279" w:type="dxa"/>
            <w:gridSpan w:val="2"/>
          </w:tcPr>
          <w:p w:rsidRPr="00D53D42" w:rsidR="004F43D2" w:rsidP="00D53D42" w:rsidRDefault="004F43D2">
            <w:pPr>
              <w:spacing w:line="360" w:lineRule="auto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ובעניין:</w:t>
            </w:r>
          </w:p>
        </w:tc>
        <w:tc>
          <w:tcPr>
            <w:tcW w:w="5541" w:type="dxa"/>
          </w:tcPr>
          <w:p w:rsidRPr="00D53D42" w:rsidR="004F43D2" w:rsidP="00D53D42" w:rsidRDefault="004F43D2">
            <w:pPr>
              <w:spacing w:line="360" w:lineRule="auto"/>
              <w:rPr>
                <w:b/>
                <w:bCs/>
                <w:rtl/>
              </w:rPr>
            </w:pPr>
            <w:r w:rsidRPr="00D53D42">
              <w:rPr>
                <w:b/>
                <w:bCs/>
                <w:rtl/>
              </w:rPr>
              <w:t>הכונס הרשמי מחוז חיפה</w:t>
            </w:r>
          </w:p>
          <w:p w:rsidRPr="00D53D42" w:rsidR="004F43D2" w:rsidP="00D53D42" w:rsidRDefault="004F43D2">
            <w:pPr>
              <w:spacing w:line="360" w:lineRule="auto"/>
              <w:jc w:val="right"/>
              <w:rPr>
                <w:b/>
                <w:bCs/>
                <w:noProof/>
              </w:rPr>
            </w:pPr>
            <w:r w:rsidRPr="00D53D42">
              <w:rPr>
                <w:b/>
                <w:bCs/>
                <w:rtl/>
              </w:rPr>
              <w:t>להלן: "הכונ"ר"</w:t>
            </w:r>
          </w:p>
        </w:tc>
      </w:tr>
    </w:tbl>
    <w:p w:rsidRPr="004F43D2" w:rsidR="004F43D2" w:rsidRDefault="004F43D2"/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2B3161" w:rsidP="002B3161" w:rsidRDefault="002B3161">
      <w:pPr>
        <w:spacing w:line="360" w:lineRule="auto"/>
        <w:ind w:left="720" w:hanging="720"/>
        <w:jc w:val="both"/>
      </w:pPr>
      <w:bookmarkStart w:name="NGCSBookmark" w:id="1"/>
      <w:bookmarkEnd w:id="1"/>
      <w:r>
        <w:rPr>
          <w:rtl/>
        </w:rPr>
        <w:t>1.</w:t>
      </w:r>
      <w:r>
        <w:rPr>
          <w:rtl/>
        </w:rPr>
        <w:tab/>
        <w:t xml:space="preserve">לאור הודעת </w:t>
      </w:r>
      <w:r>
        <w:rPr>
          <w:rFonts w:hint="cs"/>
          <w:rtl/>
        </w:rPr>
        <w:t xml:space="preserve">ב"כ הכונ"ר </w:t>
      </w:r>
      <w:r>
        <w:rPr>
          <w:rtl/>
        </w:rPr>
        <w:t xml:space="preserve">כי החייב עמד בתנאי ההפטר המותנה, ניתן בזה לחייב צו הפטר חלוט מחובותיו ברי התביעה. </w:t>
      </w:r>
    </w:p>
    <w:p w:rsidR="002B3161" w:rsidP="00CE6C48" w:rsidRDefault="002B3161">
      <w:pPr>
        <w:spacing w:line="360" w:lineRule="auto"/>
        <w:jc w:val="both"/>
        <w:rPr>
          <w:rtl/>
        </w:rPr>
      </w:pPr>
    </w:p>
    <w:p w:rsidR="002B3161" w:rsidP="00CE6C48" w:rsidRDefault="002B3161">
      <w:pPr>
        <w:spacing w:line="360" w:lineRule="auto"/>
        <w:jc w:val="both"/>
        <w:rPr>
          <w:rtl/>
        </w:rPr>
      </w:pPr>
      <w:r>
        <w:rPr>
          <w:rtl/>
        </w:rPr>
        <w:t>2.</w:t>
      </w:r>
      <w:r>
        <w:rPr>
          <w:rtl/>
        </w:rPr>
        <w:tab/>
        <w:t xml:space="preserve">צו הכינוס מבוטל בזה, וכך גם כל ההגבלות מכוחו, לרבות הצו לעיכוב יציאתו של החייב </w:t>
      </w:r>
      <w:r>
        <w:rPr>
          <w:rtl/>
        </w:rPr>
        <w:tab/>
        <w:t>מן הארץ.</w:t>
      </w:r>
    </w:p>
    <w:p w:rsidR="002B3161" w:rsidP="00CE6C48" w:rsidRDefault="002B3161">
      <w:pPr>
        <w:spacing w:line="360" w:lineRule="auto"/>
        <w:jc w:val="both"/>
        <w:rPr>
          <w:rtl/>
        </w:rPr>
      </w:pPr>
    </w:p>
    <w:p w:rsidR="002B3161" w:rsidP="00CE6C48" w:rsidRDefault="002B3161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>3.</w:t>
      </w:r>
      <w:r>
        <w:rPr>
          <w:rtl/>
        </w:rPr>
        <w:tab/>
        <w:t xml:space="preserve">לשם הסרת ספק מובהר בזאת, כי כל נכס, כספים וזכויות, השייכים לחייב מכל מקור שהוא (לרבות כספים בחברות ביטוח, זכויות להחזרי מס וכדו') </w:t>
      </w:r>
      <w:r>
        <w:rPr>
          <w:u w:val="single"/>
          <w:rtl/>
        </w:rPr>
        <w:t>שלא דווחו ע"י החייב במהלך הליכי פשיטת הרגל עד לקבלת הפטר זה</w:t>
      </w:r>
      <w:r>
        <w:rPr>
          <w:rtl/>
        </w:rPr>
        <w:t>, יועברו לקופת הפש"ר במלואם מיד עם גילויים, אף אם יתגלו לאחר קבלת ההפטר.</w:t>
      </w:r>
    </w:p>
    <w:p w:rsidR="002B3161" w:rsidP="00CE6C48" w:rsidRDefault="002B3161">
      <w:pPr>
        <w:spacing w:line="360" w:lineRule="auto"/>
        <w:jc w:val="both"/>
        <w:rPr>
          <w:rtl/>
        </w:rPr>
      </w:pPr>
    </w:p>
    <w:p w:rsidR="002B3161" w:rsidP="00CE6C48" w:rsidRDefault="002B3161">
      <w:pPr>
        <w:pStyle w:val="affffc"/>
        <w:spacing w:line="360" w:lineRule="auto"/>
        <w:ind w:left="135"/>
        <w:jc w:val="both"/>
      </w:pPr>
    </w:p>
    <w:p w:rsidR="002B3161" w:rsidP="00CE6C48" w:rsidRDefault="002B3161">
      <w:pPr>
        <w:spacing w:line="360" w:lineRule="auto"/>
        <w:jc w:val="both"/>
        <w:rPr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7F735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b864a49dce9477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F7359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F7359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F735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F735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32992-04-13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נחאס נ' כונס נכסים רשמי מחוז חיפה והצפון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FAD4C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1CACC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5461D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4EDE3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8285B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2A1E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58094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7C75F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EAF3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AEA2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AD15DB"/>
    <w:multiLevelType w:val="hybridMultilevel"/>
    <w:tmpl w:val="25D8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B3161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F43D2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34BDA"/>
    <w:rsid w:val="00753019"/>
    <w:rsid w:val="00754801"/>
    <w:rsid w:val="00761441"/>
    <w:rsid w:val="00777BDD"/>
    <w:rsid w:val="00795365"/>
    <w:rsid w:val="007A351D"/>
    <w:rsid w:val="007B7765"/>
    <w:rsid w:val="007C5BDD"/>
    <w:rsid w:val="007D45E3"/>
    <w:rsid w:val="007E6115"/>
    <w:rsid w:val="007F4609"/>
    <w:rsid w:val="007F735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81374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F43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F4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F4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F43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F4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F43D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F43D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F43D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4F43D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F43D2"/>
    <w:rPr>
      <w:i/>
      <w:iCs/>
      <w:noProof w:val="0"/>
    </w:rPr>
  </w:style>
  <w:style w:type="character" w:styleId="HTMLCode">
    <w:name w:val="HTML Code"/>
    <w:basedOn w:val="a2"/>
    <w:semiHidden/>
    <w:unhideWhenUsed/>
    <w:rsid w:val="004F43D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F43D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F43D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F43D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F43D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F43D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F43D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F43D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F43D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F43D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F43D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F43D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F43D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F43D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F43D2"/>
    <w:pPr>
      <w:ind w:left="2160" w:hanging="240"/>
    </w:pPr>
  </w:style>
  <w:style w:type="paragraph" w:styleId="NormalWeb">
    <w:name w:val="Normal (Web)"/>
    <w:basedOn w:val="a1"/>
    <w:semiHidden/>
    <w:unhideWhenUsed/>
    <w:rsid w:val="004F43D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F43D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F43D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F43D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F43D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F43D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F43D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F43D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F43D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F43D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F43D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F43D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F43D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4F43D2"/>
  </w:style>
  <w:style w:type="paragraph" w:styleId="af1">
    <w:name w:val="Salutation"/>
    <w:basedOn w:val="a1"/>
    <w:next w:val="a1"/>
    <w:link w:val="af2"/>
    <w:rsid w:val="004F43D2"/>
  </w:style>
  <w:style w:type="character" w:customStyle="1" w:styleId="af2">
    <w:name w:val="ברכה תו"/>
    <w:basedOn w:val="a2"/>
    <w:link w:val="af1"/>
    <w:rsid w:val="004F43D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4F43D2"/>
    <w:pPr>
      <w:spacing w:after="120"/>
    </w:pPr>
  </w:style>
  <w:style w:type="character" w:customStyle="1" w:styleId="af4">
    <w:name w:val="גוף טקסט תו"/>
    <w:basedOn w:val="a2"/>
    <w:link w:val="af3"/>
    <w:semiHidden/>
    <w:rsid w:val="004F43D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F43D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F43D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F43D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F43D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F43D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4F43D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4F43D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4F43D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4F43D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F43D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F43D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F43D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F43D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4F43D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4F43D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4F43D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4F43D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4F43D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F43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F43D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F43D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F43D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F43D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F43D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F43D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4F43D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F43D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F43D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F43D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F43D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F43D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F43D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F43D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F43D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F43D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F43D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F43D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F43D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4F43D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4F43D2"/>
    <w:pPr>
      <w:ind w:left="4252"/>
    </w:pPr>
  </w:style>
  <w:style w:type="character" w:customStyle="1" w:styleId="aff1">
    <w:name w:val="חתימה תו"/>
    <w:basedOn w:val="a2"/>
    <w:link w:val="aff0"/>
    <w:semiHidden/>
    <w:rsid w:val="004F43D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4F43D2"/>
  </w:style>
  <w:style w:type="character" w:customStyle="1" w:styleId="aff3">
    <w:name w:val="חתימת דואר אלקטרוני תו"/>
    <w:basedOn w:val="a2"/>
    <w:link w:val="aff2"/>
    <w:semiHidden/>
    <w:rsid w:val="004F43D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4F43D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4F43D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F43D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F43D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4F43D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F43D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F43D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F43D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F43D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F43D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F43D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F43D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F43D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F43D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F43D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F43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F43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F43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F43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F43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F43D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F43D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F43D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F43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F43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F43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F43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F43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F43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F43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F43D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F43D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F43D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F43D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F43D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F43D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F43D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F43D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F43D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F43D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F43D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F43D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F43D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F43D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F43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F43D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F43D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F43D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F43D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F43D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F43D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F43D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F43D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F43D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F43D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F43D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F43D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F43D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F43D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F43D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F43D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F43D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F43D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F43D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F43D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F43D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F43D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F43D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F43D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F43D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F43D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F43D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F43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F43D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F43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F43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F43D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F43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F43D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F43D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F43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F43D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F43D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F43D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F43D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F43D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F43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F43D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F43D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F43D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F43D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F43D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F43D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F43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F43D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F43D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F43D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F43D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F43D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F43D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F43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F43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F43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F43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F43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F43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F43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F43D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F43D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F43D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F43D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F43D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F43D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F43D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F43D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F43D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F43D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F43D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F43D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F43D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F43D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4F43D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4F43D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4F43D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4F43D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4F43D2"/>
    <w:rPr>
      <w:rFonts w:cs="David"/>
      <w:noProof w:val="0"/>
    </w:rPr>
  </w:style>
  <w:style w:type="paragraph" w:styleId="affc">
    <w:name w:val="macro"/>
    <w:link w:val="affd"/>
    <w:semiHidden/>
    <w:unhideWhenUsed/>
    <w:rsid w:val="004F43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4F43D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4F43D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F43D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F43D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F43D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F43D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F43D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F43D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F43D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F43D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F43D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F43D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F43D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F43D2"/>
  </w:style>
  <w:style w:type="character" w:customStyle="1" w:styleId="afff3">
    <w:name w:val="כותרת הערות תו"/>
    <w:basedOn w:val="a2"/>
    <w:link w:val="afff2"/>
    <w:semiHidden/>
    <w:rsid w:val="004F43D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F43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F43D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F43D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F43D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F43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F43D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F43D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F43D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F43D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F43D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F43D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F43D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F43D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F43D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F43D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F43D2"/>
    <w:pPr>
      <w:ind w:left="720"/>
    </w:pPr>
  </w:style>
  <w:style w:type="paragraph" w:styleId="affff0">
    <w:name w:val="Body Text First Indent"/>
    <w:basedOn w:val="af3"/>
    <w:link w:val="affff1"/>
    <w:rsid w:val="004F43D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4F43D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F43D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F43D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F43D2"/>
    <w:rPr>
      <w:i/>
      <w:iCs/>
    </w:rPr>
  </w:style>
  <w:style w:type="character" w:customStyle="1" w:styleId="HTML3">
    <w:name w:val="כתובת HTML תו"/>
    <w:basedOn w:val="a2"/>
    <w:link w:val="HTML2"/>
    <w:semiHidden/>
    <w:rsid w:val="004F43D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F43D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F43D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F43D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F43D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F43D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F43D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F43D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F43D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F43D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F43D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F43D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F43D2"/>
    <w:pPr>
      <w:ind w:left="4252"/>
    </w:pPr>
  </w:style>
  <w:style w:type="character" w:customStyle="1" w:styleId="affffb">
    <w:name w:val="סיום תו"/>
    <w:basedOn w:val="a2"/>
    <w:link w:val="affffa"/>
    <w:semiHidden/>
    <w:rsid w:val="004F43D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F43D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F43D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F43D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F43D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F43D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F43D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F43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F43D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F43D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F43D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F43D2"/>
    <w:rPr>
      <w:noProof w:val="0"/>
    </w:rPr>
  </w:style>
  <w:style w:type="paragraph" w:styleId="afffff1">
    <w:name w:val="List"/>
    <w:basedOn w:val="a1"/>
    <w:semiHidden/>
    <w:unhideWhenUsed/>
    <w:rsid w:val="004F43D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F43D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F43D2"/>
    <w:pPr>
      <w:ind w:left="849" w:hanging="283"/>
      <w:contextualSpacing/>
    </w:pPr>
  </w:style>
  <w:style w:type="paragraph" w:styleId="48">
    <w:name w:val="List 4"/>
    <w:basedOn w:val="a1"/>
    <w:rsid w:val="004F43D2"/>
    <w:pPr>
      <w:ind w:left="1132" w:hanging="283"/>
      <w:contextualSpacing/>
    </w:pPr>
  </w:style>
  <w:style w:type="paragraph" w:styleId="58">
    <w:name w:val="List 5"/>
    <w:basedOn w:val="a1"/>
    <w:rsid w:val="004F43D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4F43D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F43D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F43D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F43D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F43D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F43D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F43D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F43D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F43D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F43D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F43D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F43D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F43D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F43D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F43D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F43D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F43D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F43D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F43D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F43D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F43D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F43D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F43D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F43D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F43D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F43D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F43D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F43D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F43D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F43D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F43D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F43D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F43D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F43D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F43D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F43D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F43D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F43D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F43D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F43D2"/>
  </w:style>
  <w:style w:type="paragraph" w:styleId="afffff6">
    <w:name w:val="table of authorities"/>
    <w:basedOn w:val="a1"/>
    <w:next w:val="a1"/>
    <w:semiHidden/>
    <w:unhideWhenUsed/>
    <w:rsid w:val="004F43D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4F43D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F43D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F43D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F43D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F43D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F43D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F43D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F43D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F43D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F43D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F43D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F43D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F43D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F43D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F43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F43D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F43D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F43D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F43D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F43D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F43D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F43D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F43D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F43D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F43D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F43D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F43D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F43D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F43D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F43D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F43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F43D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F43D2"/>
  </w:style>
  <w:style w:type="character" w:customStyle="1" w:styleId="afffffb">
    <w:name w:val="תאריך תו"/>
    <w:basedOn w:val="a2"/>
    <w:link w:val="afffffa"/>
    <w:rsid w:val="004F43D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b864a49dce9477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676E5" w:rsidP="00E676E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676E5" w:rsidP="00E676E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676E5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E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676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676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134</Words>
  <Characters>675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119</cp:revision>
  <dcterms:created xsi:type="dcterms:W3CDTF">2012-08-06T05:16:00Z</dcterms:created>
  <dcterms:modified xsi:type="dcterms:W3CDTF">2018-04-10T08:20:00Z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