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FA4EAF" w:rsidR="0094424E" w:rsidP="0094424E" w:rsidRDefault="0094424E">
      <w:pPr>
        <w:rPr>
          <w:sz w:val="26"/>
          <w:szCs w:val="26"/>
          <w:rtl/>
        </w:rPr>
      </w:pPr>
      <w:r w:rsidRPr="00FA4EAF">
        <w:rPr>
          <w:sz w:val="26"/>
          <w:szCs w:val="26"/>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1800"/>
        <w:gridCol w:w="3771"/>
      </w:tblGrid>
      <w:tr w:rsidRPr="00FA4EAF" w:rsidR="0094424E">
        <w:trPr>
          <w:trHeight w:val="295"/>
          <w:jc w:val="center"/>
        </w:trPr>
        <w:tc>
          <w:tcPr>
            <w:tcW w:w="5049" w:type="dxa"/>
            <w:gridSpan w:val="3"/>
          </w:tcPr>
          <w:p w:rsidRPr="00FA4EAF" w:rsidR="0094424E" w:rsidRDefault="0094424E">
            <w:pPr>
              <w:rPr>
                <w:rFonts w:ascii="Arial" w:hAnsi="Arial"/>
                <w:b/>
                <w:bCs/>
                <w:noProof w:val="0"/>
                <w:sz w:val="26"/>
                <w:szCs w:val="26"/>
                <w:rtl/>
              </w:rPr>
            </w:pPr>
          </w:p>
        </w:tc>
        <w:tc>
          <w:tcPr>
            <w:tcW w:w="3771" w:type="dxa"/>
          </w:tcPr>
          <w:p w:rsidRPr="00FA4EAF" w:rsidR="0094424E" w:rsidP="00896889" w:rsidRDefault="0094424E">
            <w:pPr>
              <w:rPr>
                <w:rFonts w:ascii="Arial" w:hAnsi="Arial"/>
                <w:b/>
                <w:bCs/>
                <w:noProof w:val="0"/>
                <w:sz w:val="26"/>
                <w:szCs w:val="26"/>
                <w:rtl/>
              </w:rPr>
            </w:pPr>
            <w:r w:rsidRPr="00FA4EAF">
              <w:rPr>
                <w:rFonts w:ascii="Arial" w:hAnsi="Arial"/>
                <w:b/>
                <w:bCs/>
                <w:noProof w:val="0"/>
                <w:sz w:val="26"/>
                <w:szCs w:val="26"/>
                <w:rtl/>
              </w:rPr>
              <w:t>מספר בקשה:</w:t>
            </w:r>
            <w:sdt>
              <w:sdtPr>
                <w:rPr>
                  <w:sz w:val="26"/>
                  <w:szCs w:val="26"/>
                  <w:rtl/>
                </w:rPr>
                <w:alias w:val="1193"/>
                <w:tag w:val="1193"/>
                <w:id w:val="-636028727"/>
                <w:text w:multiLine="1"/>
              </w:sdtPr>
              <w:sdtEndPr/>
              <w:sdtContent>
                <w:r>
                  <w:rPr>
                    <w:rFonts w:ascii="Arial" w:hAnsi="Arial"/>
                    <w:b/>
                    <w:bCs/>
                    <w:noProof w:val="0"/>
                    <w:sz w:val="26"/>
                    <w:szCs w:val="26"/>
                    <w:rtl/>
                  </w:rPr>
                  <w:t>5</w:t>
                </w:r>
              </w:sdtContent>
            </w:sdt>
          </w:p>
        </w:tc>
      </w:tr>
      <w:tr w:rsidRPr="00FA4EAF" w:rsidR="0094424E">
        <w:trPr>
          <w:jc w:val="center"/>
        </w:trPr>
        <w:tc>
          <w:tcPr>
            <w:tcW w:w="743" w:type="dxa"/>
          </w:tcPr>
          <w:p w:rsidRPr="00FA4EAF" w:rsidR="0094424E" w:rsidP="00E962E3" w:rsidRDefault="00D74378">
            <w:pPr>
              <w:jc w:val="both"/>
              <w:rPr>
                <w:rFonts w:ascii="Arial" w:hAnsi="Arial"/>
                <w:b/>
                <w:bCs/>
                <w:sz w:val="26"/>
                <w:szCs w:val="26"/>
                <w:rtl/>
              </w:rPr>
            </w:pPr>
            <w:r>
              <w:rPr>
                <w:rFonts w:hint="cs" w:ascii="Arial" w:hAnsi="Arial"/>
                <w:b/>
                <w:bCs/>
                <w:sz w:val="26"/>
                <w:szCs w:val="26"/>
                <w:rtl/>
              </w:rPr>
              <w:t>ל</w:t>
            </w:r>
            <w:r w:rsidRPr="00FA4EAF" w:rsidR="0094424E">
              <w:rPr>
                <w:rFonts w:ascii="Arial" w:hAnsi="Arial"/>
                <w:b/>
                <w:bCs/>
                <w:sz w:val="26"/>
                <w:szCs w:val="26"/>
                <w:rtl/>
              </w:rPr>
              <w:t xml:space="preserve">פני </w:t>
            </w:r>
          </w:p>
        </w:tc>
        <w:tc>
          <w:tcPr>
            <w:tcW w:w="8077" w:type="dxa"/>
            <w:gridSpan w:val="3"/>
          </w:tcPr>
          <w:p w:rsidRPr="00FA4EAF" w:rsidR="0094424E" w:rsidRDefault="000529D2">
            <w:pPr>
              <w:rPr>
                <w:rFonts w:ascii="Arial" w:hAnsi="Arial"/>
                <w:b/>
                <w:bCs/>
                <w:sz w:val="26"/>
                <w:szCs w:val="26"/>
                <w:rtl/>
              </w:rPr>
            </w:pPr>
            <w:r w:rsidRPr="00FA4EAF">
              <w:rPr>
                <w:rFonts w:hint="cs" w:ascii="Arial" w:hAnsi="Arial"/>
                <w:b/>
                <w:bCs/>
                <w:sz w:val="26"/>
                <w:szCs w:val="26"/>
                <w:rtl/>
              </w:rPr>
              <w:t>כבוד</w:t>
            </w:r>
            <w:r w:rsidRPr="00FA4EAF" w:rsidR="0094424E">
              <w:rPr>
                <w:rFonts w:hint="cs" w:ascii="Arial" w:hAnsi="Arial"/>
                <w:b/>
                <w:bCs/>
                <w:sz w:val="26"/>
                <w:szCs w:val="26"/>
                <w:rtl/>
              </w:rPr>
              <w:t xml:space="preserve"> ה</w:t>
            </w:r>
            <w:sdt>
              <w:sdtPr>
                <w:rPr>
                  <w:sz w:val="26"/>
                  <w:szCs w:val="26"/>
                  <w:rtl/>
                </w:rPr>
                <w:alias w:val="1574"/>
                <w:tag w:val="1574"/>
                <w:id w:val="414602899"/>
                <w:text w:multiLine="1"/>
              </w:sdtPr>
              <w:sdtEndPr/>
              <w:sdtContent>
                <w:r>
                  <w:rPr>
                    <w:rFonts w:ascii="Arial" w:hAnsi="Arial"/>
                    <w:b/>
                    <w:bCs/>
                    <w:sz w:val="26"/>
                    <w:szCs w:val="26"/>
                    <w:rtl/>
                  </w:rPr>
                  <w:t>שופטת</w:t>
                </w:r>
              </w:sdtContent>
            </w:sdt>
            <w:r w:rsidRPr="00FA4EAF" w:rsidR="0094424E">
              <w:rPr>
                <w:rFonts w:hint="cs" w:ascii="Arial" w:hAnsi="Arial"/>
                <w:b/>
                <w:bCs/>
                <w:sz w:val="26"/>
                <w:szCs w:val="26"/>
                <w:rtl/>
              </w:rPr>
              <w:t xml:space="preserve">  </w:t>
            </w:r>
            <w:sdt>
              <w:sdtPr>
                <w:rPr>
                  <w:sz w:val="26"/>
                  <w:szCs w:val="26"/>
                  <w:rtl/>
                </w:rPr>
                <w:alias w:val="1573"/>
                <w:tag w:val="1573"/>
                <w:id w:val="-1751030614"/>
                <w:text w:multiLine="1"/>
              </w:sdtPr>
              <w:sdtEndPr/>
              <w:sdtContent>
                <w:r>
                  <w:rPr>
                    <w:rFonts w:ascii="Arial" w:hAnsi="Arial"/>
                    <w:b/>
                    <w:bCs/>
                    <w:sz w:val="26"/>
                    <w:szCs w:val="26"/>
                    <w:rtl/>
                  </w:rPr>
                  <w:t>יעל בלכר</w:t>
                </w:r>
              </w:sdtContent>
            </w:sdt>
          </w:p>
          <w:p w:rsidRPr="00FA4EAF" w:rsidR="0094424E" w:rsidRDefault="0094424E">
            <w:pPr>
              <w:rPr>
                <w:rFonts w:ascii="Arial" w:hAnsi="Arial" w:cs="FrankRuehl"/>
                <w:sz w:val="26"/>
                <w:szCs w:val="26"/>
                <w:highlight w:val="yellow"/>
              </w:rPr>
            </w:pPr>
          </w:p>
        </w:tc>
      </w:tr>
      <w:tr w:rsidRPr="00FA4EAF" w:rsidR="0094424E" w:rsidTr="00465D36">
        <w:trPr>
          <w:jc w:val="center"/>
        </w:trPr>
        <w:tc>
          <w:tcPr>
            <w:tcW w:w="3249" w:type="dxa"/>
            <w:gridSpan w:val="2"/>
          </w:tcPr>
          <w:p w:rsidR="0094424E" w:rsidP="00465D36" w:rsidRDefault="0094424E">
            <w:pPr>
              <w:rPr>
                <w:rFonts w:ascii="Arial" w:hAnsi="Arial"/>
                <w:b/>
                <w:bCs/>
                <w:noProof w:val="0"/>
                <w:sz w:val="26"/>
                <w:szCs w:val="26"/>
                <w:rtl/>
              </w:rPr>
            </w:pPr>
          </w:p>
          <w:p w:rsidRPr="00FA4EAF" w:rsidR="00360E96" w:rsidP="00465D36" w:rsidRDefault="00360E96">
            <w:pPr>
              <w:rPr>
                <w:rFonts w:ascii="Arial" w:hAnsi="Arial"/>
                <w:b/>
                <w:bCs/>
                <w:noProof w:val="0"/>
                <w:sz w:val="26"/>
                <w:szCs w:val="26"/>
              </w:rPr>
            </w:pPr>
          </w:p>
          <w:sdt>
            <w:sdtPr>
              <w:rPr>
                <w:b/>
                <w:bCs/>
                <w:sz w:val="26"/>
                <w:szCs w:val="26"/>
                <w:rtl/>
              </w:rPr>
              <w:alias w:val="1180"/>
              <w:tag w:val="1180"/>
              <w:id w:val="637458750"/>
              <w:text w:multiLine="1"/>
            </w:sdtPr>
            <w:sdtEndPr/>
            <w:sdtContent>
              <w:p w:rsidR="009F0462" w:rsidP="00BE628F" w:rsidRDefault="00BE628F">
                <w:pPr>
                  <w:rPr>
                    <w:sz w:val="26"/>
                    <w:szCs w:val="26"/>
                    <w:rtl/>
                  </w:rPr>
                </w:pPr>
                <w:r w:rsidRPr="00BE628F">
                  <w:rPr>
                    <w:rFonts w:hint="cs"/>
                    <w:b/>
                    <w:bCs/>
                    <w:sz w:val="26"/>
                    <w:szCs w:val="26"/>
                    <w:rtl/>
                  </w:rPr>
                  <w:t>ה</w:t>
                </w:r>
                <w:r w:rsidRPr="00BE628F" w:rsidR="00C974ED">
                  <w:rPr>
                    <w:rFonts w:ascii="Arial" w:hAnsi="Arial"/>
                    <w:b/>
                    <w:bCs/>
                    <w:noProof w:val="0"/>
                    <w:sz w:val="26"/>
                    <w:szCs w:val="26"/>
                    <w:rtl/>
                  </w:rPr>
                  <w:t>מבקש</w:t>
                </w:r>
                <w:r w:rsidRPr="00BE628F">
                  <w:rPr>
                    <w:rFonts w:hint="cs" w:ascii="Arial" w:hAnsi="Arial"/>
                    <w:b/>
                    <w:bCs/>
                    <w:noProof w:val="0"/>
                    <w:sz w:val="26"/>
                    <w:szCs w:val="26"/>
                    <w:rtl/>
                  </w:rPr>
                  <w:t>ת</w:t>
                </w:r>
              </w:p>
            </w:sdtContent>
          </w:sdt>
          <w:p w:rsidR="00BE628F" w:rsidP="00BE628F" w:rsidRDefault="00BE628F">
            <w:pPr>
              <w:rPr>
                <w:rFonts w:ascii="Arial" w:hAnsi="Arial"/>
                <w:b/>
                <w:bCs/>
                <w:noProof w:val="0"/>
                <w:sz w:val="26"/>
                <w:szCs w:val="26"/>
                <w:rtl/>
              </w:rPr>
            </w:pPr>
            <w:r>
              <w:rPr>
                <w:rFonts w:hint="cs" w:ascii="Arial" w:hAnsi="Arial"/>
                <w:b/>
                <w:bCs/>
                <w:sz w:val="26"/>
                <w:szCs w:val="26"/>
                <w:rtl/>
              </w:rPr>
              <w:t>(התובעת)</w:t>
            </w:r>
          </w:p>
        </w:tc>
        <w:tc>
          <w:tcPr>
            <w:tcW w:w="5571" w:type="dxa"/>
            <w:gridSpan w:val="2"/>
          </w:tcPr>
          <w:p w:rsidR="0094424E" w:rsidRDefault="0094424E">
            <w:pPr>
              <w:rPr>
                <w:rFonts w:ascii="Arial" w:hAnsi="Arial"/>
                <w:b/>
                <w:bCs/>
                <w:noProof w:val="0"/>
                <w:sz w:val="26"/>
                <w:szCs w:val="26"/>
                <w:rtl/>
              </w:rPr>
            </w:pPr>
          </w:p>
          <w:p w:rsidRPr="00FA4EAF" w:rsidR="00360E96" w:rsidRDefault="00360E96">
            <w:pPr>
              <w:rPr>
                <w:rFonts w:ascii="Arial" w:hAnsi="Arial"/>
                <w:b/>
                <w:bCs/>
                <w:noProof w:val="0"/>
                <w:sz w:val="26"/>
                <w:szCs w:val="26"/>
                <w:rtl/>
              </w:rPr>
            </w:pPr>
          </w:p>
          <w:p w:rsidR="003763AB" w:rsidRDefault="00505276">
            <w:pPr>
              <w:rPr>
                <w:sz w:val="26"/>
                <w:szCs w:val="26"/>
                <w:rtl/>
              </w:rPr>
            </w:pPr>
            <w:sdt>
              <w:sdtPr>
                <w:rPr>
                  <w:sz w:val="26"/>
                  <w:szCs w:val="26"/>
                  <w:rtl/>
                </w:rPr>
                <w:alias w:val="1478"/>
                <w:tag w:val="1478"/>
                <w:id w:val="-2076122985"/>
                <w:text w:multiLine="1"/>
              </w:sdtPr>
              <w:sdtEndPr/>
              <w:sdtContent>
                <w:r w:rsidR="00B95A71">
                  <w:rPr>
                    <w:rFonts w:ascii="Arial" w:hAnsi="Arial"/>
                    <w:b/>
                    <w:bCs/>
                    <w:noProof w:val="0"/>
                    <w:sz w:val="26"/>
                    <w:szCs w:val="26"/>
                    <w:rtl/>
                  </w:rPr>
                  <w:t>אזורים חברה להשקעות בפתוח ובבנין בע</w:t>
                </w:r>
                <w:r w:rsidR="00360E96">
                  <w:rPr>
                    <w:rFonts w:hint="cs" w:ascii="Arial" w:hAnsi="Arial"/>
                    <w:b/>
                    <w:bCs/>
                    <w:noProof w:val="0"/>
                    <w:sz w:val="26"/>
                    <w:szCs w:val="26"/>
                    <w:rtl/>
                  </w:rPr>
                  <w:t>"</w:t>
                </w:r>
                <w:r w:rsidR="00B95A71">
                  <w:rPr>
                    <w:rFonts w:ascii="Arial" w:hAnsi="Arial"/>
                    <w:b/>
                    <w:bCs/>
                    <w:noProof w:val="0"/>
                    <w:sz w:val="26"/>
                    <w:szCs w:val="26"/>
                    <w:rtl/>
                  </w:rPr>
                  <w:t>מ</w:t>
                </w:r>
              </w:sdtContent>
            </w:sdt>
          </w:p>
          <w:p w:rsidRPr="00BE628F" w:rsidR="0094424E" w:rsidP="00BE628F" w:rsidRDefault="00BE628F">
            <w:pPr>
              <w:rPr>
                <w:noProof w:val="0"/>
                <w:sz w:val="26"/>
                <w:szCs w:val="26"/>
              </w:rPr>
            </w:pPr>
            <w:r w:rsidRPr="00BE628F">
              <w:rPr>
                <w:rFonts w:hint="cs" w:ascii="David" w:hAnsi="David"/>
                <w:rtl/>
              </w:rPr>
              <w:t>ע"י ב"כ עוה"ד אדלשטיין, יוגב ואזר</w:t>
            </w:r>
            <w:r w:rsidRPr="00BE628F">
              <w:rPr>
                <w:rFonts w:hint="cs"/>
                <w:sz w:val="26"/>
                <w:szCs w:val="26"/>
                <w:rtl/>
              </w:rPr>
              <w:t xml:space="preserve"> </w:t>
            </w:r>
          </w:p>
        </w:tc>
      </w:tr>
      <w:tr w:rsidRPr="00FA4EAF" w:rsidR="0094424E">
        <w:trPr>
          <w:jc w:val="center"/>
        </w:trPr>
        <w:tc>
          <w:tcPr>
            <w:tcW w:w="8820" w:type="dxa"/>
            <w:gridSpan w:val="4"/>
          </w:tcPr>
          <w:p w:rsidRPr="00FA4EAF" w:rsidR="0094424E" w:rsidRDefault="0094424E">
            <w:pPr>
              <w:rPr>
                <w:rFonts w:ascii="Arial" w:hAnsi="Arial"/>
                <w:b/>
                <w:bCs/>
                <w:noProof w:val="0"/>
                <w:sz w:val="26"/>
                <w:szCs w:val="26"/>
                <w:rtl/>
              </w:rPr>
            </w:pPr>
          </w:p>
          <w:p w:rsidRPr="00FA4EAF" w:rsidR="0094424E" w:rsidRDefault="0094424E">
            <w:pPr>
              <w:jc w:val="center"/>
              <w:rPr>
                <w:rFonts w:ascii="Arial" w:hAnsi="Arial"/>
                <w:b/>
                <w:bCs/>
                <w:noProof w:val="0"/>
                <w:sz w:val="26"/>
                <w:szCs w:val="26"/>
                <w:rtl/>
              </w:rPr>
            </w:pPr>
            <w:r w:rsidRPr="00FA4EAF">
              <w:rPr>
                <w:rFonts w:ascii="Arial" w:hAnsi="Arial"/>
                <w:b/>
                <w:bCs/>
                <w:noProof w:val="0"/>
                <w:sz w:val="26"/>
                <w:szCs w:val="26"/>
                <w:rtl/>
              </w:rPr>
              <w:t>נגד</w:t>
            </w:r>
          </w:p>
          <w:p w:rsidRPr="00FA4EAF" w:rsidR="0094424E" w:rsidRDefault="0094424E">
            <w:pPr>
              <w:rPr>
                <w:rFonts w:ascii="Arial" w:hAnsi="Arial"/>
                <w:b/>
                <w:bCs/>
                <w:noProof w:val="0"/>
                <w:sz w:val="26"/>
                <w:szCs w:val="26"/>
              </w:rPr>
            </w:pPr>
          </w:p>
        </w:tc>
      </w:tr>
      <w:tr w:rsidRPr="00FA4EAF" w:rsidR="0094424E">
        <w:trPr>
          <w:jc w:val="center"/>
        </w:trPr>
        <w:tc>
          <w:tcPr>
            <w:tcW w:w="3249" w:type="dxa"/>
            <w:gridSpan w:val="2"/>
          </w:tcPr>
          <w:p w:rsidRPr="00FA4EAF" w:rsidR="0094424E" w:rsidRDefault="0094424E">
            <w:pPr>
              <w:rPr>
                <w:rFonts w:ascii="Arial" w:hAnsi="Arial"/>
                <w:b/>
                <w:bCs/>
                <w:noProof w:val="0"/>
                <w:sz w:val="26"/>
                <w:szCs w:val="26"/>
                <w:rtl/>
              </w:rPr>
            </w:pPr>
          </w:p>
          <w:p w:rsidRPr="00FA4EAF" w:rsidR="0094424E" w:rsidP="00BE628F" w:rsidRDefault="00505276">
            <w:pPr>
              <w:rPr>
                <w:rFonts w:ascii="Arial" w:hAnsi="Arial"/>
                <w:b/>
                <w:bCs/>
                <w:noProof w:val="0"/>
                <w:sz w:val="26"/>
                <w:szCs w:val="26"/>
              </w:rPr>
            </w:pPr>
            <w:sdt>
              <w:sdtPr>
                <w:rPr>
                  <w:b/>
                  <w:bCs/>
                  <w:sz w:val="26"/>
                  <w:szCs w:val="26"/>
                  <w:rtl/>
                </w:rPr>
                <w:alias w:val="1184"/>
                <w:tag w:val="1184"/>
                <w:id w:val="-340621022"/>
                <w:text w:multiLine="1"/>
              </w:sdtPr>
              <w:sdtEndPr/>
              <w:sdtContent>
                <w:r w:rsidRPr="00BE628F" w:rsidR="00BE628F">
                  <w:rPr>
                    <w:rFonts w:hint="cs" w:ascii="Arial" w:hAnsi="Arial"/>
                    <w:b/>
                    <w:bCs/>
                    <w:noProof w:val="0"/>
                    <w:sz w:val="26"/>
                    <w:szCs w:val="26"/>
                    <w:rtl/>
                  </w:rPr>
                  <w:t>ה</w:t>
                </w:r>
                <w:r w:rsidRPr="00BE628F" w:rsidR="00B95A71">
                  <w:rPr>
                    <w:rFonts w:ascii="Arial" w:hAnsi="Arial"/>
                    <w:b/>
                    <w:bCs/>
                    <w:noProof w:val="0"/>
                    <w:sz w:val="26"/>
                    <w:szCs w:val="26"/>
                    <w:rtl/>
                  </w:rPr>
                  <w:t>משיב</w:t>
                </w:r>
                <w:r w:rsidRPr="00BE628F" w:rsidR="00BE628F">
                  <w:rPr>
                    <w:rFonts w:hint="cs" w:ascii="Arial" w:hAnsi="Arial"/>
                    <w:b/>
                    <w:bCs/>
                    <w:noProof w:val="0"/>
                    <w:sz w:val="26"/>
                    <w:szCs w:val="26"/>
                    <w:rtl/>
                  </w:rPr>
                  <w:t>ות</w:t>
                </w:r>
                <w:r w:rsidRPr="00BE628F" w:rsidR="00BE628F">
                  <w:rPr>
                    <w:rFonts w:ascii="Arial" w:hAnsi="Arial"/>
                    <w:b/>
                    <w:bCs/>
                    <w:noProof w:val="0"/>
                    <w:sz w:val="26"/>
                    <w:szCs w:val="26"/>
                    <w:rtl/>
                  </w:rPr>
                  <w:br/>
                </w:r>
                <w:r w:rsidRPr="00BE628F" w:rsidR="00BE628F">
                  <w:rPr>
                    <w:rFonts w:hint="cs"/>
                    <w:b/>
                    <w:bCs/>
                    <w:sz w:val="26"/>
                    <w:szCs w:val="26"/>
                    <w:rtl/>
                  </w:rPr>
                  <w:t>(הנתבעות)</w:t>
                </w:r>
              </w:sdtContent>
            </w:sdt>
          </w:p>
        </w:tc>
        <w:tc>
          <w:tcPr>
            <w:tcW w:w="5571" w:type="dxa"/>
            <w:gridSpan w:val="2"/>
          </w:tcPr>
          <w:p w:rsidRPr="00FA4EAF" w:rsidR="0094424E" w:rsidRDefault="0094424E">
            <w:pPr>
              <w:rPr>
                <w:rFonts w:ascii="Arial" w:hAnsi="Arial"/>
                <w:b/>
                <w:bCs/>
                <w:noProof w:val="0"/>
                <w:sz w:val="26"/>
                <w:szCs w:val="26"/>
                <w:rtl/>
              </w:rPr>
            </w:pPr>
          </w:p>
          <w:p w:rsidR="003763AB" w:rsidRDefault="00505276">
            <w:pPr>
              <w:rPr>
                <w:sz w:val="26"/>
                <w:szCs w:val="26"/>
                <w:rtl/>
              </w:rPr>
            </w:pPr>
            <w:sdt>
              <w:sdtPr>
                <w:rPr>
                  <w:sz w:val="26"/>
                  <w:szCs w:val="26"/>
                  <w:rtl/>
                </w:rPr>
                <w:alias w:val="1486"/>
                <w:tag w:val="1486"/>
                <w:id w:val="-309872140"/>
                <w:text w:multiLine="1"/>
              </w:sdtPr>
              <w:sdtEndPr/>
              <w:sdtContent>
                <w:r w:rsidR="00BE628F">
                  <w:rPr>
                    <w:rFonts w:hint="cs" w:ascii="Arial" w:hAnsi="Arial"/>
                    <w:b/>
                    <w:bCs/>
                    <w:noProof w:val="0"/>
                    <w:sz w:val="26"/>
                    <w:szCs w:val="26"/>
                    <w:rtl/>
                  </w:rPr>
                  <w:t xml:space="preserve">1. </w:t>
                </w:r>
                <w:r w:rsidR="00B95A71">
                  <w:rPr>
                    <w:rFonts w:ascii="Arial" w:hAnsi="Arial"/>
                    <w:b/>
                    <w:bCs/>
                    <w:noProof w:val="0"/>
                    <w:sz w:val="26"/>
                    <w:szCs w:val="26"/>
                    <w:rtl/>
                  </w:rPr>
                  <w:t>קבוצת אל אר בע"מ</w:t>
                </w:r>
              </w:sdtContent>
            </w:sdt>
          </w:p>
          <w:p w:rsidRPr="00BE628F" w:rsidR="0094424E" w:rsidP="00BE628F" w:rsidRDefault="00A008B1">
            <w:pPr>
              <w:rPr>
                <w:noProof w:val="0"/>
                <w:sz w:val="26"/>
                <w:szCs w:val="26"/>
                <w:rtl/>
              </w:rPr>
            </w:pPr>
            <w:r>
              <w:rPr>
                <w:rFonts w:hint="cs" w:ascii="David" w:hAnsi="David"/>
                <w:rtl/>
              </w:rPr>
              <w:t xml:space="preserve">ע"י ב"כ </w:t>
            </w:r>
            <w:r w:rsidRPr="00BE628F" w:rsidR="00BE628F">
              <w:rPr>
                <w:rFonts w:hint="cs" w:ascii="David" w:hAnsi="David"/>
                <w:rtl/>
              </w:rPr>
              <w:t>עוה"ד הרטמן</w:t>
            </w:r>
            <w:r w:rsidR="00BE628F">
              <w:rPr>
                <w:rFonts w:hint="cs" w:ascii="David" w:hAnsi="David"/>
                <w:rtl/>
              </w:rPr>
              <w:t>,</w:t>
            </w:r>
            <w:r w:rsidRPr="00BE628F" w:rsidR="00BE628F">
              <w:rPr>
                <w:rFonts w:hint="cs" w:ascii="David" w:hAnsi="David"/>
                <w:rtl/>
              </w:rPr>
              <w:t xml:space="preserve"> פרינץ וולרשטיין</w:t>
            </w:r>
            <w:r w:rsidRPr="00BE628F" w:rsidR="00BE628F">
              <w:rPr>
                <w:rFonts w:hint="cs"/>
                <w:sz w:val="26"/>
                <w:szCs w:val="26"/>
                <w:rtl/>
              </w:rPr>
              <w:t xml:space="preserve"> </w:t>
            </w:r>
          </w:p>
        </w:tc>
      </w:tr>
      <w:tr w:rsidRPr="00FA4EAF" w:rsidR="004C17EE" w:rsidTr="00D620FD">
        <w:trPr>
          <w:jc w:val="center"/>
        </w:trPr>
        <w:tc>
          <w:tcPr>
            <w:tcW w:w="8820" w:type="dxa"/>
            <w:gridSpan w:val="4"/>
          </w:tcPr>
          <w:p w:rsidRPr="00BE628F" w:rsidR="009F0462" w:rsidRDefault="009F0462">
            <w:pPr>
              <w:rPr>
                <w:rFonts w:ascii="Arial" w:hAnsi="Arial"/>
                <w:b/>
                <w:bCs/>
                <w:noProof w:val="0"/>
                <w:sz w:val="26"/>
                <w:szCs w:val="26"/>
                <w:rtl/>
              </w:rPr>
            </w:pPr>
          </w:p>
        </w:tc>
      </w:tr>
      <w:tr w:rsidRPr="00FA4EAF" w:rsidR="00BE628F" w:rsidTr="00D620FD">
        <w:trPr>
          <w:jc w:val="center"/>
        </w:trPr>
        <w:tc>
          <w:tcPr>
            <w:tcW w:w="8820" w:type="dxa"/>
            <w:gridSpan w:val="4"/>
          </w:tcPr>
          <w:p w:rsidR="00BE628F" w:rsidP="00BE628F" w:rsidRDefault="00BE628F">
            <w:pPr>
              <w:rPr>
                <w:rFonts w:ascii="Arial" w:hAnsi="Arial"/>
                <w:b/>
                <w:bCs/>
                <w:noProof w:val="0"/>
                <w:sz w:val="26"/>
                <w:szCs w:val="26"/>
                <w:rtl/>
              </w:rPr>
            </w:pPr>
            <w:r>
              <w:rPr>
                <w:rFonts w:hint="cs" w:ascii="Arial" w:hAnsi="Arial"/>
                <w:b/>
                <w:bCs/>
                <w:noProof w:val="0"/>
                <w:sz w:val="26"/>
                <w:szCs w:val="26"/>
                <w:rtl/>
              </w:rPr>
              <w:t xml:space="preserve">                                                         2. </w:t>
            </w:r>
            <w:sdt>
              <w:sdtPr>
                <w:rPr>
                  <w:rFonts w:hint="cs"/>
                  <w:sz w:val="26"/>
                  <w:szCs w:val="26"/>
                  <w:rtl/>
                </w:rPr>
                <w:alias w:val="1486"/>
                <w:tag w:val="1486"/>
                <w:id w:val="-929896197"/>
                <w:text w:multiLine="1"/>
              </w:sdtPr>
              <w:sdtEndPr/>
              <w:sdtContent>
                <w:r>
                  <w:rPr>
                    <w:rFonts w:ascii="Arial" w:hAnsi="Arial"/>
                    <w:b/>
                    <w:bCs/>
                    <w:noProof w:val="0"/>
                    <w:sz w:val="26"/>
                    <w:szCs w:val="26"/>
                  </w:rPr>
                  <w:t>New Windsor Ltd</w:t>
                </w:r>
              </w:sdtContent>
            </w:sdt>
            <w:r>
              <w:rPr>
                <w:rFonts w:hint="cs" w:ascii="Arial" w:hAnsi="Arial"/>
                <w:b/>
                <w:bCs/>
                <w:noProof w:val="0"/>
                <w:sz w:val="26"/>
                <w:szCs w:val="26"/>
                <w:rtl/>
              </w:rPr>
              <w:t xml:space="preserve">    </w:t>
            </w:r>
          </w:p>
        </w:tc>
      </w:tr>
    </w:tbl>
    <w:p w:rsidR="0094424E" w:rsidP="0094424E" w:rsidRDefault="0094424E">
      <w:pPr>
        <w:rPr>
          <w:rtl/>
        </w:rPr>
      </w:pPr>
    </w:p>
    <w:p w:rsidR="00E31C2B" w:rsidP="006D3B31" w:rsidRDefault="00E31C2B">
      <w:pPr>
        <w:suppressLineNumbers/>
        <w:rPr>
          <w:rtl/>
        </w:rPr>
      </w:pPr>
    </w:p>
    <w:p w:rsidR="00360E96" w:rsidP="006D3B31" w:rsidRDefault="00360E96">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BE628F" w:rsidP="00BE628F" w:rsidRDefault="00BE628F">
      <w:pPr>
        <w:spacing w:line="360" w:lineRule="auto"/>
        <w:jc w:val="both"/>
        <w:rPr>
          <w:rFonts w:ascii="David" w:hAnsi="David"/>
          <w:rtl/>
        </w:rPr>
      </w:pPr>
    </w:p>
    <w:p w:rsidR="00BE628F" w:rsidP="00BE628F" w:rsidRDefault="00BE628F">
      <w:pPr>
        <w:spacing w:line="360" w:lineRule="auto"/>
        <w:jc w:val="both"/>
        <w:rPr>
          <w:rFonts w:ascii="David" w:hAnsi="David"/>
          <w:rtl/>
        </w:rPr>
      </w:pPr>
      <w:r>
        <w:rPr>
          <w:rFonts w:hint="cs" w:ascii="David" w:hAnsi="David"/>
          <w:rtl/>
        </w:rPr>
        <w:t>לפניי בקשת המבקשת לקבוע</w:t>
      </w:r>
      <w:r w:rsidR="00360231">
        <w:rPr>
          <w:rFonts w:hint="cs" w:ascii="David" w:hAnsi="David"/>
          <w:rtl/>
        </w:rPr>
        <w:t>,</w:t>
      </w:r>
      <w:r>
        <w:rPr>
          <w:rFonts w:hint="cs" w:ascii="David" w:hAnsi="David"/>
          <w:rtl/>
        </w:rPr>
        <w:t xml:space="preserve"> כי מסירת כתב התביעה למשיבה 1 היא מסירה כדין למשיבה 2, חברה זרה שהתאגדה באיי הבתולה הבריטיים, מכוח תקנה 482(א) לתקנות סדר הדין האזרחי, התשמ"ד - 1984 (</w:t>
      </w:r>
      <w:r>
        <w:rPr>
          <w:rFonts w:hint="cs" w:ascii="David" w:hAnsi="David"/>
          <w:b/>
          <w:bCs/>
          <w:rtl/>
        </w:rPr>
        <w:t>התקנות</w:t>
      </w:r>
      <w:r>
        <w:rPr>
          <w:rFonts w:hint="cs" w:ascii="David" w:hAnsi="David"/>
          <w:rtl/>
        </w:rPr>
        <w:t xml:space="preserve">); ולחילופין, בקשה להיתר המצאה מחוץ לתחום לפי תקנה 500. </w:t>
      </w:r>
    </w:p>
    <w:p w:rsidR="00BE628F" w:rsidP="00BE628F" w:rsidRDefault="00BE628F">
      <w:pPr>
        <w:spacing w:line="360" w:lineRule="auto"/>
        <w:jc w:val="both"/>
        <w:rPr>
          <w:rFonts w:ascii="David" w:hAnsi="David"/>
          <w:rtl/>
        </w:rPr>
      </w:pPr>
    </w:p>
    <w:p w:rsidRPr="00360231" w:rsidR="00BE628F" w:rsidP="00BE628F" w:rsidRDefault="00BE628F">
      <w:pPr>
        <w:spacing w:line="360" w:lineRule="auto"/>
        <w:jc w:val="both"/>
        <w:rPr>
          <w:rFonts w:ascii="David" w:hAnsi="David"/>
          <w:rtl/>
        </w:rPr>
      </w:pPr>
      <w:r w:rsidRPr="00360231">
        <w:rPr>
          <w:rFonts w:hint="cs" w:ascii="David" w:hAnsi="David"/>
          <w:rtl/>
        </w:rPr>
        <w:t>השאלה המתעוררת היא האם המשיבה 1 היא בבחינת "מורשה בהנהלת עסקים" של המשיבה 2, לצורך ביצוע ההמצאה למשיבה 2.</w:t>
      </w:r>
    </w:p>
    <w:p w:rsidR="00BE628F" w:rsidP="00BE628F" w:rsidRDefault="00BE628F">
      <w:pPr>
        <w:spacing w:line="360" w:lineRule="auto"/>
        <w:jc w:val="both"/>
        <w:rPr>
          <w:rFonts w:ascii="David" w:hAnsi="David"/>
          <w:rtl/>
        </w:rPr>
      </w:pPr>
    </w:p>
    <w:p w:rsidR="00BE628F" w:rsidP="00BE628F" w:rsidRDefault="00BE628F">
      <w:pPr>
        <w:spacing w:line="360" w:lineRule="auto"/>
        <w:jc w:val="both"/>
        <w:rPr>
          <w:rFonts w:ascii="David" w:hAnsi="David"/>
          <w:b/>
          <w:bCs/>
          <w:u w:val="single"/>
          <w:rtl/>
        </w:rPr>
      </w:pPr>
      <w:r>
        <w:rPr>
          <w:rFonts w:hint="cs" w:ascii="David" w:hAnsi="David"/>
          <w:b/>
          <w:bCs/>
          <w:u w:val="single"/>
          <w:rtl/>
        </w:rPr>
        <w:t>כללי - התביעה וטענות הצדדים בבקשה</w:t>
      </w:r>
    </w:p>
    <w:p w:rsidR="00BE628F" w:rsidP="00BE628F" w:rsidRDefault="00BE628F">
      <w:pPr>
        <w:pStyle w:val="ad"/>
        <w:numPr>
          <w:ilvl w:val="0"/>
          <w:numId w:val="3"/>
        </w:numPr>
        <w:bidi/>
        <w:spacing w:after="0" w:line="360" w:lineRule="auto"/>
        <w:ind w:left="571" w:hanging="567"/>
        <w:jc w:val="both"/>
        <w:rPr>
          <w:rFonts w:ascii="David" w:hAnsi="David" w:cs="David"/>
          <w:sz w:val="24"/>
          <w:szCs w:val="24"/>
          <w:rtl/>
        </w:rPr>
      </w:pPr>
      <w:r>
        <w:rPr>
          <w:rFonts w:hint="cs" w:ascii="David" w:hAnsi="David" w:cs="David"/>
          <w:sz w:val="24"/>
          <w:szCs w:val="24"/>
          <w:rtl/>
        </w:rPr>
        <w:t xml:space="preserve">המבקשת הגישה כנגד המשיבות תביעה על סך של כ- 9.5 מיליון ₪, להחזר כספי הלוואה שניתנו למשיבות במסגרת השקעה במיזם משותף לרכישת מקרקעין באוקראינה. </w:t>
      </w:r>
    </w:p>
    <w:p w:rsidR="00BE628F" w:rsidP="00BE628F" w:rsidRDefault="00BE628F">
      <w:pPr>
        <w:spacing w:line="360" w:lineRule="auto"/>
        <w:jc w:val="both"/>
        <w:rPr>
          <w:rFonts w:ascii="David" w:hAnsi="David"/>
        </w:rPr>
      </w:pPr>
    </w:p>
    <w:p w:rsidR="00BE628F" w:rsidP="00C95AD9" w:rsidRDefault="00BE628F">
      <w:pPr>
        <w:pStyle w:val="ad"/>
        <w:numPr>
          <w:ilvl w:val="0"/>
          <w:numId w:val="3"/>
        </w:numPr>
        <w:bidi/>
        <w:spacing w:after="0" w:line="360" w:lineRule="auto"/>
        <w:ind w:left="571" w:hanging="567"/>
        <w:jc w:val="both"/>
        <w:rPr>
          <w:rFonts w:ascii="David" w:hAnsi="David" w:cs="David"/>
          <w:sz w:val="24"/>
          <w:szCs w:val="24"/>
        </w:rPr>
      </w:pPr>
      <w:r>
        <w:rPr>
          <w:rFonts w:hint="cs" w:ascii="David" w:hAnsi="David" w:cs="David"/>
          <w:sz w:val="24"/>
          <w:szCs w:val="24"/>
          <w:rtl/>
        </w:rPr>
        <w:t>ביסוד התביעה עומד הסכם מסגרת שנחתם בין חברת אנגל אירופה בע"מ (</w:t>
      </w:r>
      <w:r>
        <w:rPr>
          <w:rFonts w:hint="cs" w:ascii="David" w:hAnsi="David" w:cs="David"/>
          <w:b/>
          <w:bCs/>
          <w:sz w:val="24"/>
          <w:szCs w:val="24"/>
          <w:rtl/>
        </w:rPr>
        <w:t>אנגל</w:t>
      </w:r>
      <w:r>
        <w:rPr>
          <w:rFonts w:hint="cs" w:ascii="David" w:hAnsi="David" w:cs="David"/>
          <w:sz w:val="24"/>
          <w:szCs w:val="24"/>
          <w:rtl/>
        </w:rPr>
        <w:t xml:space="preserve">), שנשלטה במועד הרלוונטי ע"י המבקשת, לבין המשיבה 1, באמצעות המשיבה 2, בקשר למיזם השקעות </w:t>
      </w:r>
      <w:r w:rsidR="00360231">
        <w:rPr>
          <w:rFonts w:hint="cs" w:ascii="David" w:hAnsi="David" w:cs="David"/>
          <w:sz w:val="24"/>
          <w:szCs w:val="24"/>
          <w:rtl/>
        </w:rPr>
        <w:t>ב</w:t>
      </w:r>
      <w:r>
        <w:rPr>
          <w:rFonts w:hint="cs" w:ascii="David" w:hAnsi="David" w:cs="David"/>
          <w:sz w:val="24"/>
          <w:szCs w:val="24"/>
          <w:rtl/>
        </w:rPr>
        <w:t>נדל"ן באוקראינה</w:t>
      </w:r>
      <w:r w:rsidRPr="003234A8" w:rsidR="003234A8">
        <w:rPr>
          <w:rFonts w:hint="cs" w:ascii="David" w:hAnsi="David" w:cs="David"/>
          <w:sz w:val="24"/>
          <w:szCs w:val="24"/>
          <w:rtl/>
        </w:rPr>
        <w:t xml:space="preserve"> (נספח </w:t>
      </w:r>
      <w:r w:rsidR="003234A8">
        <w:rPr>
          <w:rFonts w:hint="cs" w:ascii="David" w:hAnsi="David" w:cs="David"/>
          <w:sz w:val="24"/>
          <w:szCs w:val="24"/>
          <w:rtl/>
        </w:rPr>
        <w:t>2</w:t>
      </w:r>
      <w:r w:rsidRPr="003234A8" w:rsidR="003234A8">
        <w:rPr>
          <w:rFonts w:hint="cs" w:ascii="David" w:hAnsi="David" w:cs="David"/>
          <w:sz w:val="24"/>
          <w:szCs w:val="24"/>
          <w:rtl/>
        </w:rPr>
        <w:t xml:space="preserve"> ל</w:t>
      </w:r>
      <w:r w:rsidR="003234A8">
        <w:rPr>
          <w:rFonts w:hint="cs" w:ascii="David" w:hAnsi="David" w:cs="David"/>
          <w:sz w:val="24"/>
          <w:szCs w:val="24"/>
          <w:rtl/>
        </w:rPr>
        <w:t>בקשה,</w:t>
      </w:r>
      <w:r w:rsidRPr="003234A8" w:rsidR="003234A8">
        <w:rPr>
          <w:rFonts w:hint="cs" w:ascii="David" w:hAnsi="David" w:cs="David"/>
          <w:sz w:val="24"/>
          <w:szCs w:val="24"/>
          <w:rtl/>
        </w:rPr>
        <w:t xml:space="preserve"> להלן: </w:t>
      </w:r>
      <w:r w:rsidRPr="003234A8" w:rsidR="003234A8">
        <w:rPr>
          <w:rFonts w:hint="cs" w:ascii="David" w:hAnsi="David" w:cs="David"/>
          <w:b/>
          <w:bCs/>
          <w:sz w:val="24"/>
          <w:szCs w:val="24"/>
          <w:rtl/>
        </w:rPr>
        <w:t>ההסכם</w:t>
      </w:r>
      <w:r w:rsidR="003234A8">
        <w:rPr>
          <w:rFonts w:hint="cs" w:ascii="David" w:hAnsi="David" w:cs="David"/>
          <w:sz w:val="24"/>
          <w:szCs w:val="24"/>
          <w:rtl/>
        </w:rPr>
        <w:t>)</w:t>
      </w:r>
      <w:r>
        <w:rPr>
          <w:rFonts w:hint="cs" w:ascii="David" w:hAnsi="David" w:cs="David"/>
          <w:sz w:val="24"/>
          <w:szCs w:val="24"/>
          <w:rtl/>
        </w:rPr>
        <w:t xml:space="preserve">. במסגרת ההסכם הוקמה חברת משותפת בשם </w:t>
      </w:r>
      <w:r>
        <w:rPr>
          <w:rFonts w:cs="David"/>
          <w:sz w:val="24"/>
          <w:szCs w:val="24"/>
        </w:rPr>
        <w:t>Startvalue Trading Limited</w:t>
      </w:r>
      <w:r>
        <w:rPr>
          <w:rFonts w:hint="cs" w:cs="David"/>
          <w:sz w:val="24"/>
          <w:szCs w:val="24"/>
          <w:rtl/>
        </w:rPr>
        <w:t xml:space="preserve"> (</w:t>
      </w:r>
      <w:r>
        <w:rPr>
          <w:rFonts w:cs="David"/>
          <w:b/>
          <w:bCs/>
          <w:sz w:val="24"/>
          <w:szCs w:val="24"/>
        </w:rPr>
        <w:t>SV</w:t>
      </w:r>
      <w:r>
        <w:rPr>
          <w:rFonts w:hint="cs" w:cs="David"/>
          <w:sz w:val="24"/>
          <w:szCs w:val="24"/>
          <w:rtl/>
        </w:rPr>
        <w:t xml:space="preserve">), בה החזיקה חברת אנגל ב- 79%, המשיבה 2 החזיקה 20% </w:t>
      </w:r>
      <w:r>
        <w:rPr>
          <w:rFonts w:hint="cs" w:ascii="David" w:hAnsi="David" w:cs="David"/>
          <w:sz w:val="24"/>
          <w:szCs w:val="24"/>
          <w:rtl/>
        </w:rPr>
        <w:t>וחברת נוספת החזיקה ב</w:t>
      </w:r>
      <w:r w:rsidR="003234A8">
        <w:rPr>
          <w:rFonts w:hint="cs" w:ascii="David" w:hAnsi="David" w:cs="David"/>
          <w:sz w:val="24"/>
          <w:szCs w:val="24"/>
          <w:rtl/>
        </w:rPr>
        <w:t>-</w:t>
      </w:r>
      <w:r>
        <w:rPr>
          <w:rFonts w:hint="cs" w:ascii="David" w:hAnsi="David" w:cs="David"/>
          <w:sz w:val="24"/>
          <w:szCs w:val="24"/>
          <w:rtl/>
        </w:rPr>
        <w:t xml:space="preserve"> 1%. בהסכם נקבע, כי מימון העסקאות יבוצע בהלוואת בעלים </w:t>
      </w:r>
      <w:r>
        <w:rPr>
          <w:rFonts w:hint="cs" w:ascii="David" w:hAnsi="David" w:cs="David"/>
          <w:sz w:val="24"/>
          <w:szCs w:val="24"/>
          <w:rtl/>
        </w:rPr>
        <w:lastRenderedPageBreak/>
        <w:t xml:space="preserve">שכל צד יעמיד לטובת </w:t>
      </w:r>
      <w:r>
        <w:rPr>
          <w:rFonts w:hint="cs" w:ascii="David" w:hAnsi="David" w:cs="David"/>
          <w:sz w:val="24"/>
          <w:szCs w:val="24"/>
        </w:rPr>
        <w:t>SV</w:t>
      </w:r>
      <w:r>
        <w:rPr>
          <w:rFonts w:hint="cs" w:ascii="David" w:hAnsi="David" w:cs="David"/>
          <w:sz w:val="24"/>
          <w:szCs w:val="24"/>
          <w:rtl/>
        </w:rPr>
        <w:t xml:space="preserve"> - אנגל תממן 85% מההלוואות והמשיבה 2 תממן 15%. אנגל התחייבה להעמיד למשיבה 2 הלוואת ביניים בגובה מחצית סכום הלוואת הבעלים שעל המשיבה להעמיד ל- </w:t>
      </w:r>
      <w:r>
        <w:rPr>
          <w:rFonts w:hint="cs" w:ascii="David" w:hAnsi="David" w:cs="David"/>
          <w:sz w:val="24"/>
          <w:szCs w:val="24"/>
        </w:rPr>
        <w:t>SV</w:t>
      </w:r>
      <w:r>
        <w:rPr>
          <w:rFonts w:hint="cs" w:ascii="David" w:hAnsi="David" w:cs="David"/>
          <w:sz w:val="24"/>
          <w:szCs w:val="24"/>
          <w:rtl/>
        </w:rPr>
        <w:t>, בשיעור של 7.5% מהמימון הנדרש, כך שבפועל מימנה אנגל 92.5% מהלוואות הבעלים והמשיבה 2 מימנה 7.5% מהמימון הנדרש בלבד ונותרה חייבת לאנגל, סך של 7.5% שניתן לה כהלוואת ביניים.</w:t>
      </w:r>
    </w:p>
    <w:p w:rsidRPr="003234A8" w:rsidR="00BE628F" w:rsidP="00BE628F" w:rsidRDefault="00BE628F">
      <w:pPr>
        <w:spacing w:line="360" w:lineRule="auto"/>
        <w:jc w:val="both"/>
        <w:rPr>
          <w:rFonts w:ascii="David" w:hAnsi="David"/>
        </w:rPr>
      </w:pPr>
    </w:p>
    <w:p w:rsidRPr="005867B8" w:rsidR="00BE628F" w:rsidP="00C95AD9" w:rsidRDefault="003234A8">
      <w:pPr>
        <w:pStyle w:val="ad"/>
        <w:numPr>
          <w:ilvl w:val="0"/>
          <w:numId w:val="3"/>
        </w:numPr>
        <w:bidi/>
        <w:spacing w:after="0" w:line="360" w:lineRule="auto"/>
        <w:ind w:left="571" w:hanging="567"/>
        <w:jc w:val="both"/>
        <w:rPr>
          <w:rFonts w:ascii="David" w:hAnsi="David" w:cs="David"/>
          <w:sz w:val="24"/>
          <w:szCs w:val="24"/>
        </w:rPr>
      </w:pPr>
      <w:r w:rsidRPr="005867B8">
        <w:rPr>
          <w:rFonts w:hint="cs" w:ascii="David" w:hAnsi="David" w:cs="David"/>
          <w:sz w:val="24"/>
          <w:szCs w:val="24"/>
          <w:rtl/>
        </w:rPr>
        <w:t>התביעה מתייחסת ל</w:t>
      </w:r>
      <w:r w:rsidRPr="005867B8" w:rsidR="00BE628F">
        <w:rPr>
          <w:rFonts w:hint="cs" w:ascii="David" w:hAnsi="David" w:cs="David"/>
          <w:sz w:val="24"/>
          <w:szCs w:val="24"/>
          <w:rtl/>
        </w:rPr>
        <w:t>השקעה ב"עסקת קלינובקה" (לרכישת מקרקעין לדיור ומרכז מסחרי בפרברי העיר קייב)</w:t>
      </w:r>
      <w:r w:rsidRPr="005867B8">
        <w:rPr>
          <w:rFonts w:hint="cs" w:ascii="David" w:hAnsi="David" w:cs="David"/>
          <w:sz w:val="24"/>
          <w:szCs w:val="24"/>
          <w:rtl/>
        </w:rPr>
        <w:t xml:space="preserve">, שבגינה </w:t>
      </w:r>
      <w:r w:rsidRPr="005867B8" w:rsidR="00BE628F">
        <w:rPr>
          <w:rFonts w:hint="cs" w:ascii="David" w:hAnsi="David" w:cs="David"/>
          <w:sz w:val="24"/>
          <w:szCs w:val="24"/>
          <w:rtl/>
        </w:rPr>
        <w:t xml:space="preserve">לא נחתם הסכם </w:t>
      </w:r>
      <w:r w:rsidRPr="005867B8">
        <w:rPr>
          <w:rFonts w:hint="cs" w:ascii="David" w:hAnsi="David" w:cs="David"/>
          <w:sz w:val="24"/>
          <w:szCs w:val="24"/>
          <w:rtl/>
        </w:rPr>
        <w:t xml:space="preserve">ספציפי </w:t>
      </w:r>
      <w:r w:rsidRPr="005867B8" w:rsidR="00BE628F">
        <w:rPr>
          <w:rFonts w:hint="cs" w:ascii="David" w:hAnsi="David" w:cs="David"/>
          <w:sz w:val="24"/>
          <w:szCs w:val="24"/>
          <w:rtl/>
        </w:rPr>
        <w:t>מפורט</w:t>
      </w:r>
      <w:r w:rsidRPr="005867B8">
        <w:rPr>
          <w:rFonts w:hint="cs" w:ascii="David" w:hAnsi="David" w:cs="David"/>
          <w:sz w:val="24"/>
          <w:szCs w:val="24"/>
          <w:rtl/>
        </w:rPr>
        <w:t xml:space="preserve"> ולטענת המבקשת, </w:t>
      </w:r>
      <w:r w:rsidRPr="005867B8" w:rsidR="00BE628F">
        <w:rPr>
          <w:rFonts w:hint="cs" w:ascii="David" w:hAnsi="David" w:cs="David"/>
          <w:sz w:val="24"/>
          <w:szCs w:val="24"/>
          <w:rtl/>
        </w:rPr>
        <w:t xml:space="preserve">חל </w:t>
      </w:r>
      <w:r w:rsidRPr="005867B8" w:rsidR="00C347B3">
        <w:rPr>
          <w:rFonts w:hint="cs" w:ascii="David" w:hAnsi="David" w:cs="David"/>
          <w:sz w:val="24"/>
          <w:szCs w:val="24"/>
          <w:rtl/>
        </w:rPr>
        <w:t xml:space="preserve">עליה ההסכם הנ"ל, </w:t>
      </w:r>
      <w:r w:rsidRPr="005867B8" w:rsidR="00BE628F">
        <w:rPr>
          <w:rFonts w:hint="cs" w:ascii="David" w:hAnsi="David" w:cs="David"/>
          <w:sz w:val="24"/>
          <w:szCs w:val="24"/>
          <w:rtl/>
        </w:rPr>
        <w:t xml:space="preserve">בכפוף לשינויים המפורטים. </w:t>
      </w:r>
      <w:r w:rsidRPr="005867B8" w:rsidR="00C347B3">
        <w:rPr>
          <w:rFonts w:hint="cs" w:ascii="David" w:hAnsi="David" w:cs="David"/>
          <w:sz w:val="24"/>
          <w:szCs w:val="24"/>
          <w:rtl/>
        </w:rPr>
        <w:t xml:space="preserve">לא אפרט כאן את כל השתלשלות העניינים </w:t>
      </w:r>
      <w:r w:rsidR="00C95AD9">
        <w:rPr>
          <w:rFonts w:hint="cs" w:ascii="David" w:hAnsi="David" w:cs="David"/>
          <w:sz w:val="24"/>
          <w:szCs w:val="24"/>
          <w:rtl/>
        </w:rPr>
        <w:t xml:space="preserve">בקשר לביצוע עסקה זו ולהעמדת כספי ההלוואה. </w:t>
      </w:r>
      <w:r w:rsidRPr="005867B8" w:rsidR="00C347B3">
        <w:rPr>
          <w:rFonts w:hint="cs" w:ascii="David" w:hAnsi="David" w:cs="David"/>
          <w:sz w:val="24"/>
          <w:szCs w:val="24"/>
          <w:rtl/>
        </w:rPr>
        <w:t>אציין רק</w:t>
      </w:r>
      <w:r w:rsidRPr="005867B8" w:rsidR="004D6801">
        <w:rPr>
          <w:rFonts w:hint="cs" w:ascii="David" w:hAnsi="David" w:cs="David"/>
          <w:sz w:val="24"/>
          <w:szCs w:val="24"/>
          <w:rtl/>
        </w:rPr>
        <w:t>,</w:t>
      </w:r>
      <w:r w:rsidRPr="005867B8" w:rsidR="00C347B3">
        <w:rPr>
          <w:rFonts w:hint="cs" w:ascii="David" w:hAnsi="David" w:cs="David"/>
          <w:sz w:val="24"/>
          <w:szCs w:val="24"/>
          <w:rtl/>
        </w:rPr>
        <w:t xml:space="preserve"> כי לצורך ביצועה  הוקמה חברה משותפת אחרת והועמדה הלוואת ביניים במתווה האמור בהסכם; וכי בסופו של יום</w:t>
      </w:r>
      <w:r w:rsidR="008E1885">
        <w:rPr>
          <w:rFonts w:hint="cs" w:ascii="David" w:hAnsi="David" w:cs="David"/>
          <w:sz w:val="24"/>
          <w:szCs w:val="24"/>
          <w:rtl/>
        </w:rPr>
        <w:t>,</w:t>
      </w:r>
      <w:r w:rsidRPr="005867B8" w:rsidR="00C347B3">
        <w:rPr>
          <w:rFonts w:hint="cs" w:ascii="David" w:hAnsi="David" w:cs="David"/>
          <w:sz w:val="24"/>
          <w:szCs w:val="24"/>
          <w:rtl/>
        </w:rPr>
        <w:t xml:space="preserve"> זכויות התביעה בגין אי-פירעון כספי הלוואת הביניים מצויות לפי טענת המבקשת</w:t>
      </w:r>
      <w:r w:rsidR="00C95AD9">
        <w:rPr>
          <w:rFonts w:hint="cs" w:ascii="David" w:hAnsi="David" w:cs="David"/>
          <w:sz w:val="24"/>
          <w:szCs w:val="24"/>
          <w:rtl/>
        </w:rPr>
        <w:t>, בידה</w:t>
      </w:r>
      <w:r w:rsidRPr="005867B8" w:rsidR="00C347B3">
        <w:rPr>
          <w:rFonts w:hint="cs" w:ascii="David" w:hAnsi="David" w:cs="David"/>
          <w:sz w:val="24"/>
          <w:szCs w:val="24"/>
          <w:rtl/>
        </w:rPr>
        <w:t xml:space="preserve"> (</w:t>
      </w:r>
      <w:r w:rsidRPr="005867B8" w:rsidR="004D6801">
        <w:rPr>
          <w:rFonts w:hint="cs" w:ascii="David" w:hAnsi="David" w:cs="David"/>
          <w:sz w:val="24"/>
          <w:szCs w:val="24"/>
          <w:rtl/>
        </w:rPr>
        <w:t>ראו הפירוט בסעיפים 25-35 לבקשה)</w:t>
      </w:r>
      <w:r w:rsidRPr="005867B8" w:rsidR="00C347B3">
        <w:rPr>
          <w:rFonts w:hint="cs" w:ascii="David" w:hAnsi="David" w:cs="David"/>
          <w:sz w:val="24"/>
          <w:szCs w:val="24"/>
          <w:rtl/>
        </w:rPr>
        <w:t>.</w:t>
      </w:r>
      <w:r w:rsidRPr="005867B8" w:rsidR="00BE628F">
        <w:rPr>
          <w:rFonts w:hint="cs" w:ascii="David" w:hAnsi="David" w:cs="David"/>
          <w:sz w:val="24"/>
          <w:szCs w:val="24"/>
          <w:rtl/>
        </w:rPr>
        <w:t xml:space="preserve"> </w:t>
      </w:r>
      <w:r w:rsidR="00C95AD9">
        <w:rPr>
          <w:rFonts w:hint="cs" w:ascii="David" w:hAnsi="David" w:cs="David"/>
          <w:sz w:val="24"/>
          <w:szCs w:val="24"/>
          <w:rtl/>
        </w:rPr>
        <w:t xml:space="preserve">לפי הבקשה, </w:t>
      </w:r>
      <w:r w:rsidRPr="005867B8" w:rsidR="00BE628F">
        <w:rPr>
          <w:rFonts w:hint="cs" w:ascii="David" w:hAnsi="David" w:cs="David"/>
          <w:sz w:val="24"/>
          <w:szCs w:val="24"/>
          <w:rtl/>
        </w:rPr>
        <w:t xml:space="preserve">המשיבה 2 מסרה מעת לעת אישור </w:t>
      </w:r>
      <w:r w:rsidRPr="005867B8" w:rsidR="004D6801">
        <w:rPr>
          <w:rFonts w:hint="cs" w:ascii="David" w:hAnsi="David" w:cs="David"/>
          <w:sz w:val="24"/>
          <w:szCs w:val="24"/>
          <w:rtl/>
        </w:rPr>
        <w:t xml:space="preserve">בכתב </w:t>
      </w:r>
      <w:r w:rsidRPr="005867B8" w:rsidR="00BE628F">
        <w:rPr>
          <w:rFonts w:hint="cs" w:ascii="David" w:hAnsi="David" w:cs="David"/>
          <w:sz w:val="24"/>
          <w:szCs w:val="24"/>
          <w:rtl/>
        </w:rPr>
        <w:t xml:space="preserve">בדבר יתרת החוב </w:t>
      </w:r>
      <w:r w:rsidRPr="005867B8" w:rsidR="004D6801">
        <w:rPr>
          <w:rFonts w:hint="cs" w:ascii="David" w:hAnsi="David" w:cs="David"/>
          <w:sz w:val="24"/>
          <w:szCs w:val="24"/>
          <w:rtl/>
        </w:rPr>
        <w:t xml:space="preserve">בגין </w:t>
      </w:r>
      <w:r w:rsidRPr="005867B8" w:rsidR="00BE628F">
        <w:rPr>
          <w:rFonts w:hint="cs" w:ascii="David" w:hAnsi="David" w:cs="David"/>
          <w:sz w:val="24"/>
          <w:szCs w:val="24"/>
          <w:rtl/>
        </w:rPr>
        <w:t xml:space="preserve">ההלוואות נשוא התובענה </w:t>
      </w:r>
      <w:r w:rsidRPr="005867B8" w:rsidR="004D6801">
        <w:rPr>
          <w:rFonts w:hint="cs" w:ascii="David" w:hAnsi="David" w:cs="David"/>
          <w:sz w:val="24"/>
          <w:szCs w:val="24"/>
          <w:rtl/>
        </w:rPr>
        <w:t>(נספח 5 לבקשה מיום 12/9/14)</w:t>
      </w:r>
      <w:r w:rsidRPr="005867B8" w:rsidR="00BE628F">
        <w:rPr>
          <w:rFonts w:hint="cs" w:ascii="David" w:hAnsi="David" w:cs="David"/>
          <w:sz w:val="24"/>
          <w:szCs w:val="24"/>
          <w:rtl/>
        </w:rPr>
        <w:t xml:space="preserve">. </w:t>
      </w:r>
      <w:r w:rsidR="005867B8">
        <w:rPr>
          <w:rFonts w:ascii="David" w:hAnsi="David" w:cs="David"/>
          <w:sz w:val="24"/>
          <w:szCs w:val="24"/>
          <w:rtl/>
        </w:rPr>
        <w:tab/>
      </w:r>
      <w:r w:rsidR="005867B8">
        <w:rPr>
          <w:rFonts w:ascii="David" w:hAnsi="David" w:cs="David"/>
          <w:sz w:val="24"/>
          <w:szCs w:val="24"/>
          <w:rtl/>
        </w:rPr>
        <w:br/>
      </w:r>
      <w:r w:rsidRPr="005867B8" w:rsidR="004D6801">
        <w:rPr>
          <w:rFonts w:hint="cs" w:ascii="David" w:hAnsi="David" w:cs="David"/>
          <w:sz w:val="24"/>
          <w:szCs w:val="24"/>
          <w:rtl/>
        </w:rPr>
        <w:t>למען הנוחות</w:t>
      </w:r>
      <w:r w:rsidR="005867B8">
        <w:rPr>
          <w:rFonts w:hint="cs" w:ascii="David" w:hAnsi="David" w:cs="David"/>
          <w:sz w:val="24"/>
          <w:szCs w:val="24"/>
          <w:rtl/>
        </w:rPr>
        <w:t>,</w:t>
      </w:r>
      <w:r w:rsidRPr="005867B8" w:rsidR="004D6801">
        <w:rPr>
          <w:rFonts w:hint="cs" w:ascii="David" w:hAnsi="David" w:cs="David"/>
          <w:sz w:val="24"/>
          <w:szCs w:val="24"/>
          <w:rtl/>
        </w:rPr>
        <w:t xml:space="preserve"> יכונו ההסכם וההתקשרות בע</w:t>
      </w:r>
      <w:r w:rsidRPr="005867B8" w:rsidR="005867B8">
        <w:rPr>
          <w:rFonts w:hint="cs" w:ascii="David" w:hAnsi="David" w:cs="David"/>
          <w:sz w:val="24"/>
          <w:szCs w:val="24"/>
          <w:rtl/>
        </w:rPr>
        <w:t>סקת קלינובה</w:t>
      </w:r>
      <w:r w:rsidR="005867B8">
        <w:rPr>
          <w:rFonts w:hint="cs" w:ascii="David" w:hAnsi="David" w:cs="David"/>
          <w:sz w:val="24"/>
          <w:szCs w:val="24"/>
          <w:rtl/>
        </w:rPr>
        <w:t xml:space="preserve"> "</w:t>
      </w:r>
      <w:r w:rsidRPr="005867B8" w:rsidR="005867B8">
        <w:rPr>
          <w:rFonts w:hint="cs" w:ascii="David" w:hAnsi="David" w:cs="David"/>
          <w:b/>
          <w:bCs/>
          <w:sz w:val="24"/>
          <w:szCs w:val="24"/>
          <w:rtl/>
        </w:rPr>
        <w:t>הסכמים</w:t>
      </w:r>
      <w:r w:rsidR="005867B8">
        <w:rPr>
          <w:rFonts w:hint="cs" w:ascii="David" w:hAnsi="David" w:cs="David"/>
          <w:sz w:val="24"/>
          <w:szCs w:val="24"/>
          <w:rtl/>
        </w:rPr>
        <w:t>"</w:t>
      </w:r>
      <w:r w:rsidRPr="005867B8" w:rsidR="005867B8">
        <w:rPr>
          <w:rFonts w:hint="cs" w:ascii="David" w:hAnsi="David" w:cs="David"/>
          <w:sz w:val="24"/>
          <w:szCs w:val="24"/>
          <w:rtl/>
        </w:rPr>
        <w:t>.</w:t>
      </w:r>
    </w:p>
    <w:p w:rsidR="00BE628F" w:rsidP="00BE628F" w:rsidRDefault="00BE628F">
      <w:pPr>
        <w:spacing w:line="360" w:lineRule="auto"/>
        <w:jc w:val="both"/>
        <w:rPr>
          <w:rFonts w:ascii="David" w:hAnsi="David"/>
        </w:rPr>
      </w:pPr>
    </w:p>
    <w:p w:rsidR="00BE628F" w:rsidP="00C95AD9" w:rsidRDefault="00BE628F">
      <w:pPr>
        <w:pStyle w:val="ad"/>
        <w:numPr>
          <w:ilvl w:val="0"/>
          <w:numId w:val="3"/>
        </w:numPr>
        <w:bidi/>
        <w:spacing w:after="0" w:line="360" w:lineRule="auto"/>
        <w:ind w:left="571" w:hanging="567"/>
        <w:jc w:val="both"/>
        <w:rPr>
          <w:rFonts w:ascii="David" w:hAnsi="David" w:cs="David"/>
          <w:sz w:val="24"/>
          <w:szCs w:val="24"/>
        </w:rPr>
      </w:pPr>
      <w:r>
        <w:rPr>
          <w:rFonts w:hint="cs" w:ascii="David" w:hAnsi="David" w:cs="David"/>
          <w:sz w:val="24"/>
          <w:szCs w:val="24"/>
          <w:rtl/>
        </w:rPr>
        <w:t>בהצגת העובדות מתייחסת המבקשת למשיבות כאחד</w:t>
      </w:r>
      <w:r w:rsidR="005867B8">
        <w:rPr>
          <w:rFonts w:hint="cs" w:ascii="David" w:hAnsi="David" w:cs="David"/>
          <w:sz w:val="24"/>
          <w:szCs w:val="24"/>
          <w:rtl/>
        </w:rPr>
        <w:t>,</w:t>
      </w:r>
      <w:r>
        <w:rPr>
          <w:rFonts w:hint="cs" w:ascii="David" w:hAnsi="David" w:cs="David"/>
          <w:sz w:val="24"/>
          <w:szCs w:val="24"/>
          <w:rtl/>
        </w:rPr>
        <w:t xml:space="preserve"> כשהיא טוענת שהעמידה את ההלוואה למשיבה 1 באמצעות המשיבה 2. לטענת המבקשת, אף שהמשיבה 2 היא החתומה על ההסכם, בפועל כל המו"מ, ההתקשרות </w:t>
      </w:r>
      <w:r w:rsidR="008E1885">
        <w:rPr>
          <w:rFonts w:hint="cs" w:ascii="David" w:hAnsi="David" w:cs="David"/>
          <w:sz w:val="24"/>
          <w:szCs w:val="24"/>
          <w:rtl/>
        </w:rPr>
        <w:t xml:space="preserve">בהסכמים </w:t>
      </w:r>
      <w:r>
        <w:rPr>
          <w:rFonts w:hint="cs" w:ascii="David" w:hAnsi="David" w:cs="David"/>
          <w:sz w:val="24"/>
          <w:szCs w:val="24"/>
          <w:rtl/>
        </w:rPr>
        <w:t xml:space="preserve">וההתנהלות לאחר </w:t>
      </w:r>
      <w:r w:rsidR="008E1885">
        <w:rPr>
          <w:rFonts w:hint="cs" w:ascii="David" w:hAnsi="David" w:cs="David"/>
          <w:sz w:val="24"/>
          <w:szCs w:val="24"/>
          <w:rtl/>
        </w:rPr>
        <w:t>מכן</w:t>
      </w:r>
      <w:r>
        <w:rPr>
          <w:rFonts w:hint="cs" w:ascii="David" w:hAnsi="David" w:cs="David"/>
          <w:sz w:val="24"/>
          <w:szCs w:val="24"/>
          <w:rtl/>
        </w:rPr>
        <w:t xml:space="preserve">, נעשו מול ובאמצעות המשיבה 1. המשיבה 1 התקשרה בהסכם באמצעות המשיבה 2, שהוצגה על ידה כזרוע שלה לביצוע ההשקעה. ההתקשרות נעשתה בשים לב לניסיון ולידע של המשיבה 1, שניהלה פעילות באוקראינה לאורך שנים. לראיה ועל מנת ללמד כיצד נראו הדברים בזמן אמת, המבקשת מפנה, בין היתר, לפרוטוקול ישיבת דירקטוריון ולדיווח מיידי שמסרה לפי דיני ני"ע שלפיו התקשרה עם המשיבה 1 (נספחים 3-4). </w:t>
      </w:r>
    </w:p>
    <w:p w:rsidRPr="00C95AD9" w:rsidR="00BE628F" w:rsidP="00BE628F" w:rsidRDefault="00BE628F">
      <w:pPr>
        <w:spacing w:line="360" w:lineRule="auto"/>
        <w:jc w:val="both"/>
        <w:rPr>
          <w:rFonts w:ascii="David" w:hAnsi="David"/>
        </w:rPr>
      </w:pPr>
    </w:p>
    <w:p w:rsidR="00BE628F" w:rsidP="00C95AD9" w:rsidRDefault="00BE628F">
      <w:pPr>
        <w:pStyle w:val="ad"/>
        <w:numPr>
          <w:ilvl w:val="0"/>
          <w:numId w:val="3"/>
        </w:numPr>
        <w:bidi/>
        <w:spacing w:after="0" w:line="360" w:lineRule="auto"/>
        <w:ind w:left="571" w:hanging="567"/>
        <w:jc w:val="both"/>
        <w:rPr>
          <w:rFonts w:ascii="David" w:hAnsi="David" w:cs="David"/>
          <w:sz w:val="24"/>
          <w:szCs w:val="24"/>
        </w:rPr>
      </w:pPr>
      <w:r>
        <w:rPr>
          <w:rFonts w:hint="cs" w:ascii="David" w:hAnsi="David" w:cs="David"/>
          <w:sz w:val="24"/>
          <w:szCs w:val="24"/>
          <w:rtl/>
        </w:rPr>
        <w:t xml:space="preserve">לפי הטענה, מכלול הנסיבות מצביע על כך שהמשיבה 2 פעלה כשלוחתה של המשיבה 1, שעמה נחתם ההסכם. המשיבה 2 שימשה כזרוע הביצועית של המשיבה 1 ופעלה בשמה ובעבורה. בעת המו"מ לכריתת הסכם המסגרת ובהמשך, בזמן יישומו על עסקת הנדל"ן באוקראינה, לא הייתה הפרדה בין המשיבות והן פעלו יחדיו, על ידי אותם אנשים, באופן שהצביע שהשותף האמיתי (להבדיל מהשותף הפורמאלי) היא המשיבה 1. בשל כך, </w:t>
      </w:r>
      <w:r w:rsidR="00C95AD9">
        <w:rPr>
          <w:rFonts w:hint="cs" w:ascii="David" w:hAnsi="David" w:cs="David"/>
          <w:sz w:val="24"/>
          <w:szCs w:val="24"/>
          <w:rtl/>
        </w:rPr>
        <w:t>ה</w:t>
      </w:r>
      <w:r>
        <w:rPr>
          <w:rFonts w:hint="cs" w:ascii="David" w:hAnsi="David" w:cs="David"/>
          <w:sz w:val="24"/>
          <w:szCs w:val="24"/>
          <w:rtl/>
        </w:rPr>
        <w:t>הסכם נ</w:t>
      </w:r>
      <w:r w:rsidR="00C95AD9">
        <w:rPr>
          <w:rFonts w:hint="cs" w:ascii="David" w:hAnsi="David" w:cs="David"/>
          <w:sz w:val="24"/>
          <w:szCs w:val="24"/>
          <w:rtl/>
        </w:rPr>
        <w:t>חתם</w:t>
      </w:r>
      <w:r>
        <w:rPr>
          <w:rFonts w:hint="cs" w:ascii="David" w:hAnsi="David" w:cs="David"/>
          <w:sz w:val="24"/>
          <w:szCs w:val="24"/>
          <w:rtl/>
        </w:rPr>
        <w:t xml:space="preserve"> בשפה העברית בתל אביב, הוא כולל תניית שיפוט המקנה סמכות שיפוט לבתי המשפט בתל אביב וק</w:t>
      </w:r>
      <w:r w:rsidR="00F134FB">
        <w:rPr>
          <w:rFonts w:hint="cs" w:ascii="David" w:hAnsi="David" w:cs="David"/>
          <w:sz w:val="24"/>
          <w:szCs w:val="24"/>
          <w:rtl/>
        </w:rPr>
        <w:t>ו</w:t>
      </w:r>
      <w:r>
        <w:rPr>
          <w:rFonts w:hint="cs" w:ascii="David" w:hAnsi="David" w:cs="David"/>
          <w:sz w:val="24"/>
          <w:szCs w:val="24"/>
          <w:rtl/>
        </w:rPr>
        <w:t xml:space="preserve">בע כי הדין הישראלי הוא שיחול (ס' 20 להסכם). בהיותה של המשיבה 2 חברה שהתאגדה באיי </w:t>
      </w:r>
      <w:r>
        <w:rPr>
          <w:rFonts w:hint="cs" w:ascii="David" w:hAnsi="David" w:cs="David"/>
          <w:sz w:val="24"/>
          <w:szCs w:val="24"/>
          <w:rtl/>
        </w:rPr>
        <w:lastRenderedPageBreak/>
        <w:t xml:space="preserve">הבתולה הבריטיים, הבחירה בהתקשרות בעלת מאפיינים כאמור מצביעה על כך שהמשיבה </w:t>
      </w:r>
      <w:r w:rsidR="00F134FB">
        <w:rPr>
          <w:rFonts w:hint="cs" w:ascii="David" w:hAnsi="David" w:cs="David"/>
          <w:sz w:val="24"/>
          <w:szCs w:val="24"/>
          <w:rtl/>
        </w:rPr>
        <w:t xml:space="preserve">1 </w:t>
      </w:r>
      <w:r>
        <w:rPr>
          <w:rFonts w:hint="cs" w:ascii="David" w:hAnsi="David" w:cs="David"/>
          <w:sz w:val="24"/>
          <w:szCs w:val="24"/>
          <w:rtl/>
        </w:rPr>
        <w:t xml:space="preserve">היא הצד האמיתי להסכם. המשיבה 1 פעלה כישות אחת עם המשיבה 2 לאורך הדרך כך שהיא צד ישיר להסכם ולכל הפחות, מעיד האמור על זיקה בלתי אמצעית בין המשיבה 1 למשיבה 2. </w:t>
      </w:r>
    </w:p>
    <w:p w:rsidR="00BE628F" w:rsidP="00BE628F" w:rsidRDefault="00BE628F">
      <w:pPr>
        <w:spacing w:line="360" w:lineRule="auto"/>
        <w:jc w:val="both"/>
        <w:rPr>
          <w:rFonts w:ascii="David" w:hAnsi="David"/>
        </w:rPr>
      </w:pPr>
    </w:p>
    <w:p w:rsidR="00BE628F" w:rsidP="00EF53A5" w:rsidRDefault="00BE628F">
      <w:pPr>
        <w:pStyle w:val="ad"/>
        <w:numPr>
          <w:ilvl w:val="0"/>
          <w:numId w:val="3"/>
        </w:numPr>
        <w:bidi/>
        <w:spacing w:after="0" w:line="360" w:lineRule="auto"/>
        <w:ind w:left="571" w:hanging="567"/>
        <w:jc w:val="both"/>
        <w:rPr>
          <w:rFonts w:ascii="David" w:hAnsi="David" w:cs="David"/>
          <w:sz w:val="24"/>
          <w:szCs w:val="24"/>
        </w:rPr>
      </w:pPr>
      <w:r>
        <w:rPr>
          <w:rFonts w:hint="cs" w:ascii="David" w:hAnsi="David" w:cs="David"/>
          <w:sz w:val="24"/>
          <w:szCs w:val="24"/>
          <w:rtl/>
        </w:rPr>
        <w:t xml:space="preserve">זו טענת המבקשת על קצה המזלג. אין זה המקום לפרט את כל האינדיקציות לכאורה שפורטו ע"י המבקשת לביסוס טענתה שלעת </w:t>
      </w:r>
      <w:r w:rsidR="00F134FB">
        <w:rPr>
          <w:rFonts w:hint="cs" w:ascii="David" w:hAnsi="David" w:cs="David"/>
          <w:sz w:val="24"/>
          <w:szCs w:val="24"/>
          <w:rtl/>
        </w:rPr>
        <w:t>ההתקשרות ב</w:t>
      </w:r>
      <w:r>
        <w:rPr>
          <w:rFonts w:hint="cs" w:ascii="David" w:hAnsi="David" w:cs="David"/>
          <w:sz w:val="24"/>
          <w:szCs w:val="24"/>
          <w:rtl/>
        </w:rPr>
        <w:t>הסכמים והעמדת ההלוואה, המשיבות פעלו כאחד</w:t>
      </w:r>
      <w:r w:rsidR="00F134FB">
        <w:rPr>
          <w:rFonts w:hint="cs" w:ascii="David" w:hAnsi="David" w:cs="David"/>
          <w:sz w:val="24"/>
          <w:szCs w:val="24"/>
          <w:rtl/>
        </w:rPr>
        <w:t xml:space="preserve"> (ראו ס' 47 לבקשה ונספחים 9-14)</w:t>
      </w:r>
      <w:r>
        <w:rPr>
          <w:rFonts w:hint="cs" w:ascii="David" w:hAnsi="David" w:cs="David"/>
          <w:sz w:val="24"/>
          <w:szCs w:val="24"/>
          <w:rtl/>
        </w:rPr>
        <w:t>. ייתכן שצריך יהיה להידרש</w:t>
      </w:r>
      <w:bookmarkStart w:name="_GoBack" w:id="0"/>
      <w:bookmarkEnd w:id="0"/>
      <w:r>
        <w:rPr>
          <w:rFonts w:hint="cs" w:ascii="David" w:hAnsi="David" w:cs="David"/>
          <w:sz w:val="24"/>
          <w:szCs w:val="24"/>
          <w:rtl/>
        </w:rPr>
        <w:t xml:space="preserve"> ל</w:t>
      </w:r>
      <w:r w:rsidR="00EF53A5">
        <w:rPr>
          <w:rFonts w:hint="cs" w:ascii="David" w:hAnsi="David" w:cs="David"/>
          <w:sz w:val="24"/>
          <w:szCs w:val="24"/>
          <w:rtl/>
        </w:rPr>
        <w:t xml:space="preserve">דברים </w:t>
      </w:r>
      <w:r>
        <w:rPr>
          <w:rFonts w:hint="cs" w:ascii="David" w:hAnsi="David" w:cs="David"/>
          <w:sz w:val="24"/>
          <w:szCs w:val="24"/>
          <w:rtl/>
        </w:rPr>
        <w:t>עם בירור התב</w:t>
      </w:r>
      <w:r w:rsidR="00EF53A5">
        <w:rPr>
          <w:rFonts w:hint="cs" w:ascii="David" w:hAnsi="David" w:cs="David"/>
          <w:sz w:val="24"/>
          <w:szCs w:val="24"/>
          <w:rtl/>
        </w:rPr>
        <w:t>י</w:t>
      </w:r>
      <w:r>
        <w:rPr>
          <w:rFonts w:hint="cs" w:ascii="David" w:hAnsi="David" w:cs="David"/>
          <w:sz w:val="24"/>
          <w:szCs w:val="24"/>
          <w:rtl/>
        </w:rPr>
        <w:t xml:space="preserve">עה לגופה. </w:t>
      </w:r>
    </w:p>
    <w:p w:rsidRPr="00EF53A5" w:rsidR="00BE628F" w:rsidP="00BE628F" w:rsidRDefault="00BE628F">
      <w:pPr>
        <w:spacing w:line="360" w:lineRule="auto"/>
        <w:ind w:left="4"/>
        <w:jc w:val="both"/>
        <w:rPr>
          <w:rFonts w:ascii="David" w:hAnsi="David"/>
          <w:u w:val="single"/>
        </w:rPr>
      </w:pPr>
    </w:p>
    <w:p w:rsidR="00BE628F" w:rsidP="00BE628F" w:rsidRDefault="00BE628F">
      <w:pPr>
        <w:spacing w:line="360" w:lineRule="auto"/>
        <w:ind w:left="4"/>
        <w:jc w:val="both"/>
        <w:rPr>
          <w:rFonts w:ascii="David" w:hAnsi="David"/>
          <w:u w:val="single"/>
          <w:rtl/>
        </w:rPr>
      </w:pPr>
      <w:r>
        <w:rPr>
          <w:rFonts w:hint="cs" w:ascii="David" w:hAnsi="David"/>
          <w:u w:val="single"/>
          <w:rtl/>
        </w:rPr>
        <w:t>טענות המבקשת בבקשה</w:t>
      </w:r>
    </w:p>
    <w:p w:rsidR="00BE628F" w:rsidP="00BE628F" w:rsidRDefault="00BE628F">
      <w:pPr>
        <w:pStyle w:val="ad"/>
        <w:numPr>
          <w:ilvl w:val="0"/>
          <w:numId w:val="3"/>
        </w:numPr>
        <w:bidi/>
        <w:spacing w:after="0" w:line="360" w:lineRule="auto"/>
        <w:ind w:left="571" w:hanging="567"/>
        <w:jc w:val="both"/>
        <w:rPr>
          <w:rFonts w:ascii="David" w:hAnsi="David" w:cs="David"/>
          <w:sz w:val="24"/>
          <w:szCs w:val="24"/>
        </w:rPr>
      </w:pPr>
      <w:r>
        <w:rPr>
          <w:rFonts w:hint="cs" w:ascii="David" w:hAnsi="David" w:cs="David"/>
          <w:sz w:val="24"/>
          <w:szCs w:val="24"/>
          <w:rtl/>
        </w:rPr>
        <w:t xml:space="preserve">לטענת המבקשת, למיטב ידיעתה ועל יסוד מצגי המשיבה 1, המשיבה 2 הינה חברה בת או אחות של המשיבה 1. לפיכך ועל יסוד כל האמור, המציאה את כתב התביעה בשני עותקים במישרין למשיבה 1. אלא שהמשיבה 1 הודיעה למבקשת, כי היא מסרבת לקבל את כתב התביעה בשם המשיבה 2 ואף הגישה הודעה בהתאם לבית המשפט. הניסיון של המשיבה 1 להרחיק עצמה מהמשיבה 2 הוא בגדר היתממות שכל מטרתה לסרבל ולהקשות על בירור התובענה בישראל. ההתנהלות בכריתת ההסכם וביצועו מלמדת כי המשיבה 1 הייתה צד ישיר להסכם עם המבקשת. כשם שהמשיבה 1 פעלה בשמה ובשם המשיבה 2 במהלך המו"מ לכריתת ההסכם וביישומו, ברור שההמצאה למשיבה </w:t>
      </w:r>
      <w:r w:rsidR="00F134FB">
        <w:rPr>
          <w:rFonts w:hint="cs" w:ascii="David" w:hAnsi="David" w:cs="David"/>
          <w:sz w:val="24"/>
          <w:szCs w:val="24"/>
          <w:rtl/>
        </w:rPr>
        <w:t xml:space="preserve">1 </w:t>
      </w:r>
      <w:r>
        <w:rPr>
          <w:rFonts w:hint="cs" w:ascii="David" w:hAnsi="David" w:cs="David"/>
          <w:sz w:val="24"/>
          <w:szCs w:val="24"/>
          <w:rtl/>
        </w:rPr>
        <w:t xml:space="preserve">מהווה המצאה למשיבה 2. </w:t>
      </w:r>
    </w:p>
    <w:p w:rsidRPr="00F134FB" w:rsidR="00BE628F" w:rsidP="00BE628F" w:rsidRDefault="00BE628F">
      <w:pPr>
        <w:spacing w:line="360" w:lineRule="auto"/>
        <w:jc w:val="both"/>
        <w:rPr>
          <w:rFonts w:ascii="David" w:hAnsi="David"/>
        </w:rPr>
      </w:pPr>
    </w:p>
    <w:p w:rsidR="00BE628F" w:rsidP="00F134FB" w:rsidRDefault="00BE628F">
      <w:pPr>
        <w:pStyle w:val="ad"/>
        <w:numPr>
          <w:ilvl w:val="0"/>
          <w:numId w:val="3"/>
        </w:numPr>
        <w:bidi/>
        <w:spacing w:after="0" w:line="360" w:lineRule="auto"/>
        <w:ind w:left="571" w:hanging="567"/>
        <w:jc w:val="both"/>
        <w:rPr>
          <w:rFonts w:ascii="David" w:hAnsi="David" w:cs="David"/>
          <w:sz w:val="24"/>
          <w:szCs w:val="24"/>
        </w:rPr>
      </w:pPr>
      <w:r>
        <w:rPr>
          <w:rFonts w:hint="cs" w:ascii="David" w:hAnsi="David" w:cs="David"/>
          <w:sz w:val="24"/>
          <w:szCs w:val="24"/>
          <w:rtl/>
        </w:rPr>
        <w:t xml:space="preserve">בנסיבות תיק זה, המשיבה </w:t>
      </w:r>
      <w:r w:rsidR="00F134FB">
        <w:rPr>
          <w:rFonts w:hint="cs" w:ascii="David" w:hAnsi="David" w:cs="David"/>
          <w:sz w:val="24"/>
          <w:szCs w:val="24"/>
          <w:rtl/>
        </w:rPr>
        <w:t xml:space="preserve">1 </w:t>
      </w:r>
      <w:r>
        <w:rPr>
          <w:rFonts w:hint="cs" w:ascii="David" w:hAnsi="David" w:cs="David"/>
          <w:sz w:val="24"/>
          <w:szCs w:val="24"/>
          <w:rtl/>
        </w:rPr>
        <w:t xml:space="preserve">היא מורשית של המשיבה 2 באופן ישיר. המשיבה </w:t>
      </w:r>
      <w:r w:rsidR="00F134FB">
        <w:rPr>
          <w:rFonts w:hint="cs" w:ascii="David" w:hAnsi="David" w:cs="David"/>
          <w:sz w:val="24"/>
          <w:szCs w:val="24"/>
          <w:rtl/>
        </w:rPr>
        <w:t xml:space="preserve">1 </w:t>
      </w:r>
      <w:r>
        <w:rPr>
          <w:rFonts w:hint="cs" w:ascii="David" w:hAnsi="David" w:cs="David"/>
          <w:sz w:val="24"/>
          <w:szCs w:val="24"/>
          <w:rtl/>
        </w:rPr>
        <w:t>ניהלה את המו"מ נבחרה להיות צד לעסקה, כרתה בפועל את הסכם ההלוואה עם המבקשת, בעוד שהמבקשת</w:t>
      </w:r>
      <w:r w:rsidR="00F134FB">
        <w:rPr>
          <w:rFonts w:hint="cs" w:ascii="David" w:hAnsi="David" w:cs="David"/>
          <w:sz w:val="24"/>
          <w:szCs w:val="24"/>
          <w:rtl/>
        </w:rPr>
        <w:t xml:space="preserve"> (באמצעות חברות אחרות)</w:t>
      </w:r>
      <w:r>
        <w:rPr>
          <w:rFonts w:hint="cs" w:ascii="David" w:hAnsi="David" w:cs="David"/>
          <w:sz w:val="24"/>
          <w:szCs w:val="24"/>
          <w:rtl/>
        </w:rPr>
        <w:t xml:space="preserve"> העבירה את כספי ההלוואה ישירות אל המשיבה 2. המבקשת (לרבות חברות הבנות שלה) ראו את המשיבה 1 כבעלת דברה של המשיבה 2 לכל דבר ועניין, לרבות ביחס להלוואה שהועמדה. המבקשת לא ביקשה ולא ראתה עצמה קשורה עם חברה מאיי הבתולה הבריטיים, אלא עם המשיבה 1. המשיבה 2 לא הייתה אלא זרוע הביצוע של המשיבה </w:t>
      </w:r>
      <w:r w:rsidR="00F134FB">
        <w:rPr>
          <w:rFonts w:hint="cs" w:ascii="David" w:hAnsi="David" w:cs="David"/>
          <w:sz w:val="24"/>
          <w:szCs w:val="24"/>
          <w:rtl/>
        </w:rPr>
        <w:t xml:space="preserve">1 </w:t>
      </w:r>
      <w:r>
        <w:rPr>
          <w:rFonts w:hint="cs" w:ascii="David" w:hAnsi="David" w:cs="David"/>
          <w:sz w:val="24"/>
          <w:szCs w:val="24"/>
          <w:rtl/>
        </w:rPr>
        <w:t xml:space="preserve">ומי שפעלה בשמה ועבורה. </w:t>
      </w:r>
    </w:p>
    <w:p w:rsidRPr="00F134FB" w:rsidR="00BE628F" w:rsidP="00BE628F" w:rsidRDefault="00BE628F">
      <w:pPr>
        <w:spacing w:line="360" w:lineRule="auto"/>
        <w:jc w:val="both"/>
        <w:rPr>
          <w:rFonts w:ascii="David" w:hAnsi="David"/>
        </w:rPr>
      </w:pPr>
    </w:p>
    <w:p w:rsidR="00BE628F" w:rsidP="00F134FB" w:rsidRDefault="00BE628F">
      <w:pPr>
        <w:pStyle w:val="ad"/>
        <w:numPr>
          <w:ilvl w:val="0"/>
          <w:numId w:val="3"/>
        </w:numPr>
        <w:bidi/>
        <w:spacing w:after="0" w:line="360" w:lineRule="auto"/>
        <w:ind w:left="571" w:hanging="567"/>
        <w:jc w:val="both"/>
        <w:rPr>
          <w:rFonts w:ascii="David" w:hAnsi="David" w:cs="David"/>
          <w:sz w:val="24"/>
          <w:szCs w:val="24"/>
        </w:rPr>
      </w:pPr>
      <w:r>
        <w:rPr>
          <w:rFonts w:hint="cs" w:ascii="David" w:hAnsi="David" w:cs="David"/>
          <w:sz w:val="24"/>
          <w:szCs w:val="24"/>
          <w:rtl/>
        </w:rPr>
        <w:t xml:space="preserve">טרם ההסכם וחתימתו ועד לסוף שנת 2008 נערכו במשרדי המבקשת אחת לשבועיים פגישות עבודה בעניין עסקת קלינובקה ועל אף שהמשיבה 2 היא שחתמה על ההסכם, מי שניהל את הפגישות היה מיקי אזמל מטעם המשיבה 1. עוד נטען, כי מר רועי ציפריס, נציג המשיבה 1, הזדהה פעמים רבות בתכתובות דוא"ל כנציג המשיבה 2. </w:t>
      </w:r>
    </w:p>
    <w:p w:rsidR="00BE628F" w:rsidP="00BE628F" w:rsidRDefault="00BE628F">
      <w:pPr>
        <w:spacing w:line="360" w:lineRule="auto"/>
        <w:jc w:val="both"/>
        <w:rPr>
          <w:rFonts w:ascii="David" w:hAnsi="David"/>
        </w:rPr>
      </w:pPr>
    </w:p>
    <w:p w:rsidR="00BE628F" w:rsidP="00BE628F" w:rsidRDefault="00BE628F">
      <w:pPr>
        <w:spacing w:line="360" w:lineRule="auto"/>
        <w:jc w:val="both"/>
        <w:rPr>
          <w:rFonts w:ascii="David" w:hAnsi="David"/>
          <w:u w:val="single"/>
        </w:rPr>
      </w:pPr>
      <w:r>
        <w:rPr>
          <w:rFonts w:hint="cs" w:ascii="David" w:hAnsi="David"/>
          <w:u w:val="single"/>
          <w:rtl/>
        </w:rPr>
        <w:lastRenderedPageBreak/>
        <w:t>טענות המשיבה 1</w:t>
      </w:r>
    </w:p>
    <w:p w:rsidR="00BE628F" w:rsidP="00BE628F" w:rsidRDefault="00BE628F">
      <w:pPr>
        <w:pStyle w:val="ad"/>
        <w:numPr>
          <w:ilvl w:val="0"/>
          <w:numId w:val="3"/>
        </w:numPr>
        <w:bidi/>
        <w:spacing w:after="0" w:line="360" w:lineRule="auto"/>
        <w:ind w:left="571" w:hanging="567"/>
        <w:jc w:val="both"/>
        <w:rPr>
          <w:rFonts w:ascii="David" w:hAnsi="David" w:cs="David"/>
          <w:sz w:val="24"/>
          <w:szCs w:val="24"/>
        </w:rPr>
      </w:pPr>
      <w:r>
        <w:rPr>
          <w:rFonts w:hint="cs" w:ascii="David" w:hAnsi="David" w:cs="David"/>
          <w:sz w:val="24"/>
          <w:szCs w:val="24"/>
          <w:rtl/>
        </w:rPr>
        <w:t>במרכזה של התביעה מצוי הסכם שחתמה חברת אנגל עם המשיבה 2 שעניינו רכישת נכס נדל"ן באוקראינה. על פי כתב התביעה, מכוחו של הסכם זה נתנה המבקשת הלוואה למשיבה 2. לטענת המבקשת (המוכחשת על ידי המשיבה</w:t>
      </w:r>
      <w:r w:rsidR="00F134FB">
        <w:rPr>
          <w:rFonts w:hint="cs" w:ascii="David" w:hAnsi="David" w:cs="David"/>
          <w:sz w:val="24"/>
          <w:szCs w:val="24"/>
          <w:rtl/>
        </w:rPr>
        <w:t xml:space="preserve"> 1</w:t>
      </w:r>
      <w:r>
        <w:rPr>
          <w:rFonts w:hint="cs" w:ascii="David" w:hAnsi="David" w:cs="David"/>
          <w:sz w:val="24"/>
          <w:szCs w:val="24"/>
          <w:rtl/>
        </w:rPr>
        <w:t xml:space="preserve">), ההלוואה אמנם ניתנה למשיבה 2, אך זו שימשה כשלוחה של המשיבה 1 ועל כן, המבקשת תובעת את פירעון ההלוואה הן מהמשיבה 1 והן מהמשיבה 2. </w:t>
      </w:r>
    </w:p>
    <w:p w:rsidR="00BE628F" w:rsidP="00BE628F" w:rsidRDefault="00BE628F">
      <w:pPr>
        <w:spacing w:line="360" w:lineRule="auto"/>
        <w:jc w:val="both"/>
        <w:rPr>
          <w:rFonts w:ascii="David" w:hAnsi="David"/>
        </w:rPr>
      </w:pPr>
    </w:p>
    <w:p w:rsidR="00BE628F" w:rsidP="002A3A25" w:rsidRDefault="00BE628F">
      <w:pPr>
        <w:pStyle w:val="ad"/>
        <w:numPr>
          <w:ilvl w:val="0"/>
          <w:numId w:val="3"/>
        </w:numPr>
        <w:bidi/>
        <w:spacing w:after="0" w:line="360" w:lineRule="auto"/>
        <w:ind w:left="571" w:hanging="567"/>
        <w:jc w:val="both"/>
        <w:rPr>
          <w:rFonts w:ascii="David" w:hAnsi="David" w:cs="David"/>
          <w:sz w:val="24"/>
          <w:szCs w:val="24"/>
        </w:rPr>
      </w:pPr>
      <w:r>
        <w:rPr>
          <w:rFonts w:hint="cs" w:ascii="David" w:hAnsi="David" w:cs="David"/>
          <w:sz w:val="24"/>
          <w:szCs w:val="24"/>
          <w:rtl/>
        </w:rPr>
        <w:t xml:space="preserve">על מנת לעמוד בדרישות התקנה נדרשת המבקשת להוכיח, כי התנאים הקבועים בתקנה 482(א) מתקיימים </w:t>
      </w:r>
      <w:r>
        <w:rPr>
          <w:rFonts w:hint="cs" w:ascii="David" w:hAnsi="David" w:cs="David"/>
          <w:sz w:val="24"/>
          <w:szCs w:val="24"/>
          <w:u w:val="single"/>
          <w:rtl/>
        </w:rPr>
        <w:t>במועד שבו ניסתה להמציא את התובענה</w:t>
      </w:r>
      <w:r>
        <w:rPr>
          <w:rFonts w:hint="cs" w:ascii="David" w:hAnsi="David" w:cs="David"/>
          <w:sz w:val="24"/>
          <w:szCs w:val="24"/>
          <w:rtl/>
        </w:rPr>
        <w:t xml:space="preserve">. לא עלה בידי המבקשת לעשות כן. התנאי הבסיסי להמצאה למורשה לפי התקנה הוא קיומו של עסק של הנתבע הזר כשהמורשה הנטען "עוסק אותה שעה בעצמו מטעם האדם בהנהלת אותו העסק או אותה עבודה". בבקשה לא נטען כלל שכיום, במועד ניסיון ההמצאה, יש קשר עסקי כלשהו בין המשיבה 1 למשיבה 2 (לא כל שכן "קשר אינטנסיבי"); ולא נעשה ניסיון כלשהו להוכיח זאת בראיות. הבקשה מתבססת על כך שלפי הטענה, המו"מ שנוהל לפני כעשור, נוהל עם המשיבה 1 אשר השתמשה במשיבה 2 כ"זרוע הביצועית" שלה. המבקשת לא הראתה כי במועד ניסיון ההמצאה, המשיבה 1 מקיימת פעילות עסקית כלשהי ולא הראתה שהיא מקיימת פעילות עסקית בישראל, בפרט. </w:t>
      </w:r>
    </w:p>
    <w:p w:rsidR="00BE628F" w:rsidP="00BE628F" w:rsidRDefault="00BE628F">
      <w:pPr>
        <w:spacing w:line="360" w:lineRule="auto"/>
        <w:jc w:val="both"/>
        <w:rPr>
          <w:rFonts w:ascii="David" w:hAnsi="David"/>
        </w:rPr>
      </w:pPr>
    </w:p>
    <w:p w:rsidR="00BE628F" w:rsidP="00EE50AA" w:rsidRDefault="00BE628F">
      <w:pPr>
        <w:pStyle w:val="ad"/>
        <w:numPr>
          <w:ilvl w:val="0"/>
          <w:numId w:val="3"/>
        </w:numPr>
        <w:bidi/>
        <w:spacing w:after="0" w:line="360" w:lineRule="auto"/>
        <w:ind w:left="571" w:hanging="567"/>
        <w:jc w:val="both"/>
        <w:rPr>
          <w:rFonts w:ascii="David" w:hAnsi="David" w:cs="David"/>
          <w:sz w:val="24"/>
          <w:szCs w:val="24"/>
        </w:rPr>
      </w:pPr>
      <w:r>
        <w:rPr>
          <w:rFonts w:hint="cs" w:ascii="David" w:hAnsi="David" w:cs="David"/>
          <w:sz w:val="24"/>
          <w:szCs w:val="24"/>
          <w:rtl/>
        </w:rPr>
        <w:t xml:space="preserve">אשר לתנאי אינטנסיביות הקשר בין המשיבות - המבקשת מבססת את קיומו על כך שלטענתה, המשיבה 1 והמשיבה 2 פעלו </w:t>
      </w:r>
      <w:r w:rsidR="00EE50AA">
        <w:rPr>
          <w:rFonts w:hint="cs" w:ascii="David" w:hAnsi="David" w:cs="David"/>
          <w:sz w:val="24"/>
          <w:szCs w:val="24"/>
          <w:rtl/>
        </w:rPr>
        <w:t>באמצעות</w:t>
      </w:r>
      <w:r>
        <w:rPr>
          <w:rFonts w:hint="cs" w:ascii="David" w:hAnsi="David" w:cs="David"/>
          <w:sz w:val="24"/>
          <w:szCs w:val="24"/>
          <w:rtl/>
        </w:rPr>
        <w:t xml:space="preserve"> אותם אנשים, כאשר המשיבה 2 שימשה כשלוחה של המשיבה 1, שהיא השותף האמיתי והנכון לעסקה. המבקשת מנסה לתמוך טענתה בהודעה ששלחה בשעתו לבורסה; בכך שההסכם עם המשיבה 2 נחתם בעברית בת"א וכולל תניית שיפוט המקנה סמכות לבתי המשפט בתל אביב; ומהתנהגותה של המשיבה </w:t>
      </w:r>
      <w:r w:rsidR="00EE50AA">
        <w:rPr>
          <w:rFonts w:hint="cs" w:ascii="David" w:hAnsi="David" w:cs="David"/>
          <w:sz w:val="24"/>
          <w:szCs w:val="24"/>
          <w:rtl/>
        </w:rPr>
        <w:t xml:space="preserve">1 </w:t>
      </w:r>
      <w:r>
        <w:rPr>
          <w:rFonts w:hint="cs" w:ascii="David" w:hAnsi="David" w:cs="David"/>
          <w:sz w:val="24"/>
          <w:szCs w:val="24"/>
          <w:rtl/>
        </w:rPr>
        <w:t>בניהול המו"מ ובקיו</w:t>
      </w:r>
      <w:r w:rsidR="00EE50AA">
        <w:rPr>
          <w:rFonts w:hint="cs" w:ascii="David" w:hAnsi="David" w:cs="David"/>
          <w:sz w:val="24"/>
          <w:szCs w:val="24"/>
          <w:rtl/>
        </w:rPr>
        <w:t>ם</w:t>
      </w:r>
      <w:r>
        <w:rPr>
          <w:rFonts w:hint="cs" w:ascii="David" w:hAnsi="David" w:cs="David"/>
          <w:sz w:val="24"/>
          <w:szCs w:val="24"/>
          <w:rtl/>
        </w:rPr>
        <w:t xml:space="preserve"> </w:t>
      </w:r>
      <w:r w:rsidR="00EE50AA">
        <w:rPr>
          <w:rFonts w:hint="cs" w:ascii="David" w:hAnsi="David" w:cs="David"/>
          <w:sz w:val="24"/>
          <w:szCs w:val="24"/>
          <w:rtl/>
        </w:rPr>
        <w:t>ההסכמים</w:t>
      </w:r>
      <w:r>
        <w:rPr>
          <w:rFonts w:hint="cs" w:ascii="David" w:hAnsi="David" w:cs="David"/>
          <w:sz w:val="24"/>
          <w:szCs w:val="24"/>
          <w:rtl/>
        </w:rPr>
        <w:t>, המלמדת לשיטתה, שהמשיבה 1 היא צד להם ושקיימת זיקה בינה לבין המשיבה 2. לטענת המשיבה 1, במהות מכוונ</w:t>
      </w:r>
      <w:r w:rsidR="00EE50AA">
        <w:rPr>
          <w:rFonts w:hint="cs" w:ascii="David" w:hAnsi="David" w:cs="David"/>
          <w:sz w:val="24"/>
          <w:szCs w:val="24"/>
          <w:rtl/>
        </w:rPr>
        <w:t>ו</w:t>
      </w:r>
      <w:r>
        <w:rPr>
          <w:rFonts w:hint="cs" w:ascii="David" w:hAnsi="David" w:cs="David"/>
          <w:sz w:val="24"/>
          <w:szCs w:val="24"/>
          <w:rtl/>
        </w:rPr>
        <w:t>ת טענות המבקשת לביסוס עילת תביעה כנגדה אף שאינה צד להסכם ולא לצורך תקינות ההמצאה; והן אינן מתיישבות עם הדרוש לצורך תקינות ההמצאה לפי תקנה 482(א). בכל מקרה, גם אם טענת המבקשת (המוכחשת ע"י המשיבה 1), נכונה ומתקיימים יחסי שליחות (שכאמור במקרה זה הינם הפוכים למצב הרגיל שבו מתבקשת תחולת התקנה) - אין די בהם להוכחת אינטנסיביות הקשר במועד ההמצאה.</w:t>
      </w:r>
    </w:p>
    <w:p w:rsidR="00BE628F" w:rsidP="00BE628F" w:rsidRDefault="00BE628F">
      <w:pPr>
        <w:spacing w:line="360" w:lineRule="auto"/>
        <w:jc w:val="both"/>
        <w:rPr>
          <w:rFonts w:ascii="David" w:hAnsi="David"/>
        </w:rPr>
      </w:pPr>
    </w:p>
    <w:p w:rsidR="00BE628F" w:rsidP="00EE50AA" w:rsidRDefault="00BE628F">
      <w:pPr>
        <w:pStyle w:val="ad"/>
        <w:numPr>
          <w:ilvl w:val="0"/>
          <w:numId w:val="3"/>
        </w:numPr>
        <w:bidi/>
        <w:spacing w:after="0" w:line="360" w:lineRule="auto"/>
        <w:ind w:left="571" w:hanging="567"/>
        <w:jc w:val="both"/>
        <w:rPr>
          <w:rFonts w:ascii="David" w:hAnsi="David" w:cs="David"/>
          <w:sz w:val="24"/>
          <w:szCs w:val="24"/>
        </w:rPr>
      </w:pPr>
      <w:r>
        <w:rPr>
          <w:rFonts w:hint="cs" w:ascii="David" w:hAnsi="David" w:cs="David"/>
          <w:sz w:val="24"/>
          <w:szCs w:val="24"/>
          <w:rtl/>
        </w:rPr>
        <w:t xml:space="preserve">בניגוד לאמור בתצהיר המבקשת (ובהתייחס לתכתובת דוא"ל שצורפה כנספח 10 לבקשה), מר ציפריס, שלפי חתימתו בדוא"ל שימש אז כדירקטור במשיבה 2, אינו משמש ומעולם לא היה דירקטור במשיבה 1. המבקשת גם לא הוכיחה שמר ציפריס מכהן כיום כדירקטור במשיבה 2. </w:t>
      </w:r>
      <w:r>
        <w:rPr>
          <w:rFonts w:hint="cs" w:ascii="David" w:hAnsi="David" w:cs="David"/>
          <w:sz w:val="24"/>
          <w:szCs w:val="24"/>
          <w:rtl/>
        </w:rPr>
        <w:lastRenderedPageBreak/>
        <w:t>כמו כן, המשיבה 1 אינה מחזיקה במניות המשיבה 2, במישרין או בעקיפין, ומעולם לא הייתה בעלת מניות בה וממילא, המשיבה 2 אינה חברת בת של המשיבה 1. בכך ש(רוב) בעלי המניות הסופיים של המשיבה 2 הם גם בעלי מניות של המשיבה 1, אין כדי לבסס את הקביעה שהמשיבה 1 היתה בעלת המניות הסופית במיזם ובמשיבה 2 ואין בכך לבסס קשר אינטנסיבי בין הצדדים כמו גם את יתר תנאי תקנה 482(א). כמו כן, המשיבה 1 אינה מורשית לניהול עסקיה של המשיבה 2 ואינה מנהלת את עסקיה. מכל מקום, המשיבה אינה מוסמכת לקבל את ההמצאה עבור המשיבה 2, אינה פועלת מטעמה, אינה מייצגת אותה וכתב התביעה אף לא הועבר לידיה.</w:t>
      </w:r>
    </w:p>
    <w:p w:rsidR="00BE628F" w:rsidP="00BE628F" w:rsidRDefault="00BE628F">
      <w:pPr>
        <w:spacing w:line="360" w:lineRule="auto"/>
        <w:jc w:val="both"/>
        <w:rPr>
          <w:rFonts w:ascii="David" w:hAnsi="David"/>
        </w:rPr>
      </w:pPr>
    </w:p>
    <w:p w:rsidR="00BE628F" w:rsidP="00BE628F" w:rsidRDefault="00BE628F">
      <w:pPr>
        <w:pStyle w:val="ad"/>
        <w:numPr>
          <w:ilvl w:val="0"/>
          <w:numId w:val="3"/>
        </w:numPr>
        <w:bidi/>
        <w:spacing w:after="0" w:line="360" w:lineRule="auto"/>
        <w:ind w:left="571" w:hanging="567"/>
        <w:jc w:val="both"/>
        <w:rPr>
          <w:rFonts w:ascii="David" w:hAnsi="David" w:cs="David"/>
          <w:sz w:val="24"/>
          <w:szCs w:val="24"/>
        </w:rPr>
      </w:pPr>
      <w:r>
        <w:rPr>
          <w:rFonts w:hint="cs" w:ascii="David" w:hAnsi="David" w:cs="David"/>
          <w:sz w:val="24"/>
          <w:szCs w:val="24"/>
          <w:rtl/>
        </w:rPr>
        <w:t xml:space="preserve">לטענת המשיבה 1, למעלה מן הצורך, המבקשת אף לא הוכיחה כי תנאי תקנה 482(א) התקיימו בעבר, לפני עשור, במועד ההתקשרות במי מההסכמים או בעת העמדת ההלוואה. </w:t>
      </w:r>
      <w:r>
        <w:rPr>
          <w:rFonts w:hint="cs" w:ascii="David" w:hAnsi="David" w:cs="David"/>
          <w:sz w:val="24"/>
          <w:szCs w:val="24"/>
          <w:rtl/>
        </w:rPr>
        <w:tab/>
      </w:r>
      <w:r>
        <w:rPr>
          <w:rFonts w:hint="cs" w:ascii="David" w:hAnsi="David" w:cs="David"/>
          <w:sz w:val="24"/>
          <w:szCs w:val="24"/>
          <w:rtl/>
        </w:rPr>
        <w:br/>
        <w:t xml:space="preserve">ראשית, לא הוכח כלל קיומם של </w:t>
      </w:r>
      <w:r>
        <w:rPr>
          <w:rFonts w:hint="cs" w:ascii="David" w:hAnsi="David" w:cs="David"/>
          <w:sz w:val="24"/>
          <w:szCs w:val="24"/>
          <w:u w:val="single"/>
          <w:rtl/>
        </w:rPr>
        <w:t>"עסקים בישראל" למשיבה 2</w:t>
      </w:r>
      <w:r>
        <w:rPr>
          <w:rFonts w:hint="cs" w:ascii="David" w:hAnsi="David" w:cs="David"/>
          <w:sz w:val="24"/>
          <w:szCs w:val="24"/>
          <w:rtl/>
        </w:rPr>
        <w:t>. אין די בכך שהמו"מ נוהל בישראל וכי ההסכם נחתם בעברית ביחס לעסקה הנעשית מחוץ לישראל כדי להוכיח קיומם של "עסקים בישראל". המבקשת אף אינה מבהירה מהו טיב "העסקים" אותם ניהלה המשיבה 1 - האם רכישת קרקעות באוקראינה, קבלת הלוואות ובכלל, איזה עסק לשיטת המבקשת, ניהלה המשיבה 1 עבור המשיבה 2, בישראל;</w:t>
      </w:r>
      <w:r>
        <w:rPr>
          <w:rFonts w:hint="cs" w:ascii="David" w:hAnsi="David" w:cs="David"/>
          <w:sz w:val="24"/>
          <w:szCs w:val="24"/>
          <w:rtl/>
        </w:rPr>
        <w:tab/>
      </w:r>
      <w:r>
        <w:rPr>
          <w:rFonts w:hint="cs" w:ascii="David" w:hAnsi="David" w:cs="David"/>
          <w:sz w:val="24"/>
          <w:szCs w:val="24"/>
          <w:rtl/>
        </w:rPr>
        <w:br/>
        <w:t xml:space="preserve">שנית, לא הוכח שהמשיבה 1 שימשה </w:t>
      </w:r>
      <w:r>
        <w:rPr>
          <w:rFonts w:hint="cs" w:ascii="David" w:hAnsi="David" w:cs="David"/>
          <w:sz w:val="24"/>
          <w:szCs w:val="24"/>
          <w:u w:val="single"/>
          <w:rtl/>
        </w:rPr>
        <w:t>כמנהל או מורשה</w:t>
      </w:r>
      <w:r>
        <w:rPr>
          <w:rFonts w:hint="cs" w:ascii="David" w:hAnsi="David" w:cs="David"/>
          <w:sz w:val="24"/>
          <w:szCs w:val="24"/>
          <w:rtl/>
        </w:rPr>
        <w:t xml:space="preserve"> של המשיבה 2 בניהול עסקיה בישראל. הרי המבקשת טוענת שהמשיבה 1 הייתה השולח והמשיבה 2 הייתה שלוחה שלה; ואילו תקנה 482(א) מכוונת למצבים הפוכים, שבהם הנתבע הזר הוא השולח וההמצאה נעשית לשליח או למורשה המצוי בתחום שיפוטו של בית המשפט בישראל.</w:t>
      </w:r>
      <w:r>
        <w:rPr>
          <w:rFonts w:hint="cs" w:ascii="David" w:hAnsi="David" w:cs="David"/>
          <w:sz w:val="24"/>
          <w:szCs w:val="24"/>
          <w:rtl/>
        </w:rPr>
        <w:tab/>
      </w:r>
      <w:r>
        <w:rPr>
          <w:rFonts w:hint="cs" w:ascii="David" w:hAnsi="David" w:cs="David"/>
          <w:sz w:val="24"/>
          <w:szCs w:val="24"/>
          <w:rtl/>
        </w:rPr>
        <w:br/>
        <w:t xml:space="preserve">שלישית, המבקשת לא העמידה תשתית ראייתית המלמדת על קיומו של </w:t>
      </w:r>
      <w:r>
        <w:rPr>
          <w:rFonts w:hint="cs" w:ascii="David" w:hAnsi="David" w:cs="David"/>
          <w:sz w:val="24"/>
          <w:szCs w:val="24"/>
          <w:u w:val="single"/>
          <w:rtl/>
        </w:rPr>
        <w:t>קשר אינטנסיבי</w:t>
      </w:r>
      <w:r>
        <w:rPr>
          <w:rFonts w:hint="cs" w:ascii="David" w:hAnsi="David" w:cs="David"/>
          <w:sz w:val="24"/>
          <w:szCs w:val="24"/>
          <w:rtl/>
        </w:rPr>
        <w:t xml:space="preserve"> בין המשיבות. לפי הפסיקה, אין די בהוכחת קשר קונצרני בין שני תאגידים על מנת לייתר את הוכחת התנאים שנקבעו בתקנה 482(א); והעובדה שהמשיבה 1 והמשיבה 2 מוחזקות בעקיפין על ידי אותם בעלי מניות, אינה מהווה כשלעצמה הוכחה לקיומו של קשר עסקי ובוודאי קשר אינטנסיבי, כנדרש. לטענת המשיבה 1, גם בתקופת ההתקשרות בהסכמים ומתן ההלוואה, לא התקיים קשר הדוק בין המשיבות. המבקשת מסתמכת על נתונים עובדתיים שגויים ומסיקה מסקנות שאינן נובעת מהמסמכים. המשיבה 1 מתייחסת לתכתובת הדוא"ל הנזכרת בבקשה תוך שהיא מבהירה, כי אין בה כדי לבסס את הטענה לקיומו של קשר בין המשיבה 1 לבין המשיבה 2, כמו גם את הטענה לפעולת המשיבות באמצעות אותם אנשים או למעורבות המשיבה 1 בעסקת ההלוואה וכיוצ"ב (וראו גם טענותיה ביחס למר ציפריס לעיל). עולה ממנה כי ההתקשרות היא עם המשיבה 2. </w:t>
      </w:r>
    </w:p>
    <w:p w:rsidR="00BE628F" w:rsidP="00BE628F" w:rsidRDefault="00BE628F">
      <w:pPr>
        <w:spacing w:line="360" w:lineRule="auto"/>
        <w:jc w:val="both"/>
        <w:rPr>
          <w:rFonts w:ascii="David" w:hAnsi="David"/>
          <w:u w:val="single"/>
        </w:rPr>
      </w:pPr>
    </w:p>
    <w:p w:rsidR="00BE628F" w:rsidP="00BE628F" w:rsidRDefault="00BE628F">
      <w:pPr>
        <w:spacing w:line="360" w:lineRule="auto"/>
        <w:jc w:val="both"/>
        <w:rPr>
          <w:rFonts w:ascii="David" w:hAnsi="David"/>
          <w:u w:val="single"/>
          <w:rtl/>
        </w:rPr>
      </w:pPr>
      <w:r>
        <w:rPr>
          <w:rFonts w:hint="cs" w:ascii="David" w:hAnsi="David"/>
          <w:u w:val="single"/>
          <w:rtl/>
        </w:rPr>
        <w:lastRenderedPageBreak/>
        <w:t>תגובת המבקשת לתשובת המשיבה 1</w:t>
      </w:r>
    </w:p>
    <w:p w:rsidR="00BE628F" w:rsidP="00BE628F" w:rsidRDefault="00BE628F">
      <w:pPr>
        <w:pStyle w:val="ad"/>
        <w:numPr>
          <w:ilvl w:val="0"/>
          <w:numId w:val="3"/>
        </w:numPr>
        <w:bidi/>
        <w:spacing w:after="0" w:line="360" w:lineRule="auto"/>
        <w:ind w:left="571" w:hanging="567"/>
        <w:jc w:val="both"/>
        <w:rPr>
          <w:rFonts w:ascii="David" w:hAnsi="David" w:cs="David"/>
          <w:sz w:val="24"/>
          <w:szCs w:val="24"/>
        </w:rPr>
      </w:pPr>
      <w:r>
        <w:rPr>
          <w:rFonts w:hint="cs" w:ascii="David" w:hAnsi="David" w:cs="David"/>
          <w:sz w:val="24"/>
          <w:szCs w:val="24"/>
          <w:rtl/>
        </w:rPr>
        <w:t xml:space="preserve">לטענת המבקשת, דרישות הדין והפסיקה לגבי התקנה, הן ביחס לקיומו של הקשר העסקי והן ביחס לאינטנסיביות הקשר, הן מקלות; והתקנה תחול כשסביר שהנתבע ילמד מהמורשה על עצם הגשת כתב הטענות נגדו. הכל בפרט כשאין הדבר שולל מהנתבע את מלוא זכויותיו וטענותיו כלפי עצם הגשת התובענה. </w:t>
      </w:r>
    </w:p>
    <w:p w:rsidR="00BE628F" w:rsidP="00BE628F" w:rsidRDefault="00BE628F">
      <w:pPr>
        <w:spacing w:line="360" w:lineRule="auto"/>
        <w:jc w:val="both"/>
        <w:rPr>
          <w:rFonts w:ascii="David" w:hAnsi="David"/>
        </w:rPr>
      </w:pPr>
    </w:p>
    <w:p w:rsidR="00BE628F" w:rsidP="00EE50AA" w:rsidRDefault="00BE628F">
      <w:pPr>
        <w:pStyle w:val="ad"/>
        <w:numPr>
          <w:ilvl w:val="0"/>
          <w:numId w:val="3"/>
        </w:numPr>
        <w:bidi/>
        <w:spacing w:after="0" w:line="360" w:lineRule="auto"/>
        <w:ind w:left="571" w:hanging="567"/>
        <w:jc w:val="both"/>
        <w:rPr>
          <w:rFonts w:ascii="David" w:hAnsi="David" w:cs="David"/>
          <w:sz w:val="24"/>
          <w:szCs w:val="24"/>
        </w:rPr>
      </w:pPr>
      <w:r>
        <w:rPr>
          <w:rFonts w:hint="cs" w:ascii="David" w:hAnsi="David" w:cs="David"/>
          <w:sz w:val="24"/>
          <w:szCs w:val="24"/>
          <w:rtl/>
        </w:rPr>
        <w:t>לטענת המבקשת, תשובת המשיבה 1 מלמדת על הקשר ההדוק בינה לבין המשיבה 2. המשיבה</w:t>
      </w:r>
      <w:r w:rsidR="00EE50AA">
        <w:rPr>
          <w:rFonts w:hint="cs" w:ascii="David" w:hAnsi="David" w:cs="David"/>
          <w:sz w:val="24"/>
          <w:szCs w:val="24"/>
          <w:rtl/>
        </w:rPr>
        <w:t xml:space="preserve"> 1</w:t>
      </w:r>
      <w:r>
        <w:rPr>
          <w:rFonts w:hint="cs" w:ascii="David" w:hAnsi="David" w:cs="David"/>
          <w:sz w:val="24"/>
          <w:szCs w:val="24"/>
          <w:rtl/>
        </w:rPr>
        <w:t xml:space="preserve"> מעלה מיני טענות אך אינה מסבירה בדיוק מה הקשר שיש היום בין שתי המשיבות, אם בכלל, באופן המוכיח את רצונה של המשיבה </w:t>
      </w:r>
      <w:r w:rsidR="00EE50AA">
        <w:rPr>
          <w:rFonts w:hint="cs" w:ascii="David" w:hAnsi="David" w:cs="David"/>
          <w:sz w:val="24"/>
          <w:szCs w:val="24"/>
          <w:rtl/>
        </w:rPr>
        <w:t xml:space="preserve">1 </w:t>
      </w:r>
      <w:r>
        <w:rPr>
          <w:rFonts w:hint="cs" w:ascii="David" w:hAnsi="David" w:cs="David"/>
          <w:sz w:val="24"/>
          <w:szCs w:val="24"/>
          <w:rtl/>
        </w:rPr>
        <w:t>לטשטש את קשריה עם המשיבה 2. בעוד שהמבקשת הצביעה על התנהלות מול המשיבה 2 באמצעות אותם אנשים, המשיבה</w:t>
      </w:r>
      <w:r w:rsidR="00EE50AA">
        <w:rPr>
          <w:rFonts w:hint="cs" w:ascii="David" w:hAnsi="David" w:cs="David"/>
          <w:sz w:val="24"/>
          <w:szCs w:val="24"/>
          <w:rtl/>
        </w:rPr>
        <w:t xml:space="preserve"> 1</w:t>
      </w:r>
      <w:r>
        <w:rPr>
          <w:rFonts w:hint="cs" w:ascii="David" w:hAnsi="David" w:cs="David"/>
          <w:sz w:val="24"/>
          <w:szCs w:val="24"/>
          <w:rtl/>
        </w:rPr>
        <w:t xml:space="preserve"> לא הביאה ראיה לסתור את האמור וטענה, כי לא נטען שכיום יש קשר בין החברות. בעל דין תם לב, היה מציין מהו הקשר העסקי או היעדרו, מתי התנהל או הסתיים ומה מצב הדברים היום. לצד העדרה של גרסה פוזיטיבית מצד המשיבה 1 ביחס לטיב הקשר הקיים כיום בינה לבין המשיבה 2, המשיבה</w:t>
      </w:r>
      <w:r w:rsidR="00EE50AA">
        <w:rPr>
          <w:rFonts w:hint="cs" w:ascii="David" w:hAnsi="David" w:cs="David"/>
          <w:sz w:val="24"/>
          <w:szCs w:val="24"/>
          <w:rtl/>
        </w:rPr>
        <w:t xml:space="preserve"> 1</w:t>
      </w:r>
      <w:r>
        <w:rPr>
          <w:rFonts w:hint="cs" w:ascii="David" w:hAnsi="David" w:cs="David"/>
          <w:sz w:val="24"/>
          <w:szCs w:val="24"/>
          <w:rtl/>
        </w:rPr>
        <w:t xml:space="preserve"> מודה למעשה, כי לה ולמשיבה 2 יש את אותם בעלי מניות. בנסיבות אלה קיימת בין המשיבות זיקה שאינה ניתנת להכחשה. כבר נפסק כי גם החזקת מניות בשרשור (כמו במקרה דנן) אינה שוללת שימוש בהוראות תקנה 482(א) וכי זהות אינטרסים כלכליים, מבססת קשר אינטנסיבי בדרגה גבוהה. במקרה זה, המשיבה 1 והמשיבה 2 היו צד לעסקאות נשוא התובענה, הייתה זהות אינטרסים כלכליים וסביר להניח כי עדיין קיימת זהות שכזו, בפרט </w:t>
      </w:r>
      <w:r w:rsidR="00EE50AA">
        <w:rPr>
          <w:rFonts w:hint="cs" w:ascii="David" w:hAnsi="David" w:cs="David"/>
          <w:sz w:val="24"/>
          <w:szCs w:val="24"/>
          <w:rtl/>
        </w:rPr>
        <w:t>כ</w:t>
      </w:r>
      <w:r>
        <w:rPr>
          <w:rFonts w:hint="cs" w:ascii="David" w:hAnsi="David" w:cs="David"/>
          <w:sz w:val="24"/>
          <w:szCs w:val="24"/>
          <w:rtl/>
        </w:rPr>
        <w:t xml:space="preserve">שלא מוכחש קשר עסקי שקיים בין השתיים. לטענת המבקשת, אין בתשובת המשיבה טענה לפיה בין שתי החברות אין קשר עסקי כלשהו. המשיבה 1 טוענת, כי היא אינה מורשה לניהול עסקי המשיבה 2 ואינה מנהלת את עסקיה, אך לא מציינת, כי אין קשר עסקי. כשם שהמשיבה </w:t>
      </w:r>
      <w:r w:rsidR="00EE50AA">
        <w:rPr>
          <w:rFonts w:hint="cs" w:ascii="David" w:hAnsi="David" w:cs="David"/>
          <w:sz w:val="24"/>
          <w:szCs w:val="24"/>
          <w:rtl/>
        </w:rPr>
        <w:t xml:space="preserve">1 </w:t>
      </w:r>
      <w:r>
        <w:rPr>
          <w:rFonts w:hint="cs" w:ascii="David" w:hAnsi="David" w:cs="David"/>
          <w:sz w:val="24"/>
          <w:szCs w:val="24"/>
          <w:rtl/>
        </w:rPr>
        <w:t xml:space="preserve">הייתה קשורה למשיבה 2 בכל הקשור לכריתת ההסכם, כך היא עודנה קשורה גם היום (ולא הצביעה על שינוי ביחסיה עם המשיבה 2). </w:t>
      </w:r>
    </w:p>
    <w:p w:rsidR="00BE628F" w:rsidP="00BE628F" w:rsidRDefault="00BE628F">
      <w:pPr>
        <w:spacing w:line="360" w:lineRule="auto"/>
        <w:jc w:val="both"/>
        <w:rPr>
          <w:rFonts w:ascii="David" w:hAnsi="David"/>
        </w:rPr>
      </w:pPr>
    </w:p>
    <w:p w:rsidR="00BE628F" w:rsidP="00EE50AA" w:rsidRDefault="00BE628F">
      <w:pPr>
        <w:pStyle w:val="ad"/>
        <w:numPr>
          <w:ilvl w:val="0"/>
          <w:numId w:val="3"/>
        </w:numPr>
        <w:bidi/>
        <w:spacing w:after="0" w:line="360" w:lineRule="auto"/>
        <w:ind w:left="571" w:hanging="567"/>
        <w:jc w:val="both"/>
        <w:rPr>
          <w:rFonts w:ascii="David" w:hAnsi="David" w:cs="David"/>
          <w:sz w:val="24"/>
          <w:szCs w:val="24"/>
        </w:rPr>
      </w:pPr>
      <w:r>
        <w:rPr>
          <w:rFonts w:hint="cs" w:ascii="David" w:hAnsi="David" w:cs="David"/>
          <w:sz w:val="24"/>
          <w:szCs w:val="24"/>
          <w:rtl/>
        </w:rPr>
        <w:t>יתר על כן, בכתב ההגנה של המשיבה 1, חרף הכחשתה את הקשר בין המשיבות, המשיבה 1 טוענת כי יש לקזז את סכום התביעה, מההלוואה שניתנה לאנגל משאבים על ידי "חברה הקשורה ל-</w:t>
      </w:r>
      <w:r>
        <w:rPr>
          <w:rFonts w:hint="cs" w:ascii="David" w:hAnsi="David" w:cs="David"/>
          <w:sz w:val="24"/>
          <w:szCs w:val="24"/>
        </w:rPr>
        <w:t>NW</w:t>
      </w:r>
      <w:r>
        <w:rPr>
          <w:rFonts w:hint="cs" w:cs="David"/>
          <w:sz w:val="24"/>
          <w:szCs w:val="24"/>
          <w:rtl/>
        </w:rPr>
        <w:t>"</w:t>
      </w:r>
      <w:r>
        <w:rPr>
          <w:rFonts w:hint="cs" w:ascii="David" w:hAnsi="David" w:cs="David"/>
          <w:sz w:val="24"/>
          <w:szCs w:val="24"/>
          <w:rtl/>
        </w:rPr>
        <w:t xml:space="preserve"> ולא הוחזרה. מסיבה שאינה ברורה המשיבה </w:t>
      </w:r>
      <w:r w:rsidR="00EE50AA">
        <w:rPr>
          <w:rFonts w:hint="cs" w:ascii="David" w:hAnsi="David" w:cs="David"/>
          <w:sz w:val="24"/>
          <w:szCs w:val="24"/>
          <w:rtl/>
        </w:rPr>
        <w:t xml:space="preserve">1 </w:t>
      </w:r>
      <w:r>
        <w:rPr>
          <w:rFonts w:hint="cs" w:ascii="David" w:hAnsi="David" w:cs="David"/>
          <w:sz w:val="24"/>
          <w:szCs w:val="24"/>
          <w:rtl/>
        </w:rPr>
        <w:t>אף עונה בשמה של המשיבה 2 לבקשתה החלופית של המבקשת לביצוע המצאה מחוץ לתחום. כל תשובתה של המשיבה 1 לרבות התייחסותה הספציפית לנספחים שצורפו לבקשה (תכת</w:t>
      </w:r>
      <w:r w:rsidR="002A3A25">
        <w:rPr>
          <w:rFonts w:hint="cs" w:ascii="David" w:hAnsi="David" w:cs="David"/>
          <w:sz w:val="24"/>
          <w:szCs w:val="24"/>
          <w:rtl/>
        </w:rPr>
        <w:t>ו</w:t>
      </w:r>
      <w:r>
        <w:rPr>
          <w:rFonts w:hint="cs" w:ascii="David" w:hAnsi="David" w:cs="David"/>
          <w:sz w:val="24"/>
          <w:szCs w:val="24"/>
          <w:rtl/>
        </w:rPr>
        <w:t xml:space="preserve">בת הדוא"ל עם מר </w:t>
      </w:r>
      <w:r w:rsidR="00EE50AA">
        <w:rPr>
          <w:rFonts w:hint="cs" w:ascii="David" w:hAnsi="David" w:cs="David"/>
          <w:sz w:val="24"/>
          <w:szCs w:val="24"/>
          <w:rtl/>
        </w:rPr>
        <w:t>צ</w:t>
      </w:r>
      <w:r>
        <w:rPr>
          <w:rFonts w:hint="cs" w:ascii="David" w:hAnsi="David" w:cs="David"/>
          <w:sz w:val="24"/>
          <w:szCs w:val="24"/>
          <w:rtl/>
        </w:rPr>
        <w:t>יפריס וכן עם מר איזמל), מיתממת ומתחמקת מהעיקר. אם אכן אין קשר בין המשיבות, מדוע מתנגדת המשיבה</w:t>
      </w:r>
      <w:r w:rsidR="00EE50AA">
        <w:rPr>
          <w:rFonts w:hint="cs" w:ascii="David" w:hAnsi="David" w:cs="David"/>
          <w:sz w:val="24"/>
          <w:szCs w:val="24"/>
          <w:rtl/>
        </w:rPr>
        <w:t xml:space="preserve"> 1</w:t>
      </w:r>
      <w:r>
        <w:rPr>
          <w:rFonts w:hint="cs" w:ascii="David" w:hAnsi="David" w:cs="David"/>
          <w:sz w:val="24"/>
          <w:szCs w:val="24"/>
          <w:rtl/>
        </w:rPr>
        <w:t xml:space="preserve"> כל כך לביצוע ההמצאה? אין בפיה טענה שאין באפשרותה לבצע המצאה למשיבה </w:t>
      </w:r>
      <w:r>
        <w:rPr>
          <w:rFonts w:hint="cs" w:ascii="David" w:hAnsi="David" w:cs="David"/>
          <w:sz w:val="24"/>
          <w:szCs w:val="24"/>
          <w:rtl/>
        </w:rPr>
        <w:lastRenderedPageBreak/>
        <w:t xml:space="preserve">2. אם כאמור באמת אין קשר בין המשיבות, מדוע לא תיידע המשיבה </w:t>
      </w:r>
      <w:r w:rsidR="00AC67D7">
        <w:rPr>
          <w:rFonts w:hint="cs" w:ascii="David" w:hAnsi="David" w:cs="David"/>
          <w:sz w:val="24"/>
          <w:szCs w:val="24"/>
          <w:rtl/>
        </w:rPr>
        <w:t xml:space="preserve">1 </w:t>
      </w:r>
      <w:r>
        <w:rPr>
          <w:rFonts w:hint="cs" w:ascii="David" w:hAnsi="David" w:cs="David"/>
          <w:sz w:val="24"/>
          <w:szCs w:val="24"/>
          <w:rtl/>
        </w:rPr>
        <w:t xml:space="preserve">את המשיבה 2 אודות הגשת ההליך? </w:t>
      </w:r>
    </w:p>
    <w:p w:rsidR="00BE628F" w:rsidP="00BE628F" w:rsidRDefault="00BE628F">
      <w:pPr>
        <w:spacing w:line="360" w:lineRule="auto"/>
        <w:jc w:val="both"/>
        <w:rPr>
          <w:rFonts w:ascii="David" w:hAnsi="David"/>
          <w:b/>
          <w:bCs/>
          <w:u w:val="single"/>
        </w:rPr>
      </w:pPr>
    </w:p>
    <w:p w:rsidR="00BE628F" w:rsidP="00BE628F" w:rsidRDefault="00BE628F">
      <w:pPr>
        <w:pStyle w:val="ad"/>
        <w:numPr>
          <w:ilvl w:val="0"/>
          <w:numId w:val="3"/>
        </w:numPr>
        <w:bidi/>
        <w:spacing w:after="0" w:line="360" w:lineRule="auto"/>
        <w:ind w:left="571" w:hanging="567"/>
        <w:jc w:val="both"/>
        <w:rPr>
          <w:rFonts w:ascii="David" w:hAnsi="David" w:cs="David"/>
          <w:sz w:val="24"/>
          <w:szCs w:val="24"/>
          <w:rtl/>
        </w:rPr>
      </w:pPr>
      <w:r>
        <w:rPr>
          <w:rFonts w:hint="cs" w:ascii="David" w:hAnsi="David" w:cs="David"/>
          <w:sz w:val="24"/>
          <w:szCs w:val="24"/>
          <w:rtl/>
        </w:rPr>
        <w:t xml:space="preserve">לבסוף אציין, למען הסדר הטוב, הבקשה והתשובה נתמכו כל אחת, בתצהיר היועץ המשפטי של החברה. התגובה לבקשה לא נתמכה בתצהיר. הצדדים לא ביקשו לחקור את המצהירים.   </w:t>
      </w:r>
    </w:p>
    <w:p w:rsidR="00BE628F" w:rsidP="00BE628F" w:rsidRDefault="00BE628F">
      <w:pPr>
        <w:spacing w:line="360" w:lineRule="auto"/>
        <w:jc w:val="both"/>
        <w:rPr>
          <w:rFonts w:ascii="David" w:hAnsi="David"/>
          <w:b/>
          <w:bCs/>
          <w:u w:val="single"/>
        </w:rPr>
      </w:pPr>
    </w:p>
    <w:p w:rsidR="00BE628F" w:rsidP="00BE628F" w:rsidRDefault="00BE628F">
      <w:pPr>
        <w:spacing w:line="360" w:lineRule="auto"/>
        <w:jc w:val="both"/>
        <w:rPr>
          <w:rFonts w:ascii="David" w:hAnsi="David"/>
          <w:b/>
          <w:bCs/>
          <w:u w:val="single"/>
          <w:rtl/>
        </w:rPr>
      </w:pPr>
      <w:r>
        <w:rPr>
          <w:rFonts w:hint="cs" w:ascii="David" w:hAnsi="David"/>
          <w:b/>
          <w:bCs/>
          <w:u w:val="single"/>
          <w:rtl/>
        </w:rPr>
        <w:t>דיון והכרעה</w:t>
      </w:r>
    </w:p>
    <w:p w:rsidR="00BE628F" w:rsidP="00CC2CED" w:rsidRDefault="00BE628F">
      <w:pPr>
        <w:pStyle w:val="ad"/>
        <w:numPr>
          <w:ilvl w:val="0"/>
          <w:numId w:val="3"/>
        </w:numPr>
        <w:bidi/>
        <w:spacing w:after="0" w:line="360" w:lineRule="auto"/>
        <w:ind w:left="571" w:hanging="567"/>
        <w:jc w:val="both"/>
        <w:rPr>
          <w:rFonts w:ascii="David" w:hAnsi="David" w:cs="David"/>
          <w:b/>
          <w:bCs/>
          <w:sz w:val="24"/>
          <w:szCs w:val="24"/>
          <w:rtl/>
        </w:rPr>
      </w:pPr>
      <w:r>
        <w:rPr>
          <w:rFonts w:hint="cs" w:ascii="David" w:hAnsi="David" w:cs="David"/>
          <w:sz w:val="24"/>
          <w:szCs w:val="24"/>
          <w:rtl/>
        </w:rPr>
        <w:t>לאחר עיון בבקשה על תגובותיה, אני דוחה את הבקשה לראות בהמצאה למשיבה 1 כהמצאה כדין לפי תקנה 482(א) למשיבה 2</w:t>
      </w:r>
      <w:r w:rsidR="00CC2CED">
        <w:rPr>
          <w:rFonts w:hint="cs" w:ascii="David" w:hAnsi="David" w:cs="David"/>
          <w:sz w:val="24"/>
          <w:szCs w:val="24"/>
          <w:rtl/>
        </w:rPr>
        <w:t>.</w:t>
      </w:r>
      <w:r>
        <w:rPr>
          <w:rFonts w:hint="cs" w:ascii="David" w:hAnsi="David" w:cs="David"/>
          <w:sz w:val="24"/>
          <w:szCs w:val="24"/>
          <w:rtl/>
        </w:rPr>
        <w:t xml:space="preserve"> </w:t>
      </w:r>
    </w:p>
    <w:p w:rsidR="00BE628F" w:rsidP="00BE628F" w:rsidRDefault="00BE628F">
      <w:pPr>
        <w:spacing w:line="360" w:lineRule="auto"/>
        <w:jc w:val="both"/>
        <w:rPr>
          <w:rFonts w:ascii="David" w:hAnsi="David"/>
          <w:b/>
          <w:bCs/>
        </w:rPr>
      </w:pPr>
    </w:p>
    <w:p w:rsidR="00BE628F" w:rsidP="00AC67D7" w:rsidRDefault="00505276">
      <w:pPr>
        <w:pStyle w:val="ad"/>
        <w:numPr>
          <w:ilvl w:val="0"/>
          <w:numId w:val="3"/>
        </w:numPr>
        <w:bidi/>
        <w:spacing w:after="0" w:line="360" w:lineRule="auto"/>
        <w:ind w:left="571" w:hanging="567"/>
        <w:jc w:val="both"/>
        <w:rPr>
          <w:rFonts w:ascii="David" w:hAnsi="David" w:cs="David"/>
          <w:b/>
          <w:bCs/>
          <w:sz w:val="24"/>
          <w:szCs w:val="24"/>
        </w:rPr>
      </w:pPr>
      <w:hyperlink w:history="1">
        <w:r w:rsidR="00BE628F">
          <w:rPr>
            <w:rFonts w:hint="cs" w:ascii="David" w:hAnsi="David" w:cs="David"/>
            <w:sz w:val="24"/>
            <w:szCs w:val="24"/>
            <w:rtl/>
          </w:rPr>
          <w:t>תקנה 482(א)</w:t>
        </w:r>
      </w:hyperlink>
      <w:r w:rsidR="00BE628F">
        <w:rPr>
          <w:rFonts w:hint="cs" w:ascii="David" w:hAnsi="David" w:cs="David"/>
          <w:sz w:val="24"/>
          <w:szCs w:val="24"/>
          <w:rtl/>
        </w:rPr>
        <w:t xml:space="preserve"> שעניינה "</w:t>
      </w:r>
      <w:r w:rsidR="00BE628F">
        <w:rPr>
          <w:rFonts w:hint="cs" w:ascii="David" w:hAnsi="David" w:cs="David"/>
          <w:b/>
          <w:bCs/>
          <w:sz w:val="24"/>
          <w:szCs w:val="24"/>
          <w:rtl/>
        </w:rPr>
        <w:t>המצאה למורשה בהנהלת עסקים</w:t>
      </w:r>
      <w:r w:rsidR="00BE628F">
        <w:rPr>
          <w:rFonts w:hint="cs" w:ascii="David" w:hAnsi="David" w:cs="David"/>
          <w:sz w:val="24"/>
          <w:szCs w:val="24"/>
          <w:rtl/>
        </w:rPr>
        <w:t>" קובעת:</w:t>
      </w:r>
    </w:p>
    <w:p w:rsidRPr="00AC67D7" w:rsidR="00BE628F" w:rsidP="00BE628F" w:rsidRDefault="00BE628F">
      <w:pPr>
        <w:pStyle w:val="Ruller4"/>
        <w:spacing w:line="240" w:lineRule="auto"/>
        <w:ind w:left="571" w:hanging="567"/>
        <w:rPr>
          <w:rFonts w:ascii="David" w:hAnsi="David" w:cs="David" w:eastAsiaTheme="minorHAnsi"/>
          <w:b/>
          <w:bCs/>
          <w:spacing w:val="0"/>
          <w:sz w:val="24"/>
          <w:szCs w:val="24"/>
          <w:rtl/>
        </w:rPr>
      </w:pPr>
    </w:p>
    <w:p w:rsidRPr="00360E96" w:rsidR="00BE628F" w:rsidP="00BE628F" w:rsidRDefault="00BE628F">
      <w:pPr>
        <w:pStyle w:val="Ruller5"/>
        <w:ind w:left="1138"/>
        <w:rPr>
          <w:rFonts w:ascii="David" w:hAnsi="David" w:cs="David" w:eastAsiaTheme="minorHAnsi"/>
          <w:b/>
          <w:bCs/>
          <w:spacing w:val="0"/>
          <w:sz w:val="24"/>
          <w:szCs w:val="24"/>
          <w:rtl/>
        </w:rPr>
      </w:pPr>
      <w:r>
        <w:rPr>
          <w:rFonts w:hint="cs" w:ascii="David" w:hAnsi="David" w:cs="David" w:eastAsiaTheme="minorHAnsi"/>
          <w:b/>
          <w:bCs/>
          <w:spacing w:val="0"/>
          <w:sz w:val="24"/>
          <w:szCs w:val="24"/>
          <w:rtl/>
        </w:rPr>
        <w:t xml:space="preserve">"482(א). </w:t>
      </w:r>
      <w:r w:rsidRPr="00360E96">
        <w:rPr>
          <w:rFonts w:hint="cs" w:ascii="David" w:hAnsi="David" w:cs="David" w:eastAsiaTheme="minorHAnsi"/>
          <w:b/>
          <w:bCs/>
          <w:spacing w:val="0"/>
          <w:sz w:val="24"/>
          <w:szCs w:val="24"/>
          <w:rtl/>
        </w:rPr>
        <w:t>היתה התובענה בענין עסק או עבודה נגד אדם שאינו גר באזור השיפוט של בית המשפט המוציא כתב בי-דין, די בהמצאת הכתב למנהל או למורשה, העוסק אותה שעה בעצמו מטעם האדם בהנהלת אותו עסק או אותה עבודה באותו אזור שיפוט"</w:t>
      </w:r>
      <w:r>
        <w:rPr>
          <w:rFonts w:hint="cs" w:ascii="David" w:hAnsi="David" w:cs="David" w:eastAsiaTheme="minorHAnsi"/>
          <w:b/>
          <w:bCs/>
          <w:spacing w:val="0"/>
          <w:sz w:val="24"/>
          <w:szCs w:val="24"/>
          <w:rtl/>
        </w:rPr>
        <w:t>.</w:t>
      </w:r>
    </w:p>
    <w:p w:rsidR="00BE628F" w:rsidP="00BE628F" w:rsidRDefault="00BE628F">
      <w:pPr>
        <w:pStyle w:val="ad"/>
        <w:bidi/>
        <w:spacing w:after="0" w:line="360" w:lineRule="auto"/>
        <w:ind w:left="571" w:hanging="567"/>
        <w:jc w:val="both"/>
        <w:rPr>
          <w:rFonts w:ascii="David" w:hAnsi="David" w:cs="David" w:eastAsiaTheme="minorHAnsi"/>
          <w:sz w:val="24"/>
          <w:szCs w:val="24"/>
          <w:rtl/>
        </w:rPr>
      </w:pPr>
    </w:p>
    <w:p w:rsidR="00360E96" w:rsidP="00615B09" w:rsidRDefault="00BE628F">
      <w:pPr>
        <w:pStyle w:val="ad"/>
        <w:numPr>
          <w:ilvl w:val="0"/>
          <w:numId w:val="3"/>
        </w:numPr>
        <w:bidi/>
        <w:spacing w:after="0" w:line="360" w:lineRule="auto"/>
        <w:ind w:left="571" w:hanging="567"/>
        <w:jc w:val="both"/>
        <w:rPr>
          <w:rFonts w:ascii="David" w:hAnsi="David" w:cs="David"/>
          <w:sz w:val="24"/>
          <w:szCs w:val="24"/>
        </w:rPr>
      </w:pPr>
      <w:r w:rsidRPr="00360E96">
        <w:rPr>
          <w:rFonts w:hint="cs" w:ascii="David" w:hAnsi="David" w:cs="David"/>
          <w:sz w:val="24"/>
          <w:szCs w:val="24"/>
          <w:rtl/>
        </w:rPr>
        <w:t>השאלה שיש לבחון היא האם מי שבוצעה לו המסירה הינו "</w:t>
      </w:r>
      <w:r w:rsidRPr="00360E96">
        <w:rPr>
          <w:rFonts w:hint="cs" w:ascii="David" w:hAnsi="David" w:cs="David"/>
          <w:b/>
          <w:bCs/>
          <w:sz w:val="24"/>
          <w:szCs w:val="24"/>
          <w:rtl/>
        </w:rPr>
        <w:t>מורשה, העוסק אותה שעה בעצמו מטעם האדם בהנהלת אותו עסק או אותה עבודה</w:t>
      </w:r>
      <w:r w:rsidRPr="00360E96">
        <w:rPr>
          <w:rFonts w:hint="cs" w:ascii="David" w:hAnsi="David" w:cs="David"/>
          <w:sz w:val="24"/>
          <w:szCs w:val="24"/>
          <w:rtl/>
        </w:rPr>
        <w:t xml:space="preserve">" כמשמעו לצורך התקנה. </w:t>
      </w:r>
      <w:r w:rsidRPr="00360E96">
        <w:rPr>
          <w:rFonts w:hint="cs" w:ascii="David" w:hAnsi="David" w:cs="David"/>
          <w:sz w:val="24"/>
          <w:szCs w:val="24"/>
          <w:rtl/>
        </w:rPr>
        <w:tab/>
      </w:r>
      <w:r w:rsidR="00360E96">
        <w:rPr>
          <w:rFonts w:ascii="David" w:hAnsi="David" w:cs="David"/>
          <w:sz w:val="24"/>
          <w:szCs w:val="24"/>
          <w:rtl/>
        </w:rPr>
        <w:br/>
      </w:r>
      <w:r w:rsidRPr="00360E96">
        <w:rPr>
          <w:rFonts w:hint="cs" w:ascii="David" w:hAnsi="David" w:cs="David"/>
          <w:sz w:val="24"/>
          <w:szCs w:val="24"/>
          <w:rtl/>
        </w:rPr>
        <w:t xml:space="preserve">המבחן הוא מבחן כפול: מבחן אינטנסיביות הקשר שבין המורשה לבין הנתבע, שהוא לפי הפסיקה, המבחן העיקרי; ומבחן ניהול אותו עסק. </w:t>
      </w:r>
      <w:r w:rsidRPr="00360E96">
        <w:rPr>
          <w:rFonts w:hint="cs" w:ascii="David" w:hAnsi="David" w:cs="David"/>
          <w:sz w:val="24"/>
          <w:szCs w:val="24"/>
          <w:rtl/>
        </w:rPr>
        <w:tab/>
      </w:r>
      <w:r w:rsidRPr="00360E96">
        <w:rPr>
          <w:rFonts w:hint="cs" w:ascii="David" w:hAnsi="David" w:cs="David"/>
          <w:sz w:val="24"/>
          <w:szCs w:val="24"/>
          <w:rtl/>
        </w:rPr>
        <w:br/>
      </w:r>
    </w:p>
    <w:p w:rsidRPr="00360E96" w:rsidR="00BE628F" w:rsidP="004975BE" w:rsidRDefault="00BE628F">
      <w:pPr>
        <w:pStyle w:val="ad"/>
        <w:numPr>
          <w:ilvl w:val="0"/>
          <w:numId w:val="3"/>
        </w:numPr>
        <w:bidi/>
        <w:spacing w:after="0" w:line="360" w:lineRule="auto"/>
        <w:ind w:left="571" w:hanging="567"/>
        <w:jc w:val="both"/>
        <w:rPr>
          <w:rFonts w:ascii="David" w:hAnsi="David" w:cs="David"/>
          <w:sz w:val="24"/>
          <w:szCs w:val="24"/>
        </w:rPr>
      </w:pPr>
      <w:r w:rsidRPr="00360E96">
        <w:rPr>
          <w:rFonts w:hint="cs" w:ascii="David" w:hAnsi="David" w:cs="David"/>
          <w:sz w:val="24"/>
          <w:szCs w:val="24"/>
          <w:rtl/>
        </w:rPr>
        <w:t xml:space="preserve">ברע"א 7804/17 </w:t>
      </w:r>
      <w:r w:rsidRPr="00360E96">
        <w:rPr>
          <w:rFonts w:hint="cs" w:ascii="David" w:hAnsi="David" w:cs="David"/>
          <w:b/>
          <w:bCs/>
          <w:sz w:val="24"/>
          <w:szCs w:val="24"/>
          <w:rtl/>
        </w:rPr>
        <w:t>כרמל</w:t>
      </w:r>
      <w:r w:rsidR="004975BE">
        <w:rPr>
          <w:rFonts w:hint="cs" w:ascii="David" w:hAnsi="David" w:cs="David"/>
          <w:b/>
          <w:bCs/>
          <w:sz w:val="24"/>
          <w:szCs w:val="24"/>
          <w:rtl/>
        </w:rPr>
        <w:t xml:space="preserve"> </w:t>
      </w:r>
      <w:r w:rsidRPr="00360E96">
        <w:rPr>
          <w:rFonts w:hint="cs" w:ascii="David" w:hAnsi="David" w:cs="David"/>
          <w:b/>
          <w:bCs/>
          <w:sz w:val="24"/>
          <w:szCs w:val="24"/>
          <w:rtl/>
        </w:rPr>
        <w:t xml:space="preserve">דיירקט בע"מ נ' </w:t>
      </w:r>
      <w:r w:rsidRPr="00360E96">
        <w:rPr>
          <w:rFonts w:hint="cs" w:ascii="David" w:hAnsi="David" w:cs="David"/>
          <w:b/>
          <w:bCs/>
          <w:sz w:val="24"/>
          <w:szCs w:val="24"/>
        </w:rPr>
        <w:t>R.H Peterson Co.</w:t>
      </w:r>
      <w:r w:rsidRPr="00360E96">
        <w:rPr>
          <w:rFonts w:hint="cs" w:cs="David"/>
          <w:sz w:val="24"/>
          <w:szCs w:val="24"/>
          <w:rtl/>
        </w:rPr>
        <w:t xml:space="preserve"> (ניתן ביום 28/12/17)</w:t>
      </w:r>
      <w:r w:rsidR="004975BE">
        <w:rPr>
          <w:rFonts w:hint="cs" w:cs="David"/>
          <w:sz w:val="24"/>
          <w:szCs w:val="24"/>
          <w:rtl/>
        </w:rPr>
        <w:t xml:space="preserve"> סוכמה ההלכה בקצרה, כדלקמן</w:t>
      </w:r>
      <w:r w:rsidRPr="00360E96">
        <w:rPr>
          <w:rFonts w:hint="cs" w:cs="David"/>
          <w:sz w:val="24"/>
          <w:szCs w:val="24"/>
          <w:rtl/>
        </w:rPr>
        <w:t xml:space="preserve">: </w:t>
      </w:r>
    </w:p>
    <w:p w:rsidR="00BE628F" w:rsidP="00BE628F" w:rsidRDefault="00BE628F">
      <w:pPr>
        <w:pStyle w:val="Ruller5"/>
        <w:ind w:left="1138"/>
        <w:rPr>
          <w:rFonts w:ascii="David" w:hAnsi="David" w:cs="David" w:eastAsiaTheme="minorHAnsi"/>
          <w:b/>
          <w:bCs/>
          <w:spacing w:val="0"/>
          <w:sz w:val="24"/>
          <w:szCs w:val="24"/>
          <w:rtl/>
        </w:rPr>
      </w:pPr>
      <w:r>
        <w:rPr>
          <w:rFonts w:hint="cs" w:ascii="David" w:hAnsi="David" w:cs="David" w:eastAsiaTheme="minorHAnsi"/>
          <w:b/>
          <w:bCs/>
          <w:spacing w:val="0"/>
          <w:sz w:val="24"/>
          <w:szCs w:val="24"/>
          <w:rtl/>
        </w:rPr>
        <w:t xml:space="preserve">"9.  [...] תקנה זו מאפשרת לתובע להמציא כתב תביעה לידי 'מורשה בהנהלת עסקים' של נתבע, אשר נמצא מחוץ לתחום השיפוט שבו מוגשת התביעה, ואף מחוץ לתחום השיפוט של מדינת ישראל; זאת, בתנאי ש'המורשה' מצוי בשעת ההמצאה בשטח ישראל. אם בוצעה המצאה כדין לפי תקנה זו, התובע אינו נדרש לבקש היתר המצאה מחוץ לתחום השיפוט לפי </w:t>
      </w:r>
      <w:hyperlink w:history="1">
        <w:r>
          <w:rPr>
            <w:rFonts w:hint="cs" w:ascii="David" w:hAnsi="David" w:cs="David" w:eastAsiaTheme="minorHAnsi"/>
            <w:b/>
            <w:bCs/>
            <w:spacing w:val="0"/>
            <w:sz w:val="24"/>
            <w:szCs w:val="24"/>
            <w:rtl/>
          </w:rPr>
          <w:t>תקנה 500</w:t>
        </w:r>
      </w:hyperlink>
      <w:r>
        <w:rPr>
          <w:rFonts w:hint="cs" w:ascii="David" w:hAnsi="David" w:cs="David" w:eastAsiaTheme="minorHAnsi"/>
          <w:b/>
          <w:bCs/>
          <w:spacing w:val="0"/>
          <w:sz w:val="24"/>
          <w:szCs w:val="24"/>
          <w:rtl/>
        </w:rPr>
        <w:t xml:space="preserve"> לתקנות [...]. </w:t>
      </w:r>
    </w:p>
    <w:p w:rsidR="00BE628F" w:rsidP="00BE628F" w:rsidRDefault="00BE628F">
      <w:pPr>
        <w:pStyle w:val="Ruller5"/>
        <w:ind w:left="1138"/>
        <w:rPr>
          <w:rFonts w:hint="cs" w:ascii="David" w:hAnsi="David" w:cs="David" w:eastAsiaTheme="minorHAnsi"/>
          <w:b/>
          <w:bCs/>
          <w:spacing w:val="0"/>
          <w:sz w:val="24"/>
          <w:szCs w:val="24"/>
          <w:rtl/>
        </w:rPr>
      </w:pPr>
    </w:p>
    <w:p w:rsidR="00BE628F" w:rsidP="00BE628F" w:rsidRDefault="00BE628F">
      <w:pPr>
        <w:pStyle w:val="Ruller5"/>
        <w:ind w:left="1138"/>
        <w:rPr>
          <w:rFonts w:ascii="David" w:hAnsi="David" w:cs="David" w:eastAsiaTheme="minorHAnsi"/>
          <w:b/>
          <w:bCs/>
          <w:spacing w:val="0"/>
          <w:sz w:val="24"/>
          <w:szCs w:val="24"/>
          <w:rtl/>
        </w:rPr>
      </w:pPr>
      <w:r>
        <w:rPr>
          <w:rFonts w:hint="cs" w:ascii="David" w:hAnsi="David" w:cs="David" w:eastAsiaTheme="minorHAnsi"/>
          <w:b/>
          <w:bCs/>
          <w:spacing w:val="0"/>
          <w:sz w:val="24"/>
          <w:szCs w:val="24"/>
          <w:rtl/>
        </w:rPr>
        <w:t xml:space="preserve">10. בפסיקה נקבעו כאמור שני מבחנים מצטברים לצורך הגדרת 'מורשה': על-פי המבחן הראשון - החשוב והעיקרי מבין השניים - 'מורשה' הוא 'מי שדרגת האינטנסיביות של הקשר שבינו לבין הנתבע הגיעה לרמה כזו, שמותר להניח, כעניין שבדין, שהוא יעביר לידיעתו של הנתבע את דבר ההליכים שהוגשו נגדו' [...]. אינטנסיביות זו, כך נקבע,  היא 'עניין של דרגה', לא ניתן לטעת בה מסמרות מראש ויש לבחון אותה מנקודת מבט נורמטיבית, כל עניין על-פי נסיבותיו [...]. </w:t>
      </w:r>
    </w:p>
    <w:p w:rsidR="00BE628F" w:rsidP="00BE628F" w:rsidRDefault="00BE628F">
      <w:pPr>
        <w:pStyle w:val="Ruller5"/>
        <w:ind w:left="1138"/>
        <w:rPr>
          <w:rFonts w:ascii="David" w:hAnsi="David" w:cs="David" w:eastAsiaTheme="minorHAnsi"/>
          <w:b/>
          <w:bCs/>
          <w:spacing w:val="0"/>
          <w:sz w:val="24"/>
          <w:szCs w:val="24"/>
          <w:rtl/>
        </w:rPr>
      </w:pPr>
    </w:p>
    <w:p w:rsidR="00BE628F" w:rsidP="00BE628F" w:rsidRDefault="00BE628F">
      <w:pPr>
        <w:pStyle w:val="Ruller5"/>
        <w:ind w:left="1138"/>
        <w:rPr>
          <w:rFonts w:ascii="David" w:hAnsi="David" w:cs="David" w:eastAsiaTheme="minorHAnsi"/>
          <w:b/>
          <w:bCs/>
          <w:spacing w:val="0"/>
          <w:sz w:val="24"/>
          <w:szCs w:val="24"/>
          <w:rtl/>
        </w:rPr>
      </w:pPr>
      <w:r>
        <w:rPr>
          <w:rFonts w:hint="cs" w:ascii="David" w:hAnsi="David" w:cs="David" w:eastAsiaTheme="minorHAnsi"/>
          <w:b/>
          <w:bCs/>
          <w:spacing w:val="0"/>
          <w:sz w:val="24"/>
          <w:szCs w:val="24"/>
          <w:rtl/>
        </w:rPr>
        <w:lastRenderedPageBreak/>
        <w:t xml:space="preserve">11. המבחן השני מכונה מבחן 'אותו העסק'. בשנת 2013 תוקן נוסח התקנה, כך שבמקום 'בהנהלת העסק או העבודה', נכתב 'בהנהלת אותו העסק או אותה העבודה' [...]. גם לאחר התיקון נותר מבחן זה משני בחשיבותו למבחן אינטנסיביות הקשר (ראו: רע"א 1607/16 </w:t>
      </w:r>
      <w:r>
        <w:rPr>
          <w:rFonts w:hint="cs" w:ascii="David" w:hAnsi="David" w:cs="David" w:eastAsiaTheme="minorHAnsi"/>
          <w:spacing w:val="0"/>
          <w:sz w:val="24"/>
          <w:szCs w:val="24"/>
        </w:rPr>
        <w:t>Amazon.Com.Inc</w:t>
      </w:r>
      <w:r>
        <w:rPr>
          <w:rFonts w:hint="cs" w:ascii="David" w:hAnsi="David" w:cs="David" w:eastAsiaTheme="minorHAnsi"/>
          <w:spacing w:val="0"/>
          <w:sz w:val="24"/>
          <w:szCs w:val="24"/>
          <w:rtl/>
        </w:rPr>
        <w:t xml:space="preserve"> נ' פריימר ים המלח מעבדות קוסמטיקה בע"מ,</w:t>
      </w:r>
      <w:r>
        <w:rPr>
          <w:rFonts w:hint="cs" w:ascii="David" w:hAnsi="David" w:cs="David" w:eastAsiaTheme="minorHAnsi"/>
          <w:b/>
          <w:bCs/>
          <w:spacing w:val="0"/>
          <w:sz w:val="24"/>
          <w:szCs w:val="24"/>
          <w:rtl/>
        </w:rPr>
        <w:t xml:space="preserve"> פסקה 17-18 (10.4.2016).</w:t>
      </w:r>
    </w:p>
    <w:p w:rsidR="00BE628F" w:rsidP="00BE628F" w:rsidRDefault="00BE628F">
      <w:pPr>
        <w:pStyle w:val="Ruller4"/>
        <w:ind w:left="571" w:hanging="567"/>
        <w:rPr>
          <w:rFonts w:ascii="David" w:hAnsi="David" w:cs="David" w:eastAsiaTheme="minorHAnsi"/>
          <w:spacing w:val="0"/>
          <w:sz w:val="24"/>
          <w:szCs w:val="24"/>
          <w:rtl/>
        </w:rPr>
      </w:pPr>
    </w:p>
    <w:p w:rsidR="00BE628F" w:rsidP="00AC67D7" w:rsidRDefault="00BE628F">
      <w:pPr>
        <w:spacing w:line="360" w:lineRule="auto"/>
        <w:ind w:left="571"/>
        <w:jc w:val="both"/>
        <w:rPr>
          <w:rFonts w:ascii="David" w:hAnsi="David" w:eastAsiaTheme="minorHAnsi"/>
          <w:rtl/>
        </w:rPr>
      </w:pPr>
      <w:r>
        <w:rPr>
          <w:rFonts w:hint="cs" w:ascii="David" w:hAnsi="David"/>
          <w:rtl/>
        </w:rPr>
        <w:t xml:space="preserve">כפי שציין כב' הנשיא גרוניס ברע"א 8957/09 </w:t>
      </w:r>
      <w:r>
        <w:rPr>
          <w:rFonts w:hint="cs" w:ascii="David" w:hAnsi="David"/>
          <w:b/>
          <w:bCs/>
          <w:rtl/>
        </w:rPr>
        <w:t>אוזן נ' קיובי</w:t>
      </w:r>
      <w:r>
        <w:rPr>
          <w:rFonts w:hint="cs" w:ascii="David" w:hAnsi="David"/>
          <w:rtl/>
        </w:rPr>
        <w:t xml:space="preserve"> (8/3/2011): "</w:t>
      </w:r>
      <w:r>
        <w:rPr>
          <w:rFonts w:hint="cs" w:ascii="David" w:hAnsi="David"/>
          <w:b/>
          <w:bCs/>
          <w:rtl/>
        </w:rPr>
        <w:t>הדרישה הנוספת בעניין עסק בישראל הינה דרישה משנית, במיוחד לאור העובדה שאין היא קשורה ישירות לסוגיה של העברתו של המידע הרלוונטי לנתבע</w:t>
      </w:r>
      <w:r>
        <w:rPr>
          <w:rFonts w:hint="cs" w:ascii="David" w:hAnsi="David"/>
          <w:rtl/>
        </w:rPr>
        <w:t>.".</w:t>
      </w:r>
      <w:r>
        <w:rPr>
          <w:rFonts w:hint="cs" w:ascii="David" w:hAnsi="David"/>
          <w:rtl/>
        </w:rPr>
        <w:tab/>
      </w:r>
      <w:r>
        <w:rPr>
          <w:rFonts w:hint="cs" w:ascii="David" w:hAnsi="David"/>
          <w:rtl/>
        </w:rPr>
        <w:br/>
      </w:r>
    </w:p>
    <w:p w:rsidR="00BE628F" w:rsidP="00BE628F" w:rsidRDefault="00BE628F">
      <w:pPr>
        <w:pStyle w:val="ad"/>
        <w:numPr>
          <w:ilvl w:val="0"/>
          <w:numId w:val="3"/>
        </w:numPr>
        <w:bidi/>
        <w:spacing w:after="0" w:line="360" w:lineRule="auto"/>
        <w:ind w:left="571" w:hanging="567"/>
        <w:jc w:val="both"/>
        <w:rPr>
          <w:rFonts w:ascii="David" w:hAnsi="David" w:cs="David"/>
          <w:sz w:val="24"/>
          <w:szCs w:val="24"/>
        </w:rPr>
      </w:pPr>
      <w:r>
        <w:rPr>
          <w:rFonts w:hint="cs" w:ascii="David" w:hAnsi="David" w:cs="David"/>
          <w:sz w:val="24"/>
          <w:szCs w:val="24"/>
          <w:rtl/>
        </w:rPr>
        <w:t xml:space="preserve">עוד ראוי להדגיש, כי המצאה למורשה של הנתבע בישראל מייתרת את הצורך לבצע המצאה מחוץ לתחום השיפוט לפי תקנה 500 ומקנה לבית המשפט סמכות שיפוט כלפי הנתבע. במובן זה, תכלית ההליך כפולה. כפי שציין כב' הש' ענבר בת"צ (ת"א) 1634-05-11 </w:t>
      </w:r>
      <w:r>
        <w:rPr>
          <w:rFonts w:hint="cs" w:ascii="David" w:hAnsi="David" w:cs="David"/>
          <w:b/>
          <w:bCs/>
          <w:sz w:val="24"/>
          <w:szCs w:val="24"/>
          <w:rtl/>
        </w:rPr>
        <w:t>פינצ'בסקי נ' ישפאר מוצרי צריכה בע"מ</w:t>
      </w:r>
      <w:r>
        <w:rPr>
          <w:rFonts w:hint="cs" w:ascii="David" w:hAnsi="David" w:cs="David"/>
          <w:sz w:val="24"/>
          <w:szCs w:val="24"/>
          <w:rtl/>
        </w:rPr>
        <w:t xml:space="preserve"> (4/4/13):</w:t>
      </w:r>
    </w:p>
    <w:p w:rsidR="00BE628F" w:rsidP="00BE628F" w:rsidRDefault="00BE628F">
      <w:pPr>
        <w:ind w:left="1138" w:right="1418"/>
        <w:jc w:val="both"/>
        <w:rPr>
          <w:rFonts w:ascii="David" w:hAnsi="David"/>
        </w:rPr>
      </w:pPr>
      <w:r>
        <w:rPr>
          <w:rFonts w:hint="cs" w:ascii="David" w:hAnsi="David"/>
          <w:rtl/>
        </w:rPr>
        <w:t>"</w:t>
      </w:r>
      <w:r>
        <w:rPr>
          <w:rFonts w:hint="cs" w:ascii="David" w:hAnsi="David"/>
          <w:b/>
          <w:bCs/>
          <w:rtl/>
        </w:rPr>
        <w:t>מבחן אינטנסיביות הקשר שבין המורשה לבין הנתבע עולה בקנה אחד עם מטרות ההמצאה: ליידע את הנתבע בדבר ההליך המשפטי שהוגש נגדו ותוכנו,</w:t>
      </w:r>
      <w:r w:rsidR="00AC67D7">
        <w:rPr>
          <w:rFonts w:hint="cs" w:ascii="David" w:hAnsi="David"/>
          <w:b/>
          <w:bCs/>
          <w:rtl/>
        </w:rPr>
        <w:t xml:space="preserve"> </w:t>
      </w:r>
      <w:r>
        <w:rPr>
          <w:rFonts w:hint="cs" w:ascii="David" w:hAnsi="David"/>
          <w:b/>
          <w:bCs/>
          <w:rtl/>
        </w:rPr>
        <w:t>מחד גיסא, ולהקנות סמכות שיפוט לבית המשפט שלפניו מתנהל ההליך ביחס לאותו נתבע, מאידך גיסא. הרציונאל העומד ביסוד תקנה 482(א) הוא, כי ניתן להמציא כתב בי-דין ליד מי שאינו בעל הדין בעצמו על יסוד ההנחה כי הלה יידע את הנתבע בדבר הגשת ההליך המשפטי נגדו ועל תוכנו ... רציונאל נוסף טמון בהנחה, שמי שבחר לפעול בישראל או לנהל בה עסקים נטל על עצמו סיכון צפוי של התדיינות בבית משפט ישראלי ... שתי הנחות אלו יכולות להיות נכונות רק כאשר הקשר שבין המורשה והנתבע הוא אינטנסיבי דיון בהתחשב  במכלול נסיבות העניין</w:t>
      </w:r>
      <w:r>
        <w:rPr>
          <w:rFonts w:hint="cs" w:ascii="David" w:hAnsi="David"/>
          <w:rtl/>
        </w:rPr>
        <w:t>".</w:t>
      </w:r>
    </w:p>
    <w:p w:rsidR="00BE628F" w:rsidP="00BE628F" w:rsidRDefault="00BE628F">
      <w:pPr>
        <w:spacing w:line="360" w:lineRule="auto"/>
        <w:jc w:val="both"/>
        <w:rPr>
          <w:rFonts w:ascii="David" w:hAnsi="David"/>
        </w:rPr>
      </w:pPr>
    </w:p>
    <w:p w:rsidR="00BE628F" w:rsidP="00BE628F" w:rsidRDefault="00BE628F">
      <w:pPr>
        <w:pStyle w:val="ad"/>
        <w:numPr>
          <w:ilvl w:val="0"/>
          <w:numId w:val="3"/>
        </w:numPr>
        <w:bidi/>
        <w:spacing w:after="0" w:line="360" w:lineRule="auto"/>
        <w:ind w:left="571" w:hanging="567"/>
        <w:jc w:val="both"/>
        <w:rPr>
          <w:rFonts w:ascii="David" w:hAnsi="David" w:cs="David"/>
          <w:b/>
          <w:bCs/>
          <w:sz w:val="24"/>
          <w:szCs w:val="24"/>
        </w:rPr>
      </w:pPr>
      <w:r>
        <w:rPr>
          <w:rFonts w:hint="cs" w:ascii="David" w:hAnsi="David" w:cs="David"/>
          <w:sz w:val="24"/>
          <w:szCs w:val="24"/>
          <w:rtl/>
        </w:rPr>
        <w:t xml:space="preserve">הנטל להוכיח כי התקיימו יסודות התקנה ובכלל זה, קיומו של "מורשה" כמשמעו שם, מוטל על הטוען להמצאה לנתבע מכוח התקנה (ראו למשל ע"א (י-ם) 1295/00 </w:t>
      </w:r>
      <w:r>
        <w:rPr>
          <w:rFonts w:hint="cs" w:ascii="David" w:hAnsi="David" w:cs="David"/>
          <w:b/>
          <w:bCs/>
          <w:sz w:val="24"/>
          <w:szCs w:val="24"/>
          <w:rtl/>
        </w:rPr>
        <w:t xml:space="preserve">קופת חולים כללית נ' </w:t>
      </w:r>
      <w:r>
        <w:rPr>
          <w:rFonts w:hint="cs" w:ascii="David" w:hAnsi="David" w:cs="David"/>
          <w:b/>
          <w:bCs/>
          <w:sz w:val="24"/>
          <w:szCs w:val="24"/>
        </w:rPr>
        <w:t>Reynolds Tobacco Company</w:t>
      </w:r>
      <w:r>
        <w:rPr>
          <w:rFonts w:hint="cs" w:ascii="David" w:hAnsi="David" w:cs="David"/>
          <w:sz w:val="24"/>
          <w:szCs w:val="24"/>
          <w:rtl/>
        </w:rPr>
        <w:t xml:space="preserve"> (2011)). </w:t>
      </w:r>
    </w:p>
    <w:p w:rsidR="00BE628F" w:rsidP="00BE628F" w:rsidRDefault="00BE628F">
      <w:pPr>
        <w:spacing w:line="360" w:lineRule="auto"/>
        <w:jc w:val="both"/>
        <w:rPr>
          <w:rFonts w:hint="cs" w:ascii="David" w:hAnsi="David"/>
          <w:b/>
          <w:bCs/>
        </w:rPr>
      </w:pPr>
    </w:p>
    <w:p w:rsidRPr="005B6690" w:rsidR="00BE628F" w:rsidP="002A3A25" w:rsidRDefault="00BE628F">
      <w:pPr>
        <w:pStyle w:val="ad"/>
        <w:numPr>
          <w:ilvl w:val="0"/>
          <w:numId w:val="3"/>
        </w:numPr>
        <w:bidi/>
        <w:spacing w:after="0" w:line="360" w:lineRule="auto"/>
        <w:ind w:left="571" w:hanging="567"/>
        <w:jc w:val="both"/>
        <w:rPr>
          <w:rFonts w:ascii="David" w:hAnsi="David" w:cs="David"/>
          <w:b/>
          <w:bCs/>
          <w:sz w:val="24"/>
          <w:szCs w:val="24"/>
        </w:rPr>
      </w:pPr>
      <w:r>
        <w:rPr>
          <w:rFonts w:hint="cs" w:ascii="David" w:hAnsi="David" w:cs="David"/>
          <w:sz w:val="24"/>
          <w:szCs w:val="24"/>
          <w:rtl/>
        </w:rPr>
        <w:t>את מידת הקשר בין הנתבע המצוי מחוץ לתחום השיפוט לבין המורשה הנטען יש לבחון במועד ההמצאה למורשה. כך עולה מלשון התקנה ("</w:t>
      </w:r>
      <w:r>
        <w:rPr>
          <w:rFonts w:hint="cs" w:ascii="David" w:hAnsi="David" w:cs="David"/>
          <w:b/>
          <w:bCs/>
          <w:sz w:val="24"/>
          <w:szCs w:val="24"/>
          <w:rtl/>
        </w:rPr>
        <w:t xml:space="preserve">למורשה </w:t>
      </w:r>
      <w:r>
        <w:rPr>
          <w:rFonts w:hint="cs" w:ascii="David" w:hAnsi="David" w:cs="David"/>
          <w:b/>
          <w:bCs/>
          <w:sz w:val="24"/>
          <w:szCs w:val="24"/>
          <w:u w:val="single"/>
          <w:rtl/>
        </w:rPr>
        <w:t>העוסק אותה שעה</w:t>
      </w:r>
      <w:r>
        <w:rPr>
          <w:rFonts w:hint="cs" w:ascii="David" w:hAnsi="David" w:cs="David"/>
          <w:b/>
          <w:bCs/>
          <w:sz w:val="24"/>
          <w:szCs w:val="24"/>
          <w:rtl/>
        </w:rPr>
        <w:t>...</w:t>
      </w:r>
      <w:r>
        <w:rPr>
          <w:rFonts w:hint="cs" w:ascii="David" w:hAnsi="David" w:cs="David"/>
          <w:sz w:val="24"/>
          <w:szCs w:val="24"/>
          <w:rtl/>
        </w:rPr>
        <w:t xml:space="preserve">") כמו גם מהתכלית העומדת ביסוד הדברים. מורשה לצורך העניין הוא כאמור, </w:t>
      </w:r>
      <w:r>
        <w:rPr>
          <w:rFonts w:hint="cs" w:ascii="David" w:hAnsi="David" w:cs="David"/>
          <w:b/>
          <w:bCs/>
          <w:sz w:val="24"/>
          <w:szCs w:val="24"/>
          <w:rtl/>
        </w:rPr>
        <w:t>"מי שדרגת האינטנסיביות של הקשר שבינו לבין הנתבע הגיעה לרמה כזו, שמותר להניח, כעניין שבדין, שהוא יעביר לידיעתו של הנתבע את דבר ההליכים שהוגשו נגדו"</w:t>
      </w:r>
      <w:r>
        <w:rPr>
          <w:rFonts w:hint="cs" w:ascii="David" w:hAnsi="David" w:cs="David"/>
          <w:sz w:val="24"/>
          <w:szCs w:val="24"/>
          <w:rtl/>
        </w:rPr>
        <w:t xml:space="preserve">. שעה שמידת הסבירות שהמורשה הנטען יעביר לנתבע את דבר הגשת התביעה, נבחנת על יסוד מערכת היחסים בין הנתבע לאותו מורשה, ברי כי טיב הקשר ביניהם נבחן בנקודת הזמן שבה בוצעה ההמצאה </w:t>
      </w:r>
      <w:r>
        <w:rPr>
          <w:rFonts w:hint="cs" w:ascii="David" w:hAnsi="David" w:cs="David"/>
          <w:sz w:val="24"/>
          <w:szCs w:val="24"/>
          <w:rtl/>
        </w:rPr>
        <w:lastRenderedPageBreak/>
        <w:t>למורשה (ראו גם ע"א (ת"א) 2094/05</w:t>
      </w:r>
      <w:r>
        <w:rPr>
          <w:rFonts w:hint="cs" w:ascii="David" w:hAnsi="David" w:cs="David"/>
          <w:b/>
          <w:bCs/>
          <w:sz w:val="24"/>
          <w:szCs w:val="24"/>
          <w:rtl/>
        </w:rPr>
        <w:t xml:space="preserve"> </w:t>
      </w:r>
      <w:r>
        <w:rPr>
          <w:rFonts w:hint="cs" w:ascii="David" w:hAnsi="David" w:cs="David"/>
          <w:b/>
          <w:bCs/>
          <w:sz w:val="24"/>
          <w:szCs w:val="24"/>
        </w:rPr>
        <w:t>Philip Morris USA Inc.</w:t>
      </w:r>
      <w:r>
        <w:rPr>
          <w:rFonts w:hint="cs" w:ascii="David" w:hAnsi="David" w:cs="David"/>
          <w:b/>
          <w:bCs/>
          <w:sz w:val="24"/>
          <w:szCs w:val="24"/>
          <w:rtl/>
        </w:rPr>
        <w:t xml:space="preserve"> נ' אל רואי יובל</w:t>
      </w:r>
      <w:r>
        <w:rPr>
          <w:rFonts w:hint="cs" w:ascii="David" w:hAnsi="David" w:cs="David"/>
          <w:sz w:val="24"/>
          <w:szCs w:val="24"/>
          <w:rtl/>
        </w:rPr>
        <w:t xml:space="preserve"> (23/11/2005), בעמ</w:t>
      </w:r>
      <w:r w:rsidR="002A3A25">
        <w:rPr>
          <w:rFonts w:hint="cs" w:ascii="David" w:hAnsi="David" w:cs="David"/>
          <w:sz w:val="24"/>
          <w:szCs w:val="24"/>
          <w:rtl/>
        </w:rPr>
        <w:t>'</w:t>
      </w:r>
      <w:r>
        <w:rPr>
          <w:rFonts w:hint="cs" w:ascii="David" w:hAnsi="David" w:cs="David"/>
          <w:sz w:val="24"/>
          <w:szCs w:val="24"/>
          <w:rtl/>
        </w:rPr>
        <w:t xml:space="preserve"> 6 לפסק הדין. יצוין כי בקשת רשות ערעור על פסק הדין נדחתה ברע"א 11822/05, כב' הש' רובינשטיין מיום 8/5/06, </w:t>
      </w:r>
      <w:r w:rsidRPr="005B6690">
        <w:rPr>
          <w:rFonts w:hint="cs" w:ascii="David" w:hAnsi="David" w:cs="David"/>
          <w:sz w:val="24"/>
          <w:szCs w:val="24"/>
          <w:rtl/>
        </w:rPr>
        <w:t>אך סוגיה זו לא עלתה שם).</w:t>
      </w:r>
    </w:p>
    <w:p w:rsidR="00BE628F" w:rsidP="00BE628F" w:rsidRDefault="00BE628F">
      <w:pPr>
        <w:pStyle w:val="10"/>
        <w:spacing w:line="360" w:lineRule="auto"/>
        <w:ind w:left="571" w:hanging="567"/>
        <w:jc w:val="both"/>
        <w:rPr>
          <w:rFonts w:ascii="David" w:hAnsi="David" w:eastAsiaTheme="minorHAnsi"/>
          <w:b/>
          <w:bCs/>
          <w:noProof w:val="0"/>
          <w:rtl/>
        </w:rPr>
      </w:pPr>
      <w:r>
        <w:rPr>
          <w:rFonts w:hint="cs" w:ascii="David" w:hAnsi="David" w:eastAsiaTheme="minorHAnsi"/>
          <w:b/>
          <w:bCs/>
          <w:noProof w:val="0"/>
          <w:rtl/>
        </w:rPr>
        <w:t xml:space="preserve"> </w:t>
      </w:r>
    </w:p>
    <w:p w:rsidR="00BE628F" w:rsidP="00BE628F" w:rsidRDefault="00BE628F">
      <w:pPr>
        <w:pStyle w:val="ad"/>
        <w:numPr>
          <w:ilvl w:val="0"/>
          <w:numId w:val="3"/>
        </w:numPr>
        <w:bidi/>
        <w:spacing w:after="0" w:line="360" w:lineRule="auto"/>
        <w:ind w:left="571" w:hanging="567"/>
        <w:jc w:val="both"/>
        <w:rPr>
          <w:rFonts w:ascii="David" w:hAnsi="David" w:cs="David" w:eastAsiaTheme="minorHAnsi"/>
          <w:sz w:val="24"/>
          <w:szCs w:val="24"/>
          <w:rtl/>
        </w:rPr>
      </w:pPr>
      <w:r>
        <w:rPr>
          <w:rFonts w:hint="cs" w:ascii="David" w:hAnsi="David" w:cs="David"/>
          <w:sz w:val="24"/>
          <w:szCs w:val="24"/>
          <w:rtl/>
        </w:rPr>
        <w:t xml:space="preserve">המבקשת לא עמדה בנטל המוטל עליה להוכיח כי המשיבה 1 היא "מורשה" של המשיבה 2 כמשמעות הדבר לצורך תקנה 482(א). </w:t>
      </w:r>
    </w:p>
    <w:p w:rsidR="00BE628F" w:rsidP="00BE628F" w:rsidRDefault="00BE628F">
      <w:pPr>
        <w:spacing w:line="360" w:lineRule="auto"/>
        <w:jc w:val="both"/>
        <w:rPr>
          <w:rFonts w:ascii="David" w:hAnsi="David"/>
        </w:rPr>
      </w:pPr>
    </w:p>
    <w:p w:rsidR="00BE628F" w:rsidP="00AC67D7" w:rsidRDefault="00BE628F">
      <w:pPr>
        <w:pStyle w:val="ad"/>
        <w:numPr>
          <w:ilvl w:val="0"/>
          <w:numId w:val="3"/>
        </w:numPr>
        <w:bidi/>
        <w:spacing w:after="0" w:line="360" w:lineRule="auto"/>
        <w:ind w:left="571" w:hanging="567"/>
        <w:jc w:val="both"/>
        <w:rPr>
          <w:rFonts w:ascii="David" w:hAnsi="David" w:cs="David"/>
          <w:sz w:val="24"/>
          <w:szCs w:val="24"/>
        </w:rPr>
      </w:pPr>
      <w:r>
        <w:rPr>
          <w:rFonts w:hint="cs" w:ascii="David" w:hAnsi="David" w:cs="David"/>
          <w:sz w:val="24"/>
          <w:szCs w:val="24"/>
          <w:rtl/>
        </w:rPr>
        <w:t xml:space="preserve">לא עלה בידי המבקשת להניח תשתית ראייתית </w:t>
      </w:r>
      <w:r w:rsidR="00AC67D7">
        <w:rPr>
          <w:rFonts w:hint="cs" w:ascii="David" w:hAnsi="David" w:cs="David"/>
          <w:sz w:val="24"/>
          <w:szCs w:val="24"/>
          <w:rtl/>
        </w:rPr>
        <w:t xml:space="preserve">כלשהי </w:t>
      </w:r>
      <w:r>
        <w:rPr>
          <w:rFonts w:hint="cs" w:ascii="David" w:hAnsi="David" w:cs="David"/>
          <w:sz w:val="24"/>
          <w:szCs w:val="24"/>
          <w:rtl/>
        </w:rPr>
        <w:t>להוכחת קיומו של "קשר אינטנסיבי" בין המשיבות בעת ביצוע ההמצאה. העובדה היחידה שיש בידה של המבקשת לציין באשר ליחסי המשיבות לעת הזו, היא שלשתי המשיבות אותם בעלי מניות "סופיים" (המשיבה 1 מציינת בסעיף 84 לתשובה, כי שתי החברות מוחזקות בעקיפין על ידי אותם בעלי מניות. המבקשת מציינת בסעיף 14 לתגובתה לתשובה, כי מדובר באותם בעלי מניות בשרשור). המבקשת נסמכת על התנהלות המשיבה 1 במועד ההתקשרות בהסכמים ומועד מתן ההלוואה לרבות המסמכים ותכתובת דוא"ל מתקופה זו, לפני כ- 10 שנים. לטענתה, החזקת מניות על ידי אותם בעלי מניות בשרשור, אינה שוללת שימוש בהוראות תקנה 482(א) וזהות האינטרסים הכלכליים, מבססת קשר אינטנסיבי בדרגה גבוהה. כפי שאז הייתה זהות אינטרסים בין המשיבות "סביר להניח כי עדיין קיימת זהות שכזו". עוד היא מבקשת להיבנות מכך שהמשיבה 1 לא מכחישה קיומו של כל קשר עסקי עם המשיבה 2 ואינה מספקת גרסה פוזיטיבית לטיב הקשר</w:t>
      </w:r>
      <w:r w:rsidR="00AC67D7">
        <w:rPr>
          <w:rFonts w:hint="cs" w:ascii="David" w:hAnsi="David" w:cs="David"/>
          <w:sz w:val="24"/>
          <w:szCs w:val="24"/>
          <w:rtl/>
        </w:rPr>
        <w:t xml:space="preserve"> ביניהן</w:t>
      </w:r>
      <w:r>
        <w:rPr>
          <w:rFonts w:hint="cs" w:ascii="David" w:hAnsi="David" w:cs="David"/>
          <w:sz w:val="24"/>
          <w:szCs w:val="24"/>
          <w:rtl/>
        </w:rPr>
        <w:t xml:space="preserve"> היום, אלא רק טענה שאינה מורשה לניהול עסקיה של המשיבה 2 ואינה מנהלת את עסקיה.</w:t>
      </w:r>
    </w:p>
    <w:p w:rsidR="00BE628F" w:rsidP="00BE628F" w:rsidRDefault="00BE628F">
      <w:pPr>
        <w:pStyle w:val="ad"/>
        <w:bidi/>
        <w:spacing w:after="0" w:line="360" w:lineRule="auto"/>
        <w:ind w:left="571" w:hanging="567"/>
        <w:jc w:val="both"/>
        <w:rPr>
          <w:rFonts w:ascii="David" w:hAnsi="David" w:cs="David"/>
          <w:sz w:val="24"/>
          <w:szCs w:val="24"/>
        </w:rPr>
      </w:pPr>
    </w:p>
    <w:p w:rsidR="00BE628F" w:rsidP="00AC67D7" w:rsidRDefault="00AC67D7">
      <w:pPr>
        <w:pStyle w:val="ad"/>
        <w:numPr>
          <w:ilvl w:val="0"/>
          <w:numId w:val="3"/>
        </w:numPr>
        <w:bidi/>
        <w:spacing w:before="240" w:after="0" w:line="360" w:lineRule="auto"/>
        <w:ind w:left="571" w:hanging="567"/>
        <w:jc w:val="both"/>
        <w:rPr>
          <w:rFonts w:ascii="David" w:hAnsi="David" w:cs="David"/>
          <w:sz w:val="24"/>
          <w:szCs w:val="24"/>
        </w:rPr>
      </w:pPr>
      <w:r>
        <w:rPr>
          <w:rFonts w:hint="cs" w:ascii="David" w:hAnsi="David" w:cs="David"/>
          <w:sz w:val="24"/>
          <w:szCs w:val="24"/>
          <w:rtl/>
        </w:rPr>
        <w:t>ז</w:t>
      </w:r>
      <w:r w:rsidR="00BE628F">
        <w:rPr>
          <w:rFonts w:hint="cs" w:ascii="David" w:hAnsi="David" w:cs="David"/>
          <w:sz w:val="24"/>
          <w:szCs w:val="24"/>
          <w:rtl/>
        </w:rPr>
        <w:t xml:space="preserve">הות בעלי המניות בשרשור או קשר תאגידי, אין די בה כדי להוכיח קשר אינטנסיבי כנדרש לצורך מסירה כדין למורשה לפי התקנה </w:t>
      </w:r>
      <w:r>
        <w:rPr>
          <w:rFonts w:hint="cs" w:ascii="David" w:hAnsi="David" w:cs="David"/>
          <w:sz w:val="24"/>
          <w:szCs w:val="24"/>
          <w:rtl/>
        </w:rPr>
        <w:t xml:space="preserve">(אמנם, </w:t>
      </w:r>
      <w:r w:rsidR="00BE628F">
        <w:rPr>
          <w:rFonts w:hint="cs" w:ascii="David" w:hAnsi="David" w:cs="David"/>
          <w:sz w:val="24"/>
          <w:szCs w:val="24"/>
          <w:rtl/>
        </w:rPr>
        <w:t>כלשון המבקשת בתגובה לתשובה "החזקת מניות על ידי אותם בעלי מניות בשרשור, אינה שוללת שימוש בהוראות תקנה 482(א)"</w:t>
      </w:r>
      <w:r>
        <w:rPr>
          <w:rFonts w:hint="cs" w:ascii="David" w:hAnsi="David" w:cs="David"/>
          <w:sz w:val="24"/>
          <w:szCs w:val="24"/>
          <w:rtl/>
        </w:rPr>
        <w:t xml:space="preserve"> אך אין בכך כדי לבסס את אינטנסיביות הקשר כנדרש</w:t>
      </w:r>
      <w:r w:rsidR="00BE628F">
        <w:rPr>
          <w:rFonts w:hint="cs" w:ascii="David" w:hAnsi="David" w:cs="David"/>
          <w:sz w:val="24"/>
          <w:szCs w:val="24"/>
          <w:rtl/>
        </w:rPr>
        <w:t xml:space="preserve">). אציין, כי טיבו של הקשר והמבנה התאגידי לפרטיו, לא הונח ע"י מי מהצדדים לפני בית המשפט. ממילא, כבר נפסק כי אין בעובדה שהחברות </w:t>
      </w:r>
      <w:r>
        <w:rPr>
          <w:rFonts w:hint="cs" w:ascii="David" w:hAnsi="David" w:cs="David"/>
          <w:sz w:val="24"/>
          <w:szCs w:val="24"/>
          <w:rtl/>
        </w:rPr>
        <w:t xml:space="preserve">הן </w:t>
      </w:r>
      <w:r w:rsidR="00BE628F">
        <w:rPr>
          <w:rFonts w:hint="cs" w:ascii="David" w:hAnsi="David" w:cs="David"/>
          <w:sz w:val="24"/>
          <w:szCs w:val="24"/>
          <w:rtl/>
        </w:rPr>
        <w:t xml:space="preserve">בעלות קשרים תאגידיים שונים ואף בזהות בעלי התפקידים בחברות, כדי להצביע בהכרח על קשר אינטנסיבי בין החברות; וכי על המבקש להמציא לפי התקנה למורשה בהנהלת עסקים, לפרוש תשתית עובדתית שמעידה על קשר אינטנסיבי בין החברות (ראו למשל: רע"א 2737/08 </w:t>
      </w:r>
      <w:r w:rsidR="00BE628F">
        <w:rPr>
          <w:rFonts w:hint="cs" w:ascii="David" w:hAnsi="David" w:cs="David"/>
          <w:b/>
          <w:bCs/>
          <w:sz w:val="24"/>
          <w:szCs w:val="24"/>
          <w:rtl/>
        </w:rPr>
        <w:t>ארבל נ'</w:t>
      </w:r>
      <w:r w:rsidR="00BE628F">
        <w:rPr>
          <w:rFonts w:hint="cs" w:ascii="David" w:hAnsi="David" w:cs="David"/>
          <w:b/>
          <w:bCs/>
          <w:sz w:val="24"/>
          <w:szCs w:val="24"/>
        </w:rPr>
        <w:t xml:space="preserve">TUI AG </w:t>
      </w:r>
      <w:r w:rsidR="00BE628F">
        <w:rPr>
          <w:rFonts w:hint="cs" w:ascii="David" w:hAnsi="David" w:cs="David"/>
          <w:sz w:val="24"/>
          <w:szCs w:val="24"/>
          <w:rtl/>
        </w:rPr>
        <w:t xml:space="preserve"> (29/1/09), כב' הש' דנציגר בס' 15;  ת"צ</w:t>
      </w:r>
      <w:r w:rsidR="00BE628F">
        <w:rPr>
          <w:rFonts w:hint="cs" w:ascii="David" w:hAnsi="David" w:cs="David"/>
          <w:sz w:val="24"/>
          <w:szCs w:val="24"/>
        </w:rPr>
        <w:t xml:space="preserve"> </w:t>
      </w:r>
      <w:r w:rsidR="00BE628F">
        <w:rPr>
          <w:rFonts w:hint="cs" w:ascii="David" w:hAnsi="David" w:cs="David"/>
          <w:sz w:val="24"/>
          <w:szCs w:val="24"/>
          <w:rtl/>
        </w:rPr>
        <w:t xml:space="preserve">(חי') 20448-02-13 </w:t>
      </w:r>
      <w:r w:rsidR="00BE628F">
        <w:rPr>
          <w:rFonts w:hint="cs" w:ascii="David" w:hAnsi="David" w:cs="David"/>
          <w:b/>
          <w:bCs/>
          <w:sz w:val="24"/>
          <w:szCs w:val="24"/>
          <w:rtl/>
        </w:rPr>
        <w:t xml:space="preserve">ארז נ' </w:t>
      </w:r>
      <w:r w:rsidR="00BE628F">
        <w:rPr>
          <w:rFonts w:hint="cs" w:ascii="David" w:hAnsi="David" w:cs="David"/>
          <w:b/>
          <w:bCs/>
          <w:sz w:val="24"/>
          <w:szCs w:val="24"/>
        </w:rPr>
        <w:t>PayPal Pte Ltd</w:t>
      </w:r>
      <w:r w:rsidR="00BE628F">
        <w:rPr>
          <w:rFonts w:hint="cs" w:ascii="David" w:hAnsi="David" w:cs="David"/>
          <w:sz w:val="24"/>
          <w:szCs w:val="24"/>
          <w:rtl/>
        </w:rPr>
        <w:t xml:space="preserve"> (10/7/14) בס' 22</w:t>
      </w:r>
      <w:r>
        <w:rPr>
          <w:rFonts w:hint="cs" w:ascii="David" w:hAnsi="David" w:cs="David"/>
          <w:sz w:val="24"/>
          <w:szCs w:val="24"/>
          <w:rtl/>
        </w:rPr>
        <w:t>;</w:t>
      </w:r>
      <w:r w:rsidR="00BE628F">
        <w:rPr>
          <w:rFonts w:hint="cs" w:ascii="David" w:hAnsi="David" w:cs="David"/>
          <w:sz w:val="24"/>
          <w:szCs w:val="24"/>
          <w:rtl/>
        </w:rPr>
        <w:t xml:space="preserve"> ת"א (ת"א) 32391-01-17 </w:t>
      </w:r>
      <w:r w:rsidR="00BE628F">
        <w:rPr>
          <w:rFonts w:hint="cs" w:ascii="David" w:hAnsi="David" w:cs="David"/>
          <w:b/>
          <w:bCs/>
          <w:sz w:val="24"/>
          <w:szCs w:val="24"/>
          <w:rtl/>
        </w:rPr>
        <w:t xml:space="preserve">אוטוטו דיזיין בע"מ נ' </w:t>
      </w:r>
      <w:r w:rsidR="00BE628F">
        <w:rPr>
          <w:rFonts w:hint="cs" w:ascii="David" w:hAnsi="David" w:cs="David"/>
          <w:b/>
          <w:bCs/>
          <w:sz w:val="24"/>
          <w:szCs w:val="24"/>
        </w:rPr>
        <w:t>Amazon.Com.Inc</w:t>
      </w:r>
      <w:r w:rsidR="00BE628F">
        <w:rPr>
          <w:rFonts w:hint="cs" w:ascii="David" w:hAnsi="David" w:cs="David"/>
          <w:sz w:val="24"/>
          <w:szCs w:val="24"/>
          <w:rtl/>
        </w:rPr>
        <w:t xml:space="preserve"> בס' 14; ת"צ (ת"א) 1746-04-16 </w:t>
      </w:r>
      <w:r w:rsidR="00BE628F">
        <w:rPr>
          <w:rFonts w:hint="cs" w:ascii="David" w:hAnsi="David" w:cs="David"/>
          <w:b/>
          <w:bCs/>
          <w:sz w:val="24"/>
          <w:szCs w:val="24"/>
          <w:rtl/>
        </w:rPr>
        <w:t>אורבנקרופ אינק נ'</w:t>
      </w:r>
      <w:r w:rsidR="00BE628F">
        <w:rPr>
          <w:rFonts w:hint="cs" w:ascii="David" w:hAnsi="David" w:cs="David"/>
          <w:b/>
          <w:bCs/>
          <w:sz w:val="24"/>
          <w:szCs w:val="24"/>
        </w:rPr>
        <w:t xml:space="preserve">New Hampshire </w:t>
      </w:r>
      <w:r w:rsidR="00BE628F">
        <w:rPr>
          <w:rFonts w:hint="cs" w:ascii="David" w:hAnsi="David" w:cs="David"/>
          <w:b/>
          <w:bCs/>
          <w:sz w:val="24"/>
          <w:szCs w:val="24"/>
        </w:rPr>
        <w:lastRenderedPageBreak/>
        <w:t xml:space="preserve">Company </w:t>
      </w:r>
      <w:r w:rsidR="00BE628F">
        <w:rPr>
          <w:rFonts w:hint="cs" w:ascii="David" w:hAnsi="David" w:cs="David"/>
          <w:b/>
          <w:bCs/>
          <w:sz w:val="24"/>
          <w:szCs w:val="24"/>
          <w:rtl/>
        </w:rPr>
        <w:t xml:space="preserve"> </w:t>
      </w:r>
      <w:r w:rsidR="00BE628F">
        <w:rPr>
          <w:rFonts w:hint="cs" w:ascii="David" w:hAnsi="David" w:cs="David"/>
          <w:sz w:val="24"/>
          <w:szCs w:val="24"/>
          <w:rtl/>
        </w:rPr>
        <w:t>(11/6/17)</w:t>
      </w:r>
      <w:r w:rsidR="005B6690">
        <w:rPr>
          <w:rFonts w:hint="cs" w:ascii="David" w:hAnsi="David" w:cs="David"/>
          <w:sz w:val="24"/>
          <w:szCs w:val="24"/>
          <w:rtl/>
        </w:rPr>
        <w:t>,</w:t>
      </w:r>
      <w:r w:rsidR="00BE628F">
        <w:rPr>
          <w:rFonts w:hint="cs" w:ascii="David" w:hAnsi="David" w:cs="David"/>
          <w:sz w:val="24"/>
          <w:szCs w:val="24"/>
          <w:rtl/>
        </w:rPr>
        <w:t xml:space="preserve"> בס' </w:t>
      </w:r>
      <w:r w:rsidR="005B6690">
        <w:rPr>
          <w:rFonts w:hint="cs" w:ascii="David" w:hAnsi="David" w:cs="David"/>
          <w:sz w:val="24"/>
          <w:szCs w:val="24"/>
          <w:rtl/>
        </w:rPr>
        <w:t>9</w:t>
      </w:r>
      <w:r w:rsidR="00BE628F">
        <w:rPr>
          <w:rFonts w:hint="cs" w:ascii="David" w:hAnsi="David" w:cs="David"/>
          <w:sz w:val="24"/>
          <w:szCs w:val="24"/>
          <w:rtl/>
        </w:rPr>
        <w:t>). כאמור, לשיטת המבקשת, יש ללמוד על זהות האינטרסים הכלכליים בין המשיבות מכך שלשיטתה, הייתה זהות כזו לפני 10 שנים. אני דוחה טענה זו. קיומו של קשר אינטנסיבי בין הנתבע למורשה בעת ההמצאה מפעיל חזקה שבדין, כי המורשה מסר לנתבע על דבר הגשת התביעה כנגדו. יהא זה מרחיק לכת להוסיף על כך הנחה עובדתית, שלפיה אם היה קשר אינטנסיבי בעבר, סביר להניח, כי הוא קיים גם לאחר עשר שנים; ואין לכך כל מקום בנסיבות הענ</w:t>
      </w:r>
      <w:r w:rsidR="004975BE">
        <w:rPr>
          <w:rFonts w:hint="cs" w:ascii="David" w:hAnsi="David" w:cs="David"/>
          <w:sz w:val="24"/>
          <w:szCs w:val="24"/>
          <w:rtl/>
        </w:rPr>
        <w:t>י</w:t>
      </w:r>
      <w:r w:rsidR="00BE628F">
        <w:rPr>
          <w:rFonts w:hint="cs" w:ascii="David" w:hAnsi="David" w:cs="David"/>
          <w:sz w:val="24"/>
          <w:szCs w:val="24"/>
          <w:rtl/>
        </w:rPr>
        <w:t xml:space="preserve">ין, בהעדר כל תשתית עובדתית לטענה. </w:t>
      </w:r>
    </w:p>
    <w:p w:rsidR="00BE628F" w:rsidP="00BE628F" w:rsidRDefault="00BE628F">
      <w:pPr>
        <w:spacing w:line="360" w:lineRule="auto"/>
        <w:jc w:val="both"/>
        <w:rPr>
          <w:rFonts w:ascii="David" w:hAnsi="David"/>
        </w:rPr>
      </w:pPr>
    </w:p>
    <w:p w:rsidR="00BE628F" w:rsidP="00AC67D7" w:rsidRDefault="00BE628F">
      <w:pPr>
        <w:pStyle w:val="ad"/>
        <w:numPr>
          <w:ilvl w:val="0"/>
          <w:numId w:val="3"/>
        </w:numPr>
        <w:bidi/>
        <w:spacing w:after="0" w:line="360" w:lineRule="auto"/>
        <w:ind w:left="571" w:hanging="567"/>
        <w:jc w:val="both"/>
        <w:rPr>
          <w:rFonts w:ascii="David" w:hAnsi="David" w:cs="David"/>
          <w:sz w:val="24"/>
          <w:szCs w:val="24"/>
        </w:rPr>
      </w:pPr>
      <w:r>
        <w:rPr>
          <w:rFonts w:hint="cs" w:ascii="David" w:hAnsi="David" w:cs="David"/>
          <w:sz w:val="24"/>
          <w:szCs w:val="24"/>
          <w:rtl/>
        </w:rPr>
        <w:t xml:space="preserve">כאמור, למעט זהות בעלי המניות בשרשור כאמור, כל יתר האינדיקציות מהן מבקשת המבקשת ללמוד על מהות הקשר בין החברות, מתייחסות לתקופה שלפני כ- 10 שנים לערך. בנסיבות אלה ונוכח קביעתי לעיל, התייתר הצורך להידרש לטענות הצדדים לגופן של האינדיקציות הנ"ל (כגון: מעמדו ותפקידו של מר ציפריס ומשמעות הדברים שכתב בדוא"ל). אף לו ניתן היה לקבוע, כי לעת ההתקשרות או העמדת ההלוואה התקיים בין המשיבות קשר אינטנסיבי כמשמעו בתקנה (ולא קבעתי שכך או כל קביעה אחרת בעניין טיב הקשר במועד האמור) - הרי שבכך לא די, בשים לב לפרק </w:t>
      </w:r>
      <w:r w:rsidR="00AC67D7">
        <w:rPr>
          <w:rFonts w:hint="cs" w:ascii="David" w:hAnsi="David" w:cs="David"/>
          <w:sz w:val="24"/>
          <w:szCs w:val="24"/>
          <w:rtl/>
        </w:rPr>
        <w:t>ה</w:t>
      </w:r>
      <w:r>
        <w:rPr>
          <w:rFonts w:hint="cs" w:ascii="David" w:hAnsi="David" w:cs="David"/>
          <w:sz w:val="24"/>
          <w:szCs w:val="24"/>
          <w:rtl/>
        </w:rPr>
        <w:t>זמן המשמעותי שחלף מאז. לא ניתן להסיק מכך, כי כיום קיים קשר במידה המאפשרת לקבוע שהמשיבה 1 תעביר לידיעתה של המשיבה 2 את דבר ההליכים שהוגשו נגדה. בהקשר זה אציין עוד כי חלו תהפוכות כמפורט גם בכל הקשור למבקשת (ראו סעיף 3 לעיל).</w:t>
      </w:r>
    </w:p>
    <w:p w:rsidR="00BE628F" w:rsidP="00BE628F" w:rsidRDefault="00BE628F">
      <w:pPr>
        <w:spacing w:line="360" w:lineRule="auto"/>
        <w:jc w:val="both"/>
        <w:rPr>
          <w:rFonts w:ascii="David" w:hAnsi="David"/>
        </w:rPr>
      </w:pPr>
      <w:r>
        <w:rPr>
          <w:rFonts w:hint="cs" w:ascii="David" w:hAnsi="David"/>
        </w:rPr>
        <w:t xml:space="preserve"> </w:t>
      </w:r>
    </w:p>
    <w:p w:rsidR="00BE628F" w:rsidP="00BE628F" w:rsidRDefault="00BE628F">
      <w:pPr>
        <w:pStyle w:val="ad"/>
        <w:numPr>
          <w:ilvl w:val="0"/>
          <w:numId w:val="3"/>
        </w:numPr>
        <w:bidi/>
        <w:spacing w:after="0" w:line="360" w:lineRule="auto"/>
        <w:ind w:left="571" w:hanging="567"/>
        <w:jc w:val="both"/>
        <w:rPr>
          <w:rFonts w:ascii="David" w:hAnsi="David" w:cs="David"/>
          <w:sz w:val="24"/>
          <w:szCs w:val="24"/>
        </w:rPr>
      </w:pPr>
      <w:r>
        <w:rPr>
          <w:rFonts w:hint="cs" w:ascii="David" w:hAnsi="David" w:cs="David"/>
          <w:sz w:val="24"/>
          <w:szCs w:val="24"/>
          <w:rtl/>
        </w:rPr>
        <w:t xml:space="preserve">נוכח האמור, התייתר גם הצורך לדון בקיומו של המבחן המשני בדבר ניהול "אותו העסק". יחד עם זאת, שעה שלא הוברר כלל טיב היחסים בין המשיבות, הדעת נותנת שגם קיומו  של תנאי זה נכון לעת ההמצאה לא הוכח (ואף במובנו המרחיב כפי שהיה מקובל טרם התיקון. לשאלה מהו השינוי שחל בעקבות התיקון בעניין זה, ככל שחל, ראו בין היתר, רע"א 1607/16 הנזכר לעיל). </w:t>
      </w:r>
    </w:p>
    <w:p w:rsidR="00BE628F" w:rsidP="00BE628F" w:rsidRDefault="00BE628F">
      <w:pPr>
        <w:spacing w:line="360" w:lineRule="auto"/>
        <w:jc w:val="both"/>
        <w:rPr>
          <w:rFonts w:ascii="David" w:hAnsi="David"/>
        </w:rPr>
      </w:pPr>
    </w:p>
    <w:p w:rsidR="00BE628F" w:rsidP="00AC67D7" w:rsidRDefault="00BE628F">
      <w:pPr>
        <w:pStyle w:val="ad"/>
        <w:numPr>
          <w:ilvl w:val="0"/>
          <w:numId w:val="3"/>
        </w:numPr>
        <w:bidi/>
        <w:spacing w:after="0" w:line="360" w:lineRule="auto"/>
        <w:ind w:left="571" w:hanging="567"/>
        <w:jc w:val="both"/>
        <w:rPr>
          <w:rFonts w:ascii="David" w:hAnsi="David" w:cs="David"/>
          <w:sz w:val="24"/>
          <w:szCs w:val="24"/>
        </w:rPr>
      </w:pPr>
      <w:r>
        <w:rPr>
          <w:rFonts w:hint="cs" w:ascii="David" w:hAnsi="David" w:cs="David"/>
          <w:sz w:val="24"/>
          <w:szCs w:val="24"/>
          <w:rtl/>
        </w:rPr>
        <w:t xml:space="preserve">לא מצאתי ממש ביתר טענות המבקשת והן נדחות (כגון הטענה שככל שנכונה טענת המשיבה 1 בדבר העדר קשר בין המשיבות, לא ברור מדוע אינה מוסרת לה שהוגשה כנגדה תביעה וכיוצ"ב).  למותר לציין, כי שעה שנטל ההוכחה הוא על </w:t>
      </w:r>
      <w:r w:rsidR="00AC67D7">
        <w:rPr>
          <w:rFonts w:hint="cs" w:ascii="David" w:hAnsi="David" w:cs="David"/>
          <w:sz w:val="24"/>
          <w:szCs w:val="24"/>
          <w:rtl/>
        </w:rPr>
        <w:t xml:space="preserve">בעל הדין </w:t>
      </w:r>
      <w:r>
        <w:rPr>
          <w:rFonts w:hint="cs" w:ascii="David" w:hAnsi="David" w:cs="David"/>
          <w:sz w:val="24"/>
          <w:szCs w:val="24"/>
          <w:rtl/>
        </w:rPr>
        <w:t xml:space="preserve">המבקש לעשות שימוש בתקנה 482(א) ומשלא הניחה </w:t>
      </w:r>
      <w:r w:rsidR="00AC67D7">
        <w:rPr>
          <w:rFonts w:hint="cs" w:ascii="David" w:hAnsi="David" w:cs="David"/>
          <w:sz w:val="24"/>
          <w:szCs w:val="24"/>
          <w:rtl/>
        </w:rPr>
        <w:t xml:space="preserve">המבקשת </w:t>
      </w:r>
      <w:r>
        <w:rPr>
          <w:rFonts w:hint="cs" w:ascii="David" w:hAnsi="David" w:cs="David"/>
          <w:sz w:val="24"/>
          <w:szCs w:val="24"/>
          <w:rtl/>
        </w:rPr>
        <w:t xml:space="preserve">תשתית עובדתית ראויה, אם בכלל, לבקשתה - לא ניתן לבסס את הטענה להמצאה למורשה בהנהלת עסקים על כך שהמשיבה 1 לא מיהרה לנדב מידע רב ומפורט ביחס לטיב יחסיה עם המשיבה 2. יש גם לזכור כי משיבה 1 נתבעת יחד עם </w:t>
      </w:r>
      <w:r w:rsidR="00AC67D7">
        <w:rPr>
          <w:rFonts w:hint="cs" w:ascii="David" w:hAnsi="David" w:cs="David"/>
          <w:sz w:val="24"/>
          <w:szCs w:val="24"/>
          <w:rtl/>
        </w:rPr>
        <w:t xml:space="preserve">משיבה </w:t>
      </w:r>
      <w:r>
        <w:rPr>
          <w:rFonts w:hint="cs" w:ascii="David" w:hAnsi="David" w:cs="David"/>
          <w:sz w:val="24"/>
          <w:szCs w:val="24"/>
          <w:rtl/>
        </w:rPr>
        <w:t xml:space="preserve">2 בתביעה זו. יתר על כן, כאמור, במסירה למורשה יש בנסיבות העניין גם כדי לרכוש סמכות שיפוט בינלאומית כלפי המשיבה 2, שהיא חברה זרה. דרך המלך להמצאת כתבי די דין לנתבע זר היא </w:t>
      </w:r>
      <w:r>
        <w:rPr>
          <w:rFonts w:hint="cs" w:ascii="David" w:hAnsi="David" w:cs="David"/>
          <w:sz w:val="24"/>
          <w:szCs w:val="24"/>
          <w:rtl/>
        </w:rPr>
        <w:lastRenderedPageBreak/>
        <w:t xml:space="preserve">באמצעות תקנה 500 ואילו שימוש בתקנה </w:t>
      </w:r>
      <w:r w:rsidR="002A3A25">
        <w:rPr>
          <w:rFonts w:hint="cs" w:ascii="David" w:hAnsi="David" w:cs="David"/>
          <w:sz w:val="24"/>
          <w:szCs w:val="24"/>
          <w:rtl/>
        </w:rPr>
        <w:t>482</w:t>
      </w:r>
      <w:r>
        <w:rPr>
          <w:rFonts w:hint="cs" w:ascii="David" w:hAnsi="David" w:cs="David"/>
          <w:sz w:val="24"/>
          <w:szCs w:val="24"/>
          <w:rtl/>
        </w:rPr>
        <w:t xml:space="preserve"> הוא חריג לכללי ההמצאה הרגילים (ראו רע"א 11822/05 וכן, ת"צ (חי') 20448-02-13, שנזכרו לעיל). בהתאם, יש להתייחס לכך בכובד הראש הראוי. על המבקשת להניח תשתית עובדתית מתאימה לקיומו של קשר אינטנסיבי כנדרש בין המורשה הנטען לבין הנתבע הזר. אין מקום להסיק מסקנות בדבר קיומו של קשר אינטנסיבי כנדרש מה"אין" שבטענות המורשה </w:t>
      </w:r>
      <w:r w:rsidR="00C95AD9">
        <w:rPr>
          <w:rFonts w:hint="cs" w:ascii="David" w:hAnsi="David" w:cs="David"/>
          <w:sz w:val="24"/>
          <w:szCs w:val="24"/>
          <w:rtl/>
        </w:rPr>
        <w:t xml:space="preserve">הנטען </w:t>
      </w:r>
      <w:r>
        <w:rPr>
          <w:rFonts w:hint="cs" w:ascii="David" w:hAnsi="David" w:cs="David"/>
          <w:sz w:val="24"/>
          <w:szCs w:val="24"/>
          <w:rtl/>
        </w:rPr>
        <w:t>ולקבוע, כי יש בריק זה כדי למלא את החסר בבקשת המבקשת. אם תתקבל טענת המבקשת בעניין זה, התוצאה (הבלתי רצויה) היא שלמעשה, יעבור הנטל לשלול קיומו של קשר אינטנסיבי אל כתפי המורשה הנטען, רק משום שהטענה שהינו מורשה הועלתה ע"י המבקשת; ואף שהמבקשת לא הציגה תשתית ראייתית לקיומו של קשר כאמור.</w:t>
      </w:r>
    </w:p>
    <w:p w:rsidR="00BE628F" w:rsidP="00BE628F" w:rsidRDefault="00BE628F">
      <w:pPr>
        <w:pStyle w:val="ad"/>
        <w:spacing w:after="0"/>
        <w:ind w:left="571" w:hanging="567"/>
        <w:rPr>
          <w:rFonts w:cs="David"/>
          <w:sz w:val="24"/>
          <w:szCs w:val="24"/>
        </w:rPr>
      </w:pPr>
    </w:p>
    <w:p w:rsidR="00BE628F" w:rsidP="004975BE" w:rsidRDefault="00BE628F">
      <w:pPr>
        <w:pStyle w:val="ad"/>
        <w:numPr>
          <w:ilvl w:val="0"/>
          <w:numId w:val="3"/>
        </w:numPr>
        <w:bidi/>
        <w:spacing w:after="0" w:line="360" w:lineRule="auto"/>
        <w:ind w:left="571" w:hanging="567"/>
        <w:jc w:val="both"/>
        <w:rPr>
          <w:rFonts w:cs="David"/>
          <w:b/>
          <w:bCs/>
          <w:sz w:val="24"/>
          <w:szCs w:val="24"/>
          <w:rtl/>
        </w:rPr>
      </w:pPr>
      <w:r>
        <w:rPr>
          <w:rFonts w:hint="cs" w:ascii="David" w:hAnsi="David" w:cs="David"/>
          <w:sz w:val="24"/>
          <w:szCs w:val="24"/>
          <w:rtl/>
        </w:rPr>
        <w:t xml:space="preserve">נוכח כל האמור, הבקשה לראות בהמצאה למשיבה 1 משום המצאה כדין למשיבה 2 באמצעות מורשה כאמור בתקנה </w:t>
      </w:r>
      <w:r w:rsidR="002A3A25">
        <w:rPr>
          <w:rFonts w:hint="cs" w:ascii="David" w:hAnsi="David" w:cs="David"/>
          <w:sz w:val="24"/>
          <w:szCs w:val="24"/>
          <w:rtl/>
        </w:rPr>
        <w:t>482</w:t>
      </w:r>
      <w:r>
        <w:rPr>
          <w:rFonts w:hint="cs" w:ascii="David" w:hAnsi="David" w:cs="David"/>
          <w:sz w:val="24"/>
          <w:szCs w:val="24"/>
          <w:rtl/>
        </w:rPr>
        <w:t xml:space="preserve">(א), נדחית. </w:t>
      </w:r>
      <w:r>
        <w:rPr>
          <w:rFonts w:hint="cs" w:ascii="David" w:hAnsi="David" w:cs="David"/>
          <w:sz w:val="24"/>
          <w:szCs w:val="24"/>
          <w:rtl/>
        </w:rPr>
        <w:tab/>
      </w:r>
      <w:r>
        <w:rPr>
          <w:rFonts w:hint="cs" w:ascii="David" w:hAnsi="David" w:cs="David"/>
          <w:sz w:val="24"/>
          <w:szCs w:val="24"/>
          <w:rtl/>
        </w:rPr>
        <w:br/>
        <w:t>המבקשת תישא בהוצאות המשיבה 1 בבקשה זו בסך של 7,500 ₪.</w:t>
      </w:r>
      <w:r>
        <w:rPr>
          <w:rFonts w:hint="cs" w:ascii="David" w:hAnsi="David" w:cs="David"/>
          <w:sz w:val="24"/>
          <w:szCs w:val="24"/>
          <w:rtl/>
        </w:rPr>
        <w:tab/>
      </w:r>
    </w:p>
    <w:p w:rsidR="00BE628F" w:rsidP="00BE628F" w:rsidRDefault="00BE628F">
      <w:pPr>
        <w:spacing w:line="360" w:lineRule="auto"/>
        <w:jc w:val="both"/>
        <w:rPr>
          <w:b/>
          <w:bCs/>
        </w:rPr>
      </w:pPr>
    </w:p>
    <w:p w:rsidR="00BE628F" w:rsidP="00CC2CED" w:rsidRDefault="00BE628F">
      <w:pPr>
        <w:pStyle w:val="ad"/>
        <w:numPr>
          <w:ilvl w:val="0"/>
          <w:numId w:val="3"/>
        </w:numPr>
        <w:bidi/>
        <w:spacing w:after="0" w:line="360" w:lineRule="auto"/>
        <w:ind w:left="571" w:hanging="567"/>
        <w:jc w:val="both"/>
        <w:rPr>
          <w:rFonts w:cs="David"/>
          <w:b/>
          <w:bCs/>
          <w:sz w:val="24"/>
          <w:szCs w:val="24"/>
        </w:rPr>
      </w:pPr>
      <w:r>
        <w:rPr>
          <w:rFonts w:hint="cs" w:ascii="David" w:hAnsi="David" w:cs="David"/>
          <w:sz w:val="24"/>
          <w:szCs w:val="24"/>
          <w:rtl/>
        </w:rPr>
        <w:t>יחד עם זאת, סבורני, כי התקיימו לכאורה התנאים למתן היתר המצאה מחוץ לתחום לפי העילות בתקנה 500 כמפורט בבקשה החלופית של המבקשת.</w:t>
      </w:r>
      <w:r>
        <w:rPr>
          <w:rFonts w:hint="cs" w:cs="David"/>
          <w:sz w:val="24"/>
          <w:szCs w:val="24"/>
          <w:rtl/>
        </w:rPr>
        <w:t xml:space="preserve"> בעניין זה תינתן החלטה נפרדת.</w:t>
      </w:r>
    </w:p>
    <w:p w:rsidR="00A008B1" w:rsidP="00BE628F" w:rsidRDefault="00A008B1">
      <w:pPr>
        <w:spacing w:line="360" w:lineRule="auto"/>
        <w:jc w:val="both"/>
        <w:rPr>
          <w:b/>
          <w:bCs/>
          <w:rtl/>
        </w:rPr>
      </w:pPr>
    </w:p>
    <w:p w:rsidR="00A008B1" w:rsidP="00BE628F" w:rsidRDefault="00A008B1">
      <w:pPr>
        <w:spacing w:line="360" w:lineRule="auto"/>
        <w:jc w:val="both"/>
        <w:rPr>
          <w:rtl/>
        </w:rPr>
      </w:pPr>
    </w:p>
    <w:p w:rsidRPr="00A008B1" w:rsidR="00BE628F" w:rsidP="00BE628F" w:rsidRDefault="00A008B1">
      <w:pPr>
        <w:spacing w:line="360" w:lineRule="auto"/>
        <w:jc w:val="both"/>
      </w:pPr>
      <w:r w:rsidRPr="00A008B1">
        <w:rPr>
          <w:rFonts w:hint="cs"/>
          <w:rtl/>
        </w:rPr>
        <w:t xml:space="preserve">ההחלטה </w:t>
      </w:r>
      <w:r>
        <w:rPr>
          <w:rFonts w:hint="cs"/>
          <w:rtl/>
        </w:rPr>
        <w:t>ניתנה בסמכותי כרשמת.</w:t>
      </w:r>
    </w:p>
    <w:p w:rsidR="00A008B1" w:rsidP="00BE628F" w:rsidRDefault="00A008B1">
      <w:pPr>
        <w:spacing w:line="360" w:lineRule="auto"/>
        <w:ind w:left="4"/>
        <w:jc w:val="both"/>
        <w:rPr>
          <w:u w:val="single"/>
          <w:rtl/>
        </w:rPr>
      </w:pPr>
    </w:p>
    <w:p w:rsidR="00BE628F" w:rsidP="00BE628F" w:rsidRDefault="00BE628F">
      <w:pPr>
        <w:spacing w:line="360" w:lineRule="auto"/>
        <w:ind w:left="4"/>
        <w:jc w:val="both"/>
        <w:rPr>
          <w:u w:val="single"/>
        </w:rPr>
      </w:pPr>
      <w:r>
        <w:rPr>
          <w:rFonts w:hint="cs"/>
          <w:u w:val="single"/>
          <w:rtl/>
        </w:rPr>
        <w:t>המזכירות תדוור לצדדים.</w:t>
      </w:r>
    </w:p>
    <w:p w:rsidR="00694556" w:rsidP="00BE628F"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hint="cs" w:ascii="Arial" w:hAnsi="Arial"/>
              <w:noProof w:val="0"/>
              <w:rtl/>
            </w:rPr>
            <w:t>כ"ד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hint="cs" w:ascii="Arial" w:hAnsi="Arial"/>
              <w:noProof w:val="0"/>
              <w:rtl/>
            </w:rPr>
            <w:t>09 אפריל 2018</w:t>
          </w:r>
        </w:sdtContent>
      </w:sdt>
      <w:r w:rsidR="00005C8B">
        <w:rPr>
          <w:rFonts w:ascii="Arial" w:hAnsi="Arial"/>
          <w:noProof w:val="0"/>
          <w:rtl/>
        </w:rPr>
        <w:t>, בהעדר הצדדים.</w:t>
      </w:r>
    </w:p>
    <w:p w:rsidR="00C43648" w:rsidP="00BD6531" w:rsidRDefault="00505276">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028700" cy="828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c8dcb2cb6f684623" cstate="print">
                            <a:extLst>
                              <a:ext uri="{28A0092B-C50C-407E-A947-70E740481C1C}"/>
                            </a:extLst>
                          </a:blip>
                          <a:stretch>
                            <a:fillRect/>
                          </a:stretch>
                        </pic:blipFill>
                        <pic:spPr>
                          <a:xfrm>
                            <a:off x="0" y="0"/>
                            <a:ext cx="1028700" cy="828675"/>
                          </a:xfrm>
                          <a:prstGeom prst="rect">
                            <a:avLst/>
                          </a:prstGeom>
                        </pic:spPr>
                      </pic:pic>
                    </a:graphicData>
                  </a:graphic>
                </wp:inline>
              </w:drawing>
            </w:r>
          </w:p>
        </w:sdtContent>
      </w:sdt>
    </w:p>
    <w:sectPr w:rsidR="00694556" w:rsidSect="00360E96">
      <w:headerReference w:type="default" r:id="rId10"/>
      <w:footerReference w:type="default" r:id="rId11"/>
      <w:pgSz w:w="11907" w:h="16840" w:code="9"/>
      <w:pgMar w:top="454" w:right="1701" w:bottom="1276"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altName w:val="Malgun Gothic Semilight"/>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TUR">
    <w:altName w:val="Arial"/>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BE628F">
      <w:rPr>
        <w:rStyle w:val="ab"/>
        <w:rFonts w:cs="Times New Roman"/>
        <w:sz w:val="22"/>
        <w:szCs w:val="22"/>
      </w:rPr>
      <w:fldChar w:fldCharType="begin"/>
    </w:r>
    <w:r w:rsidRPr="00BE628F" w:rsidR="00005C8B">
      <w:rPr>
        <w:rStyle w:val="ab"/>
        <w:rFonts w:cs="Times New Roman"/>
        <w:sz w:val="22"/>
        <w:szCs w:val="22"/>
      </w:rPr>
      <w:instrText xml:space="preserve"> PAGE </w:instrText>
    </w:r>
    <w:r w:rsidRPr="00BE628F">
      <w:rPr>
        <w:rStyle w:val="ab"/>
        <w:rFonts w:cs="Times New Roman"/>
        <w:sz w:val="22"/>
        <w:szCs w:val="22"/>
      </w:rPr>
      <w:fldChar w:fldCharType="separate"/>
    </w:r>
    <w:r w:rsidR="00505276">
      <w:rPr>
        <w:rStyle w:val="ab"/>
        <w:rFonts w:cs="Times New Roman"/>
        <w:sz w:val="22"/>
        <w:szCs w:val="22"/>
        <w:rtl/>
      </w:rPr>
      <w:t>11</w:t>
    </w:r>
    <w:r w:rsidRPr="00BE628F">
      <w:rPr>
        <w:rStyle w:val="ab"/>
        <w:rFonts w:cs="Times New Roman"/>
        <w:sz w:val="22"/>
        <w:szCs w:val="22"/>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505276">
      <w:rPr>
        <w:rStyle w:val="ab"/>
        <w:rtl/>
      </w:rPr>
      <w:t>11</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505276">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5D3BA177" wp14:editId="53AE422C">
          <wp:extent cx="374015" cy="469265"/>
          <wp:effectExtent l="0" t="0" r="6985" b="6985"/>
          <wp:docPr id="4"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B95A71">
      <w:trPr>
        <w:trHeight w:val="993" w:hRule="exact"/>
        <w:jc w:val="center"/>
      </w:trPr>
      <w:sdt>
        <w:sdtPr>
          <w:rPr>
            <w:rFonts w:ascii="Tahoma" w:hAnsi="Tahoma"/>
            <w:b/>
            <w:bCs/>
            <w:color w:val="000080"/>
            <w:sz w:val="32"/>
            <w:szCs w:val="32"/>
            <w:rtl/>
          </w:rPr>
          <w:alias w:val="1174"/>
          <w:tag w:val="1174"/>
          <w:id w:val="1372110951"/>
          <w:text w:multiLine="1"/>
        </w:sdtPr>
        <w:sdtEndPr/>
        <w:sdtContent>
          <w:tc>
            <w:tcPr>
              <w:tcW w:w="8721" w:type="dxa"/>
              <w:gridSpan w:val="2"/>
            </w:tcPr>
            <w:p w:rsidRPr="00FA4EAF" w:rsidR="00694556" w:rsidP="003230C7" w:rsidRDefault="003D1C8C">
              <w:pPr>
                <w:pStyle w:val="a3"/>
                <w:jc w:val="center"/>
                <w:rPr>
                  <w:rFonts w:ascii="Tahoma" w:hAnsi="Tahoma"/>
                  <w:noProof w:val="0"/>
                  <w:color w:val="000080"/>
                  <w:sz w:val="32"/>
                  <w:szCs w:val="32"/>
                  <w:rtl/>
                </w:rPr>
              </w:pPr>
              <w:r w:rsidRPr="00FA4EAF">
                <w:rPr>
                  <w:rFonts w:ascii="Tahoma" w:hAnsi="Tahoma"/>
                  <w:b/>
                  <w:bCs/>
                  <w:color w:val="000080"/>
                  <w:sz w:val="32"/>
                  <w:szCs w:val="32"/>
                  <w:rtl/>
                </w:rPr>
                <w:t>בית המשפט המחוזי בתל אביב - יפו</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Pr="00FA4EAF" w:rsidR="00694556">
      <w:trPr>
        <w:trHeight w:val="337"/>
        <w:jc w:val="center"/>
      </w:trPr>
      <w:tc>
        <w:tcPr>
          <w:tcW w:w="8721" w:type="dxa"/>
          <w:gridSpan w:val="2"/>
        </w:tcPr>
        <w:p w:rsidR="00360E96" w:rsidP="005B6690" w:rsidRDefault="00505276">
          <w:pPr>
            <w:rPr>
              <w:sz w:val="26"/>
              <w:szCs w:val="26"/>
              <w:rtl/>
            </w:rPr>
          </w:pPr>
          <w:sdt>
            <w:sdtPr>
              <w:rPr>
                <w:sz w:val="26"/>
                <w:szCs w:val="26"/>
                <w:rtl/>
              </w:rPr>
              <w:alias w:val="1170"/>
              <w:tag w:val="1170"/>
              <w:id w:val="-1974361550"/>
              <w:text w:multiLine="1"/>
            </w:sdtPr>
            <w:sdtEndPr/>
            <w:sdtContent>
              <w:r w:rsidR="00B95A71">
                <w:rPr>
                  <w:b/>
                  <w:bCs/>
                  <w:noProof w:val="0"/>
                  <w:sz w:val="26"/>
                  <w:szCs w:val="26"/>
                  <w:rtl/>
                </w:rPr>
                <w:t>ת"א</w:t>
              </w:r>
            </w:sdtContent>
          </w:sdt>
          <w:r w:rsidRPr="00FA4EAF" w:rsidR="00005C8B">
            <w:rPr>
              <w:b/>
              <w:bCs/>
              <w:noProof w:val="0"/>
              <w:sz w:val="26"/>
              <w:szCs w:val="26"/>
              <w:rtl/>
            </w:rPr>
            <w:t xml:space="preserve"> </w:t>
          </w:r>
          <w:sdt>
            <w:sdtPr>
              <w:rPr>
                <w:sz w:val="26"/>
                <w:szCs w:val="26"/>
                <w:rtl/>
              </w:rPr>
              <w:alias w:val="1171"/>
              <w:tag w:val="1171"/>
              <w:id w:val="-1354644322"/>
              <w:text w:multiLine="1"/>
            </w:sdtPr>
            <w:sdtEndPr/>
            <w:sdtContent>
              <w:r w:rsidR="00B95A71">
                <w:rPr>
                  <w:b/>
                  <w:bCs/>
                  <w:noProof w:val="0"/>
                  <w:sz w:val="26"/>
                  <w:szCs w:val="26"/>
                  <w:rtl/>
                </w:rPr>
                <w:t>29929-05-17</w:t>
              </w:r>
            </w:sdtContent>
          </w:sdt>
          <w:r w:rsidRPr="00FA4EAF" w:rsidR="00005C8B">
            <w:rPr>
              <w:b/>
              <w:bCs/>
              <w:noProof w:val="0"/>
              <w:sz w:val="26"/>
              <w:szCs w:val="26"/>
              <w:rtl/>
            </w:rPr>
            <w:t xml:space="preserve"> </w:t>
          </w:r>
          <w:sdt>
            <w:sdtPr>
              <w:rPr>
                <w:sz w:val="26"/>
                <w:szCs w:val="26"/>
                <w:rtl/>
              </w:rPr>
              <w:alias w:val="1172"/>
              <w:tag w:val="1172"/>
              <w:id w:val="1140924128"/>
              <w:text w:multiLine="1"/>
            </w:sdtPr>
            <w:sdtEndPr/>
            <w:sdtContent>
              <w:r w:rsidR="00B95A71">
                <w:rPr>
                  <w:b/>
                  <w:bCs/>
                  <w:noProof w:val="0"/>
                  <w:sz w:val="26"/>
                  <w:szCs w:val="26"/>
                  <w:rtl/>
                </w:rPr>
                <w:t>אזורים חברה להשקעות בפתוח ובבנ</w:t>
              </w:r>
              <w:r w:rsidR="00360E96">
                <w:rPr>
                  <w:rFonts w:hint="cs"/>
                  <w:b/>
                  <w:bCs/>
                  <w:noProof w:val="0"/>
                  <w:sz w:val="26"/>
                  <w:szCs w:val="26"/>
                  <w:rtl/>
                </w:rPr>
                <w:t>י</w:t>
              </w:r>
              <w:r w:rsidR="00B95A71">
                <w:rPr>
                  <w:b/>
                  <w:bCs/>
                  <w:noProof w:val="0"/>
                  <w:sz w:val="26"/>
                  <w:szCs w:val="26"/>
                  <w:rtl/>
                </w:rPr>
                <w:t>ין בע</w:t>
              </w:r>
              <w:r w:rsidR="00360E96">
                <w:rPr>
                  <w:rFonts w:hint="cs"/>
                  <w:b/>
                  <w:bCs/>
                  <w:noProof w:val="0"/>
                  <w:sz w:val="26"/>
                  <w:szCs w:val="26"/>
                  <w:rtl/>
                </w:rPr>
                <w:t>"</w:t>
              </w:r>
              <w:r w:rsidR="00B95A71">
                <w:rPr>
                  <w:b/>
                  <w:bCs/>
                  <w:noProof w:val="0"/>
                  <w:sz w:val="26"/>
                  <w:szCs w:val="26"/>
                  <w:rtl/>
                </w:rPr>
                <w:t xml:space="preserve">מ נ' קבוצת אל אר בע"מ </w:t>
              </w:r>
            </w:sdtContent>
          </w:sdt>
        </w:p>
        <w:p w:rsidR="005B6690" w:rsidP="005B6690" w:rsidRDefault="005B6690">
          <w:pPr>
            <w:rPr>
              <w:sz w:val="26"/>
              <w:szCs w:val="26"/>
              <w:rtl/>
            </w:rPr>
          </w:pPr>
        </w:p>
        <w:p w:rsidRPr="00FA4EAF" w:rsidR="008D10B2" w:rsidP="00360E96" w:rsidRDefault="007D45E3">
          <w:pPr>
            <w:rPr>
              <w:sz w:val="26"/>
              <w:szCs w:val="26"/>
              <w:rtl/>
            </w:rPr>
          </w:pPr>
          <w:r w:rsidRPr="00FA4EAF">
            <w:rPr>
              <w:rFonts w:hint="cs"/>
              <w:sz w:val="26"/>
              <w:szCs w:val="26"/>
              <w:rtl/>
            </w:rPr>
            <w:t xml:space="preserve">                                                                  </w:t>
          </w:r>
          <w:r w:rsidRPr="00FA4EAF">
            <w:rPr>
              <w:sz w:val="26"/>
              <w:szCs w:val="26"/>
              <w:rtl/>
            </w:rPr>
            <w:t xml:space="preserve"> </w:t>
          </w:r>
          <w:r w:rsidRPr="00FA4EAF" w:rsidR="001173C6">
            <w:rPr>
              <w:sz w:val="26"/>
              <w:szCs w:val="26"/>
              <w:rtl/>
            </w:rPr>
            <w:t xml:space="preserve"> </w:t>
          </w:r>
        </w:p>
      </w:tc>
    </w:tr>
  </w:tbl>
  <w:p w:rsidRPr="00FA4EAF" w:rsidR="00694556" w:rsidRDefault="00694556">
    <w:pPr>
      <w:pStyle w:val="a3"/>
      <w:rPr>
        <w:noProof w:val="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D33A5"/>
    <w:multiLevelType w:val="hybridMultilevel"/>
    <w:tmpl w:val="C9EACF46"/>
    <w:lvl w:ilvl="0" w:tplc="330CBBCC">
      <w:start w:val="1"/>
      <w:numFmt w:val="decimal"/>
      <w:lvlText w:val="%1."/>
      <w:lvlJc w:val="left"/>
      <w:pPr>
        <w:ind w:left="720" w:hanging="360"/>
      </w:pPr>
      <w:rPr>
        <w:rFonts w:cs="Times New Roman" w:hint="default"/>
        <w:b w:val="0"/>
        <w:bCs w:val="0"/>
        <w:sz w:val="22"/>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5F4B0378"/>
    <w:multiLevelType w:val="hybridMultilevel"/>
    <w:tmpl w:val="6FBAC12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91490"/>
    <o:shapelayout v:ext="edit">
      <o:idmap v:ext="edit" data="18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243E"/>
    <w:rsid w:val="000E3AF1"/>
    <w:rsid w:val="000F0BC8"/>
    <w:rsid w:val="000F0DD6"/>
    <w:rsid w:val="00107E6D"/>
    <w:rsid w:val="0011194C"/>
    <w:rsid w:val="0011424C"/>
    <w:rsid w:val="001173C6"/>
    <w:rsid w:val="001367BC"/>
    <w:rsid w:val="00144D2A"/>
    <w:rsid w:val="0014653E"/>
    <w:rsid w:val="00180519"/>
    <w:rsid w:val="00191C82"/>
    <w:rsid w:val="001C3FD7"/>
    <w:rsid w:val="001C4003"/>
    <w:rsid w:val="001D3441"/>
    <w:rsid w:val="001D4DBF"/>
    <w:rsid w:val="001E75CA"/>
    <w:rsid w:val="002265FF"/>
    <w:rsid w:val="00271B56"/>
    <w:rsid w:val="00291593"/>
    <w:rsid w:val="002A3A25"/>
    <w:rsid w:val="002C344E"/>
    <w:rsid w:val="002E75E9"/>
    <w:rsid w:val="00307A6A"/>
    <w:rsid w:val="00307C40"/>
    <w:rsid w:val="00320433"/>
    <w:rsid w:val="003230C7"/>
    <w:rsid w:val="003234A8"/>
    <w:rsid w:val="00327E50"/>
    <w:rsid w:val="0033597A"/>
    <w:rsid w:val="00343D89"/>
    <w:rsid w:val="00360231"/>
    <w:rsid w:val="00360E96"/>
    <w:rsid w:val="00362612"/>
    <w:rsid w:val="0036743F"/>
    <w:rsid w:val="003715DD"/>
    <w:rsid w:val="003763AB"/>
    <w:rsid w:val="003823E0"/>
    <w:rsid w:val="003A4521"/>
    <w:rsid w:val="003D1C8C"/>
    <w:rsid w:val="0040096C"/>
    <w:rsid w:val="00414F1F"/>
    <w:rsid w:val="0043125D"/>
    <w:rsid w:val="0043502B"/>
    <w:rsid w:val="004443AC"/>
    <w:rsid w:val="00451E28"/>
    <w:rsid w:val="00462C62"/>
    <w:rsid w:val="00465D36"/>
    <w:rsid w:val="004975BE"/>
    <w:rsid w:val="004C17EE"/>
    <w:rsid w:val="004C4BDF"/>
    <w:rsid w:val="004D1187"/>
    <w:rsid w:val="004D3AA0"/>
    <w:rsid w:val="004D6801"/>
    <w:rsid w:val="004E1987"/>
    <w:rsid w:val="004E2E15"/>
    <w:rsid w:val="004E6E3C"/>
    <w:rsid w:val="00505276"/>
    <w:rsid w:val="00520898"/>
    <w:rsid w:val="00523621"/>
    <w:rsid w:val="00524986"/>
    <w:rsid w:val="005268F6"/>
    <w:rsid w:val="00534284"/>
    <w:rsid w:val="0054494A"/>
    <w:rsid w:val="00547DB7"/>
    <w:rsid w:val="005867B8"/>
    <w:rsid w:val="005B6690"/>
    <w:rsid w:val="005F4F09"/>
    <w:rsid w:val="0061431B"/>
    <w:rsid w:val="00617CEE"/>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27FF8"/>
    <w:rsid w:val="00744B1C"/>
    <w:rsid w:val="00753019"/>
    <w:rsid w:val="00754801"/>
    <w:rsid w:val="00771A9C"/>
    <w:rsid w:val="00792F1D"/>
    <w:rsid w:val="00795365"/>
    <w:rsid w:val="007A351D"/>
    <w:rsid w:val="007B7765"/>
    <w:rsid w:val="007C5BDD"/>
    <w:rsid w:val="007D45E3"/>
    <w:rsid w:val="007E6115"/>
    <w:rsid w:val="007F4609"/>
    <w:rsid w:val="008176A1"/>
    <w:rsid w:val="00820005"/>
    <w:rsid w:val="00844318"/>
    <w:rsid w:val="00863F5D"/>
    <w:rsid w:val="00870890"/>
    <w:rsid w:val="00873602"/>
    <w:rsid w:val="00875D12"/>
    <w:rsid w:val="008800CD"/>
    <w:rsid w:val="0088479D"/>
    <w:rsid w:val="00896889"/>
    <w:rsid w:val="008C5714"/>
    <w:rsid w:val="008D10B2"/>
    <w:rsid w:val="008E1885"/>
    <w:rsid w:val="00903896"/>
    <w:rsid w:val="00906F3D"/>
    <w:rsid w:val="0094424E"/>
    <w:rsid w:val="00955642"/>
    <w:rsid w:val="009622DF"/>
    <w:rsid w:val="00967DFF"/>
    <w:rsid w:val="00994341"/>
    <w:rsid w:val="009B4939"/>
    <w:rsid w:val="009D1A48"/>
    <w:rsid w:val="009E1CE7"/>
    <w:rsid w:val="009E4EA5"/>
    <w:rsid w:val="009F0462"/>
    <w:rsid w:val="009F164B"/>
    <w:rsid w:val="009F323C"/>
    <w:rsid w:val="00A008B1"/>
    <w:rsid w:val="00A3392B"/>
    <w:rsid w:val="00A94B64"/>
    <w:rsid w:val="00AA3229"/>
    <w:rsid w:val="00AA7596"/>
    <w:rsid w:val="00AB5E52"/>
    <w:rsid w:val="00AC3B02"/>
    <w:rsid w:val="00AC3B7B"/>
    <w:rsid w:val="00AC5209"/>
    <w:rsid w:val="00AC67D7"/>
    <w:rsid w:val="00AD00A6"/>
    <w:rsid w:val="00AE729E"/>
    <w:rsid w:val="00AE7752"/>
    <w:rsid w:val="00AF7FDA"/>
    <w:rsid w:val="00B5356E"/>
    <w:rsid w:val="00B809AD"/>
    <w:rsid w:val="00B80CBD"/>
    <w:rsid w:val="00B86096"/>
    <w:rsid w:val="00B95A71"/>
    <w:rsid w:val="00B964D9"/>
    <w:rsid w:val="00BA0A7C"/>
    <w:rsid w:val="00BA517C"/>
    <w:rsid w:val="00BB3D05"/>
    <w:rsid w:val="00BB73BE"/>
    <w:rsid w:val="00BC2D89"/>
    <w:rsid w:val="00BD6531"/>
    <w:rsid w:val="00BE05B2"/>
    <w:rsid w:val="00BE628F"/>
    <w:rsid w:val="00BF1908"/>
    <w:rsid w:val="00BF7F3B"/>
    <w:rsid w:val="00C22D93"/>
    <w:rsid w:val="00C31120"/>
    <w:rsid w:val="00C34482"/>
    <w:rsid w:val="00C347B3"/>
    <w:rsid w:val="00C43648"/>
    <w:rsid w:val="00C50A9F"/>
    <w:rsid w:val="00C53EB8"/>
    <w:rsid w:val="00C642FA"/>
    <w:rsid w:val="00C65565"/>
    <w:rsid w:val="00C95AD9"/>
    <w:rsid w:val="00C974ED"/>
    <w:rsid w:val="00CC2CED"/>
    <w:rsid w:val="00CC7622"/>
    <w:rsid w:val="00CD608F"/>
    <w:rsid w:val="00D27982"/>
    <w:rsid w:val="00D33B86"/>
    <w:rsid w:val="00D53924"/>
    <w:rsid w:val="00D55D0C"/>
    <w:rsid w:val="00D627CF"/>
    <w:rsid w:val="00D74378"/>
    <w:rsid w:val="00D96D8C"/>
    <w:rsid w:val="00DA6649"/>
    <w:rsid w:val="00DC1259"/>
    <w:rsid w:val="00DC1BD2"/>
    <w:rsid w:val="00DC2571"/>
    <w:rsid w:val="00DC487C"/>
    <w:rsid w:val="00DE6BF6"/>
    <w:rsid w:val="00E1068A"/>
    <w:rsid w:val="00E25884"/>
    <w:rsid w:val="00E25B55"/>
    <w:rsid w:val="00E31C2B"/>
    <w:rsid w:val="00E37181"/>
    <w:rsid w:val="00E5426A"/>
    <w:rsid w:val="00E54642"/>
    <w:rsid w:val="00E80CBE"/>
    <w:rsid w:val="00E962E3"/>
    <w:rsid w:val="00EB6C79"/>
    <w:rsid w:val="00EC37E9"/>
    <w:rsid w:val="00EE50AA"/>
    <w:rsid w:val="00EF53A5"/>
    <w:rsid w:val="00F06995"/>
    <w:rsid w:val="00F134FB"/>
    <w:rsid w:val="00F13623"/>
    <w:rsid w:val="00F44D1D"/>
    <w:rsid w:val="00F84B6D"/>
    <w:rsid w:val="00FA4EAF"/>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91490"/>
    <o:shapelayout v:ext="edit">
      <o:idmap v:ext="edit" data="1"/>
    </o:shapelayout>
  </w:shapeDefaults>
  <w:decimalSymbol w:val="."/>
  <w:listSeparator w:val=","/>
  <w14:docId w14:val="4DA36EBE"/>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styleId="ad">
    <w:name w:val="List Paragraph"/>
    <w:basedOn w:val="a"/>
    <w:uiPriority w:val="34"/>
    <w:qFormat/>
    <w:rsid w:val="00C974ED"/>
    <w:pPr>
      <w:bidi w:val="0"/>
      <w:spacing w:after="200" w:line="276" w:lineRule="auto"/>
      <w:ind w:left="720"/>
      <w:contextualSpacing/>
    </w:pPr>
    <w:rPr>
      <w:rFonts w:asciiTheme="minorHAnsi" w:hAnsiTheme="minorHAnsi" w:cs="Arial"/>
      <w:noProof w:val="0"/>
      <w:sz w:val="22"/>
      <w:szCs w:val="22"/>
    </w:rPr>
  </w:style>
  <w:style w:type="paragraph" w:customStyle="1" w:styleId="Ruller4">
    <w:name w:val="Ruller4"/>
    <w:basedOn w:val="a"/>
    <w:link w:val="Ruller40"/>
    <w:rsid w:val="00C974ED"/>
    <w:pPr>
      <w:tabs>
        <w:tab w:val="left" w:pos="800"/>
      </w:tabs>
      <w:overflowPunct w:val="0"/>
      <w:autoSpaceDE w:val="0"/>
      <w:autoSpaceDN w:val="0"/>
      <w:adjustRightInd w:val="0"/>
      <w:spacing w:line="360" w:lineRule="auto"/>
      <w:jc w:val="both"/>
    </w:pPr>
    <w:rPr>
      <w:rFonts w:ascii="Arial TUR" w:hAnsi="Arial TUR" w:cs="FrankRuehl"/>
      <w:noProof w:val="0"/>
      <w:spacing w:val="10"/>
      <w:sz w:val="22"/>
      <w:szCs w:val="28"/>
    </w:rPr>
  </w:style>
  <w:style w:type="paragraph" w:customStyle="1" w:styleId="Ruller5">
    <w:name w:val="Ruller5"/>
    <w:basedOn w:val="a"/>
    <w:rsid w:val="00C974ED"/>
    <w:pPr>
      <w:overflowPunct w:val="0"/>
      <w:autoSpaceDE w:val="0"/>
      <w:autoSpaceDN w:val="0"/>
      <w:adjustRightInd w:val="0"/>
      <w:ind w:left="1642" w:right="1282"/>
      <w:jc w:val="both"/>
      <w:textAlignment w:val="baseline"/>
    </w:pPr>
    <w:rPr>
      <w:rFonts w:ascii="Arial TUR" w:hAnsi="Arial TUR" w:cs="FrankRuehl"/>
      <w:noProof w:val="0"/>
      <w:spacing w:val="10"/>
      <w:sz w:val="22"/>
      <w:szCs w:val="28"/>
    </w:rPr>
  </w:style>
  <w:style w:type="character" w:customStyle="1" w:styleId="Ruller40">
    <w:name w:val="Ruller4 תו"/>
    <w:link w:val="Ruller4"/>
    <w:locked/>
    <w:rsid w:val="00C974ED"/>
    <w:rPr>
      <w:rFonts w:ascii="Arial TUR" w:hAnsi="Arial TUR" w:cs="FrankRuehl"/>
      <w:spacing w:val="10"/>
      <w:sz w:val="22"/>
      <w:szCs w:val="28"/>
    </w:rPr>
  </w:style>
  <w:style w:type="paragraph" w:customStyle="1" w:styleId="10">
    <w:name w:val="פיסקת רשימה1"/>
    <w:basedOn w:val="a"/>
    <w:rsid w:val="00C974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968260">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c8dcb2cb6f684623"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3E1A82" w:rsidP="003E1A82">
          <w:pPr>
            <w:pStyle w:val="E460D38E05664FF79D4EFF282EF8EC9918"/>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altName w:val="Malgun Gothic Semilight"/>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TUR">
    <w:altName w:val="Arial"/>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2E734C"/>
    <w:rsid w:val="00334638"/>
    <w:rsid w:val="00345C9D"/>
    <w:rsid w:val="003E1A82"/>
    <w:rsid w:val="0048651F"/>
    <w:rsid w:val="00556D67"/>
    <w:rsid w:val="00793995"/>
    <w:rsid w:val="007C6F98"/>
    <w:rsid w:val="007E254A"/>
    <w:rsid w:val="008B4366"/>
    <w:rsid w:val="009133C7"/>
    <w:rsid w:val="009178E4"/>
    <w:rsid w:val="00961B27"/>
    <w:rsid w:val="00AA7CE3"/>
    <w:rsid w:val="00B91FA3"/>
    <w:rsid w:val="00C96C06"/>
    <w:rsid w:val="00E31BF6"/>
    <w:rsid w:val="00E81DB1"/>
    <w:rsid w:val="00F04DC1"/>
    <w:rsid w:val="00F4674E"/>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E1A82"/>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334638"/>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334638"/>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334638"/>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334638"/>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33463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33463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334638"/>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4674E"/>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4674E"/>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4674E"/>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4674E"/>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4674E"/>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4674E"/>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4674E"/>
    <w:pPr>
      <w:bidi/>
      <w:spacing w:after="0" w:line="240" w:lineRule="auto"/>
    </w:pPr>
    <w:rPr>
      <w:rFonts w:ascii="Times New Roman" w:eastAsia="Times New Roman" w:hAnsi="Times New Roman" w:cs="David"/>
      <w:noProof/>
      <w:sz w:val="24"/>
      <w:szCs w:val="24"/>
    </w:rPr>
  </w:style>
  <w:style w:type="paragraph" w:customStyle="1" w:styleId="116EBBD5A99E4E519EE4A5661D82C50E4">
    <w:name w:val="116EBBD5A99E4E519EE4A5661D82C50E4"/>
    <w:rsid w:val="002E734C"/>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2E734C"/>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2E734C"/>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2E734C"/>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2E734C"/>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2E734C"/>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2E734C"/>
    <w:pPr>
      <w:bidi/>
      <w:spacing w:after="0" w:line="240" w:lineRule="auto"/>
    </w:pPr>
    <w:rPr>
      <w:rFonts w:ascii="Times New Roman" w:eastAsia="Times New Roman" w:hAnsi="Times New Roman" w:cs="David"/>
      <w:noProof/>
      <w:sz w:val="24"/>
      <w:szCs w:val="24"/>
    </w:rPr>
  </w:style>
  <w:style w:type="paragraph" w:customStyle="1" w:styleId="116EBBD5A99E4E519EE4A5661D82C50E5">
    <w:name w:val="116EBBD5A99E4E519EE4A5661D82C50E5"/>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5">
    <w:name w:val="E6E6A917CC5E4519A8F2E864C48E22F25"/>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5">
    <w:name w:val="9DC4FF55E52B4E209349FC40470DD4185"/>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5">
    <w:name w:val="112E7BE5CCF64A68A3D497F283A4D6955"/>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3">
    <w:name w:val="ECC435E5782A4F3FB39457279E24BE883"/>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3E1A82"/>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3E1A82"/>
    <w:pPr>
      <w:bidi/>
      <w:spacing w:after="0" w:line="240" w:lineRule="auto"/>
    </w:pPr>
    <w:rPr>
      <w:rFonts w:ascii="Times New Roman" w:eastAsia="Times New Roman" w:hAnsi="Times New Roman" w:cs="David"/>
      <w:noProof/>
      <w:sz w:val="24"/>
      <w:szCs w:val="24"/>
    </w:rPr>
  </w:style>
  <w:style w:type="paragraph" w:customStyle="1" w:styleId="116EBBD5A99E4E519EE4A5661D82C50E6">
    <w:name w:val="116EBBD5A99E4E519EE4A5661D82C50E6"/>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6">
    <w:name w:val="E6E6A917CC5E4519A8F2E864C48E22F26"/>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6">
    <w:name w:val="9DC4FF55E52B4E209349FC40470DD4186"/>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6">
    <w:name w:val="112E7BE5CCF64A68A3D497F283A4D6956"/>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4">
    <w:name w:val="ECC435E5782A4F3FB39457279E24BE884"/>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3E1A82"/>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11</Pages>
  <Words>3474</Words>
  <Characters>17375</Characters>
  <Application>Microsoft Office Word</Application>
  <DocSecurity>0</DocSecurity>
  <Lines>144</Lines>
  <Paragraphs>41</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20808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יעל בלכר</cp:lastModifiedBy>
  <cp:revision>142</cp:revision>
  <cp:lastPrinted>2018-04-08T13:22:00Z</cp:lastPrinted>
  <dcterms:created xsi:type="dcterms:W3CDTF">2012-08-06T05:16:00Z</dcterms:created>
  <dcterms:modified xsi:type="dcterms:W3CDTF">2018-04-09T12:54:00Z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