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9</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אלי ברנד</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0C2FE7" w:rsidP="00FD614A" w:rsidRDefault="00FD614A">
                <w:pPr>
                  <w:suppressLineNumbers/>
                  <w:rPr>
                    <w:rFonts w:ascii="Arial" w:hAnsi="Arial"/>
                    <w:b/>
                    <w:bCs/>
                    <w:noProof w:val="0"/>
                    <w:sz w:val="26"/>
                    <w:szCs w:val="26"/>
                    <w:rtl/>
                  </w:rPr>
                </w:pPr>
                <w:r>
                  <w:rPr>
                    <w:rFonts w:hint="cs" w:ascii="Arial" w:hAnsi="Arial"/>
                    <w:b/>
                    <w:bCs/>
                    <w:noProof w:val="0"/>
                    <w:sz w:val="26"/>
                    <w:szCs w:val="26"/>
                    <w:rtl/>
                  </w:rPr>
                  <w:t>תובע</w:t>
                </w:r>
              </w:p>
            </w:sdtContent>
          </w:sdt>
        </w:tc>
        <w:tc>
          <w:tcPr>
            <w:tcW w:w="5571" w:type="dxa"/>
            <w:gridSpan w:val="2"/>
          </w:tcPr>
          <w:p w:rsidR="0094424E" w:rsidP="00D44968" w:rsidRDefault="003B6421">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פארס גאבר</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FD614A" w:rsidRDefault="003B6421">
            <w:pPr>
              <w:suppressLineNumbers/>
              <w:rPr>
                <w:rFonts w:ascii="Arial" w:hAnsi="Arial"/>
                <w:b/>
                <w:bCs/>
                <w:noProof w:val="0"/>
                <w:sz w:val="26"/>
                <w:szCs w:val="26"/>
              </w:rPr>
            </w:pPr>
            <w:sdt>
              <w:sdtPr>
                <w:rPr>
                  <w:rtl/>
                </w:rPr>
                <w:alias w:val="1184"/>
                <w:tag w:val="1184"/>
                <w:id w:val="-340621022"/>
                <w:text w:multiLine="1"/>
              </w:sdtPr>
              <w:sdtEndPr/>
              <w:sdtContent>
                <w:r w:rsidR="00FD614A">
                  <w:rPr>
                    <w:rFonts w:hint="cs" w:ascii="Arial" w:hAnsi="Arial"/>
                    <w:b/>
                    <w:bCs/>
                    <w:noProof w:val="0"/>
                    <w:sz w:val="26"/>
                    <w:szCs w:val="26"/>
                    <w:rtl/>
                  </w:rPr>
                  <w:t>נתבע</w:t>
                </w:r>
              </w:sdtContent>
            </w:sdt>
          </w:p>
        </w:tc>
        <w:tc>
          <w:tcPr>
            <w:tcW w:w="5571" w:type="dxa"/>
            <w:gridSpan w:val="2"/>
          </w:tcPr>
          <w:p w:rsidR="0094424E" w:rsidP="00D44968" w:rsidRDefault="003B6421">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מס הכנסה - פקיד שומה נתניה</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FD614A">
            <w:pPr>
              <w:suppressLineNumbers/>
            </w:pPr>
            <w:r>
              <w:rPr>
                <w:rFonts w:hint="cs"/>
                <w:rtl/>
              </w:rPr>
              <w:t>ב"כ הנתבע: עו"ד הגר אסף, פמת"א (אזרחי)</w:t>
            </w:r>
          </w:p>
          <w:p w:rsidRPr="00FD614A" w:rsidR="00CF6BB7" w:rsidP="00D44968" w:rsidRDefault="00CF6BB7">
            <w:pPr>
              <w:suppressLineNumbers/>
              <w:rPr>
                <w:rtl/>
              </w:rPr>
            </w:pPr>
          </w:p>
          <w:p w:rsidR="00CF6BB7" w:rsidP="00D44968" w:rsidRDefault="00CF6BB7">
            <w:pPr>
              <w:suppressLineNumbers/>
              <w:rPr>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FB53BA" w:rsidR="00FB53BA" w:rsidRDefault="00FB53BA">
      <w:pPr>
        <w:spacing w:line="360" w:lineRule="auto"/>
        <w:jc w:val="both"/>
        <w:rPr>
          <w:rFonts w:ascii="Arial" w:hAnsi="Arial"/>
          <w:noProof w:val="0"/>
          <w:u w:val="single"/>
          <w:rtl/>
        </w:rPr>
      </w:pPr>
      <w:bookmarkStart w:name="NGCSBookmark" w:id="0"/>
      <w:bookmarkEnd w:id="0"/>
      <w:r>
        <w:rPr>
          <w:rFonts w:hint="cs" w:ascii="Arial" w:hAnsi="Arial"/>
          <w:noProof w:val="0"/>
          <w:u w:val="single"/>
          <w:rtl/>
        </w:rPr>
        <w:t>הבקשה ועיקרי טענות הצדדים</w:t>
      </w:r>
    </w:p>
    <w:p w:rsidRPr="00DE1E7D" w:rsidR="00694556" w:rsidRDefault="00FD614A">
      <w:pPr>
        <w:spacing w:line="360" w:lineRule="auto"/>
        <w:jc w:val="both"/>
        <w:rPr>
          <w:rFonts w:ascii="Arial" w:hAnsi="Arial"/>
          <w:noProof w:val="0"/>
          <w:rtl/>
        </w:rPr>
      </w:pPr>
      <w:r>
        <w:rPr>
          <w:rFonts w:hint="cs" w:ascii="Arial" w:hAnsi="Arial"/>
          <w:noProof w:val="0"/>
          <w:rtl/>
        </w:rPr>
        <w:t>לפני בקשת הנתבע לסילוק התביעה על הסף בשל חוסר סמכות עניינית לבית משפט זה לדון בה, בקשה לה מתנגד התובע.</w:t>
      </w:r>
    </w:p>
    <w:p w:rsidR="00694556" w:rsidRDefault="00FD614A">
      <w:pPr>
        <w:spacing w:line="360" w:lineRule="auto"/>
        <w:jc w:val="both"/>
        <w:rPr>
          <w:rFonts w:ascii="Arial" w:hAnsi="Arial"/>
          <w:noProof w:val="0"/>
          <w:rtl/>
        </w:rPr>
      </w:pPr>
      <w:r>
        <w:rPr>
          <w:rFonts w:hint="cs" w:ascii="Arial" w:hAnsi="Arial"/>
          <w:noProof w:val="0"/>
          <w:rtl/>
        </w:rPr>
        <w:t>מדובר בתביעת התובע שזו העתירה לסעד הכלולה בה</w:t>
      </w:r>
      <w:r w:rsidR="00FB53BA">
        <w:rPr>
          <w:rFonts w:hint="cs" w:ascii="Arial" w:hAnsi="Arial"/>
          <w:noProof w:val="0"/>
          <w:rtl/>
        </w:rPr>
        <w:t xml:space="preserve"> (העתק</w:t>
      </w:r>
      <w:r w:rsidR="00E6560D">
        <w:rPr>
          <w:rFonts w:hint="cs" w:ascii="Arial" w:hAnsi="Arial"/>
          <w:noProof w:val="0"/>
          <w:rtl/>
        </w:rPr>
        <w:t xml:space="preserve"> </w:t>
      </w:r>
      <w:r w:rsidR="00FB53BA">
        <w:rPr>
          <w:rFonts w:hint="cs" w:ascii="Arial" w:hAnsi="Arial"/>
          <w:noProof w:val="0"/>
          <w:rtl/>
        </w:rPr>
        <w:t xml:space="preserve">מתוך </w:t>
      </w:r>
      <w:r w:rsidR="00E6560D">
        <w:rPr>
          <w:rFonts w:hint="cs" w:ascii="Arial" w:hAnsi="Arial"/>
          <w:noProof w:val="0"/>
          <w:rtl/>
        </w:rPr>
        <w:t xml:space="preserve">המקור </w:t>
      </w:r>
      <w:r w:rsidR="00E6560D">
        <w:rPr>
          <w:rFonts w:ascii="Arial" w:hAnsi="Arial"/>
          <w:noProof w:val="0"/>
          <w:rtl/>
        </w:rPr>
        <w:t>–</w:t>
      </w:r>
      <w:r w:rsidR="00E6560D">
        <w:rPr>
          <w:rFonts w:hint="cs" w:ascii="Arial" w:hAnsi="Arial"/>
          <w:noProof w:val="0"/>
          <w:rtl/>
        </w:rPr>
        <w:t xml:space="preserve"> א.ב.)</w:t>
      </w:r>
      <w:r>
        <w:rPr>
          <w:rFonts w:hint="cs" w:ascii="Arial" w:hAnsi="Arial"/>
          <w:noProof w:val="0"/>
          <w:rtl/>
        </w:rPr>
        <w:t xml:space="preserve"> </w:t>
      </w:r>
      <w:r>
        <w:rPr>
          <w:rFonts w:ascii="Arial" w:hAnsi="Arial"/>
          <w:noProof w:val="0"/>
          <w:rtl/>
        </w:rPr>
        <w:t>–</w:t>
      </w:r>
    </w:p>
    <w:p w:rsidRPr="00DE1E7D" w:rsidR="00FD614A" w:rsidP="00FD614A" w:rsidRDefault="00FD614A">
      <w:pPr>
        <w:spacing w:line="360" w:lineRule="auto"/>
        <w:ind w:left="567"/>
        <w:jc w:val="both"/>
        <w:rPr>
          <w:rFonts w:ascii="Arial" w:hAnsi="Arial"/>
          <w:noProof w:val="0"/>
          <w:rtl/>
        </w:rPr>
      </w:pPr>
      <w:r>
        <w:rPr>
          <w:rFonts w:ascii="Arial" w:hAnsi="Arial"/>
        </w:rPr>
        <w:drawing>
          <wp:inline distT="0" distB="0" distL="0" distR="0">
            <wp:extent cx="4724400" cy="7048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704850"/>
                    </a:xfrm>
                    <a:prstGeom prst="rect">
                      <a:avLst/>
                    </a:prstGeom>
                    <a:noFill/>
                    <a:ln>
                      <a:noFill/>
                    </a:ln>
                  </pic:spPr>
                </pic:pic>
              </a:graphicData>
            </a:graphic>
          </wp:inline>
        </w:drawing>
      </w:r>
    </w:p>
    <w:p w:rsidR="00FD614A" w:rsidP="00FB53BA" w:rsidRDefault="00FD614A">
      <w:pPr>
        <w:spacing w:line="360" w:lineRule="auto"/>
        <w:jc w:val="both"/>
        <w:rPr>
          <w:rFonts w:ascii="Arial" w:hAnsi="Arial"/>
          <w:noProof w:val="0"/>
          <w:rtl/>
        </w:rPr>
      </w:pPr>
      <w:r>
        <w:rPr>
          <w:rFonts w:hint="cs" w:ascii="Arial" w:hAnsi="Arial"/>
          <w:noProof w:val="0"/>
          <w:rtl/>
        </w:rPr>
        <w:t>עיון בתובענה מלמד כי ל</w:t>
      </w:r>
      <w:r w:rsidR="00FB53BA">
        <w:rPr>
          <w:rFonts w:hint="cs" w:ascii="Arial" w:hAnsi="Arial"/>
          <w:noProof w:val="0"/>
          <w:rtl/>
        </w:rPr>
        <w:t>טענת ה</w:t>
      </w:r>
      <w:r>
        <w:rPr>
          <w:rFonts w:hint="cs" w:ascii="Arial" w:hAnsi="Arial"/>
          <w:noProof w:val="0"/>
          <w:rtl/>
        </w:rPr>
        <w:t>תובע</w:t>
      </w:r>
      <w:r w:rsidR="00FB53BA">
        <w:rPr>
          <w:rFonts w:hint="cs" w:ascii="Arial" w:hAnsi="Arial"/>
          <w:noProof w:val="0"/>
          <w:rtl/>
        </w:rPr>
        <w:t xml:space="preserve"> יש לו</w:t>
      </w:r>
      <w:r>
        <w:rPr>
          <w:rFonts w:hint="cs" w:ascii="Arial" w:hAnsi="Arial"/>
          <w:noProof w:val="0"/>
          <w:rtl/>
        </w:rPr>
        <w:t xml:space="preserve"> חוב למס הכנסה משנות התשעים אשר ל</w:t>
      </w:r>
      <w:r w:rsidR="00FB53BA">
        <w:rPr>
          <w:rFonts w:hint="cs" w:ascii="Arial" w:hAnsi="Arial"/>
          <w:noProof w:val="0"/>
          <w:rtl/>
        </w:rPr>
        <w:t>גרס</w:t>
      </w:r>
      <w:r>
        <w:rPr>
          <w:rFonts w:hint="cs" w:ascii="Arial" w:hAnsi="Arial"/>
          <w:noProof w:val="0"/>
          <w:rtl/>
        </w:rPr>
        <w:t>תו נובע מכך שהנתבע לא הכיר לו בהפסד כדין</w:t>
      </w:r>
      <w:r w:rsidR="00E6560D">
        <w:rPr>
          <w:rFonts w:hint="cs" w:ascii="Arial" w:hAnsi="Arial"/>
          <w:noProof w:val="0"/>
          <w:rtl/>
        </w:rPr>
        <w:t xml:space="preserve"> ואף אילץ אותו לחתום על הסכם לתשלום סך של 150,000 ₪ בגין שומה זו</w:t>
      </w:r>
      <w:r w:rsidR="00FB53BA">
        <w:rPr>
          <w:rFonts w:hint="cs" w:ascii="Arial" w:hAnsi="Arial"/>
          <w:noProof w:val="0"/>
          <w:rtl/>
        </w:rPr>
        <w:t>,</w:t>
      </w:r>
      <w:r>
        <w:rPr>
          <w:rFonts w:hint="cs" w:ascii="Arial" w:hAnsi="Arial"/>
          <w:noProof w:val="0"/>
          <w:rtl/>
        </w:rPr>
        <w:t xml:space="preserve"> וכי בשל חוב זה מתנהלים נגדו הליכי</w:t>
      </w:r>
      <w:r w:rsidR="00FB53BA">
        <w:rPr>
          <w:rFonts w:hint="cs" w:ascii="Arial" w:hAnsi="Arial"/>
          <w:noProof w:val="0"/>
          <w:rtl/>
        </w:rPr>
        <w:t xml:space="preserve"> הוצאה לפועל</w:t>
      </w:r>
      <w:r>
        <w:rPr>
          <w:rFonts w:hint="cs" w:ascii="Arial" w:hAnsi="Arial"/>
          <w:noProof w:val="0"/>
          <w:rtl/>
        </w:rPr>
        <w:t xml:space="preserve"> והוא מבקש כי בית המשפט יקבע כי מדובר בחוב סרק ויש לבטלו, כאמור לעיל.</w:t>
      </w:r>
    </w:p>
    <w:p w:rsidR="00694556" w:rsidP="00FB53BA" w:rsidRDefault="00FD614A">
      <w:pPr>
        <w:spacing w:line="360" w:lineRule="auto"/>
        <w:jc w:val="both"/>
        <w:rPr>
          <w:rFonts w:ascii="Arial" w:hAnsi="Arial"/>
          <w:noProof w:val="0"/>
          <w:rtl/>
        </w:rPr>
      </w:pPr>
      <w:r>
        <w:rPr>
          <w:rFonts w:hint="cs" w:ascii="Arial" w:hAnsi="Arial"/>
          <w:noProof w:val="0"/>
          <w:rtl/>
        </w:rPr>
        <w:t xml:space="preserve">לטענת הנתבע </w:t>
      </w:r>
      <w:r w:rsidR="00FB53BA">
        <w:rPr>
          <w:rFonts w:hint="cs" w:ascii="Arial" w:hAnsi="Arial"/>
          <w:noProof w:val="0"/>
          <w:rtl/>
        </w:rPr>
        <w:t xml:space="preserve">בבקשתו, </w:t>
      </w:r>
      <w:r>
        <w:rPr>
          <w:rFonts w:hint="cs" w:ascii="Arial" w:hAnsi="Arial"/>
          <w:noProof w:val="0"/>
          <w:rtl/>
        </w:rPr>
        <w:t xml:space="preserve">מדובר בסעד שמשמעו </w:t>
      </w:r>
      <w:r w:rsidR="002A7434">
        <w:rPr>
          <w:rFonts w:hint="cs" w:ascii="Arial" w:hAnsi="Arial"/>
          <w:noProof w:val="0"/>
          <w:rtl/>
        </w:rPr>
        <w:t>ערעור על שומה שהוצאה לו כדין וככזה מצוי</w:t>
      </w:r>
      <w:r w:rsidR="00FB53BA">
        <w:rPr>
          <w:rFonts w:hint="cs" w:ascii="Arial" w:hAnsi="Arial"/>
          <w:noProof w:val="0"/>
          <w:rtl/>
        </w:rPr>
        <w:t xml:space="preserve"> הוא</w:t>
      </w:r>
      <w:r w:rsidR="002A7434">
        <w:rPr>
          <w:rFonts w:hint="cs" w:ascii="Arial" w:hAnsi="Arial"/>
          <w:noProof w:val="0"/>
          <w:rtl/>
        </w:rPr>
        <w:t xml:space="preserve"> באופן בלעדי בסמכותו של בית המשפט המחוזי על פי סעיף 153 לפקודת מס הכנסה, זאת לאחר השגה שיש להגיש כדין לנתבע עצמו תוך 30 יום מ</w:t>
      </w:r>
      <w:r w:rsidR="00FB53BA">
        <w:rPr>
          <w:rFonts w:hint="cs" w:ascii="Arial" w:hAnsi="Arial"/>
          <w:noProof w:val="0"/>
          <w:rtl/>
        </w:rPr>
        <w:t>קבל</w:t>
      </w:r>
      <w:r w:rsidR="002A7434">
        <w:rPr>
          <w:rFonts w:hint="cs" w:ascii="Arial" w:hAnsi="Arial"/>
          <w:noProof w:val="0"/>
          <w:rtl/>
        </w:rPr>
        <w:t>ת השומה.</w:t>
      </w:r>
    </w:p>
    <w:p w:rsidRPr="00DE1E7D" w:rsidR="002A7434" w:rsidP="00195B97" w:rsidRDefault="002A7434">
      <w:pPr>
        <w:spacing w:line="360" w:lineRule="auto"/>
        <w:jc w:val="both"/>
        <w:rPr>
          <w:rFonts w:ascii="Arial" w:hAnsi="Arial"/>
          <w:noProof w:val="0"/>
          <w:rtl/>
        </w:rPr>
      </w:pPr>
      <w:r>
        <w:rPr>
          <w:rFonts w:hint="cs" w:ascii="Arial" w:hAnsi="Arial"/>
          <w:noProof w:val="0"/>
          <w:rtl/>
        </w:rPr>
        <w:t xml:space="preserve">הנתבע טוען כי </w:t>
      </w:r>
      <w:r w:rsidR="00E6560D">
        <w:rPr>
          <w:rFonts w:hint="cs" w:ascii="Arial" w:hAnsi="Arial"/>
          <w:noProof w:val="0"/>
          <w:rtl/>
        </w:rPr>
        <w:t xml:space="preserve">התובע </w:t>
      </w:r>
      <w:r w:rsidR="00195B97">
        <w:rPr>
          <w:rFonts w:hint="cs" w:ascii="Arial" w:hAnsi="Arial"/>
          <w:noProof w:val="0"/>
          <w:rtl/>
        </w:rPr>
        <w:t>לא</w:t>
      </w:r>
      <w:r w:rsidR="00E6560D">
        <w:rPr>
          <w:rFonts w:hint="cs" w:ascii="Arial" w:hAnsi="Arial"/>
          <w:noProof w:val="0"/>
          <w:rtl/>
        </w:rPr>
        <w:t xml:space="preserve"> הגיש השגה או ערעור וכי לפנים משורת הדין אף הציע לתובע להגיש בקשה </w:t>
      </w:r>
      <w:r w:rsidR="00195B97">
        <w:rPr>
          <w:rFonts w:hint="cs" w:ascii="Arial" w:hAnsi="Arial"/>
          <w:noProof w:val="0"/>
          <w:rtl/>
        </w:rPr>
        <w:t xml:space="preserve">מנומקת </w:t>
      </w:r>
      <w:r w:rsidR="00E6560D">
        <w:rPr>
          <w:rFonts w:hint="cs" w:ascii="Arial" w:hAnsi="Arial"/>
          <w:noProof w:val="0"/>
          <w:rtl/>
        </w:rPr>
        <w:t xml:space="preserve">למחיקת חובו לועדה </w:t>
      </w:r>
      <w:r w:rsidR="00195B97">
        <w:rPr>
          <w:rFonts w:hint="cs" w:ascii="Arial" w:hAnsi="Arial"/>
          <w:noProof w:val="0"/>
          <w:rtl/>
        </w:rPr>
        <w:t>למחיקת חובות אך הלה לא נקט אף צעד זה.</w:t>
      </w:r>
    </w:p>
    <w:p w:rsidR="00694556" w:rsidRDefault="00B64A5A">
      <w:pPr>
        <w:spacing w:line="360" w:lineRule="auto"/>
        <w:jc w:val="both"/>
        <w:rPr>
          <w:rFonts w:ascii="Arial" w:hAnsi="Arial"/>
          <w:noProof w:val="0"/>
          <w:rtl/>
        </w:rPr>
      </w:pPr>
      <w:r>
        <w:rPr>
          <w:rFonts w:hint="cs" w:ascii="Arial" w:hAnsi="Arial"/>
          <w:noProof w:val="0"/>
          <w:rtl/>
        </w:rPr>
        <w:t>לטענת</w:t>
      </w:r>
      <w:r w:rsidR="00195B97">
        <w:rPr>
          <w:rFonts w:hint="cs" w:ascii="Arial" w:hAnsi="Arial"/>
          <w:noProof w:val="0"/>
          <w:rtl/>
        </w:rPr>
        <w:t xml:space="preserve"> הנתבע </w:t>
      </w:r>
      <w:r w:rsidR="00E6560D">
        <w:rPr>
          <w:rFonts w:hint="cs" w:ascii="Arial" w:hAnsi="Arial"/>
          <w:noProof w:val="0"/>
          <w:rtl/>
        </w:rPr>
        <w:t>פסיקת בתי המשפט קבעה במקרים רבים מספור כי הליכי ההשגה והערעור על שומות מס אשר נקבעו בדיני המס הספציפיים הם הנתיב הבלעדי לשינוי שומ</w:t>
      </w:r>
      <w:r>
        <w:rPr>
          <w:rFonts w:hint="cs" w:ascii="Arial" w:hAnsi="Arial"/>
          <w:noProof w:val="0"/>
          <w:rtl/>
        </w:rPr>
        <w:t>ות מס ואין בלתו, ומשנמנע התובע מלעשות שימוש בהליך המתאים ונוכח הענקת הסמכות לדון ב</w:t>
      </w:r>
      <w:r w:rsidR="00CF39B9">
        <w:rPr>
          <w:rFonts w:hint="cs" w:ascii="Arial" w:hAnsi="Arial"/>
          <w:noProof w:val="0"/>
          <w:rtl/>
        </w:rPr>
        <w:t>הליכים מסוג זה לבית המשפט המחוזי יש לסלק על הסף את התובענה בהעדר סמכות עניינית.</w:t>
      </w:r>
    </w:p>
    <w:p w:rsidR="00CF39B9" w:rsidP="00A757D5" w:rsidRDefault="00CF39B9">
      <w:pPr>
        <w:spacing w:line="360" w:lineRule="auto"/>
        <w:jc w:val="both"/>
        <w:rPr>
          <w:rFonts w:ascii="Arial" w:hAnsi="Arial"/>
          <w:noProof w:val="0"/>
          <w:rtl/>
        </w:rPr>
      </w:pPr>
      <w:r>
        <w:rPr>
          <w:rFonts w:hint="cs" w:ascii="Arial" w:hAnsi="Arial"/>
          <w:noProof w:val="0"/>
          <w:rtl/>
        </w:rPr>
        <w:t xml:space="preserve">בתגובתו לבקשה מתייחס התובע, שאינו מיוצג, לחלוף הזמן מאז היווצרות החוב ולצדקת טענותיו אך </w:t>
      </w:r>
      <w:r w:rsidR="00A757D5">
        <w:rPr>
          <w:rFonts w:hint="cs" w:ascii="Arial" w:hAnsi="Arial"/>
          <w:noProof w:val="0"/>
          <w:rtl/>
        </w:rPr>
        <w:t>כלל</w:t>
      </w:r>
      <w:r>
        <w:rPr>
          <w:rFonts w:hint="cs" w:ascii="Arial" w:hAnsi="Arial"/>
          <w:noProof w:val="0"/>
          <w:rtl/>
        </w:rPr>
        <w:t xml:space="preserve"> אינו עוסק בלב הטענה המועלית בבקשה אודות העדר סמכות עניינית.</w:t>
      </w:r>
    </w:p>
    <w:p w:rsidR="00FB53BA" w:rsidP="00BA006A" w:rsidRDefault="00FB53BA">
      <w:pPr>
        <w:spacing w:line="360" w:lineRule="auto"/>
        <w:jc w:val="both"/>
        <w:rPr>
          <w:rFonts w:ascii="Arial" w:hAnsi="Arial"/>
          <w:noProof w:val="0"/>
          <w:rtl/>
        </w:rPr>
      </w:pPr>
    </w:p>
    <w:p w:rsidRPr="00FB53BA" w:rsidR="00FB53BA" w:rsidP="00BA006A" w:rsidRDefault="00FB53BA">
      <w:pPr>
        <w:spacing w:line="360" w:lineRule="auto"/>
        <w:jc w:val="both"/>
        <w:rPr>
          <w:rFonts w:ascii="Arial" w:hAnsi="Arial"/>
          <w:noProof w:val="0"/>
          <w:u w:val="single"/>
          <w:rtl/>
        </w:rPr>
      </w:pPr>
      <w:r>
        <w:rPr>
          <w:rFonts w:hint="cs" w:ascii="Arial" w:hAnsi="Arial"/>
          <w:noProof w:val="0"/>
          <w:u w:val="single"/>
          <w:rtl/>
        </w:rPr>
        <w:lastRenderedPageBreak/>
        <w:t>דיון והכרעה</w:t>
      </w:r>
    </w:p>
    <w:p w:rsidR="00CF39B9" w:rsidP="005F27D5" w:rsidRDefault="00BA006A">
      <w:pPr>
        <w:spacing w:line="360" w:lineRule="auto"/>
        <w:jc w:val="both"/>
        <w:rPr>
          <w:rFonts w:hint="cs" w:ascii="Arial" w:hAnsi="Arial"/>
          <w:noProof w:val="0"/>
          <w:rtl/>
        </w:rPr>
      </w:pPr>
      <w:r>
        <w:rPr>
          <w:rFonts w:hint="cs" w:ascii="Arial" w:hAnsi="Arial"/>
          <w:noProof w:val="0"/>
          <w:rtl/>
        </w:rPr>
        <w:t xml:space="preserve">ברע"א 3749/12 </w:t>
      </w:r>
      <w:r w:rsidRPr="00BA006A">
        <w:rPr>
          <w:rFonts w:hint="cs" w:ascii="Arial" w:hAnsi="Arial"/>
          <w:b/>
          <w:bCs/>
          <w:noProof w:val="0"/>
          <w:rtl/>
        </w:rPr>
        <w:t>ששון בר-עוז נ' דניאל לסטר</w:t>
      </w:r>
      <w:r>
        <w:rPr>
          <w:rFonts w:hint="cs" w:ascii="Arial" w:hAnsi="Arial"/>
          <w:noProof w:val="0"/>
          <w:rtl/>
        </w:rPr>
        <w:t xml:space="preserve"> (1.8.2013) עסק בית המשפט העליון במבחן הסעד על פיו נקבעת בדרך כלל סמכותה העניינית של הערכאה המתאימה לדון בהליך וכך </w:t>
      </w:r>
      <w:r w:rsidR="005F27D5">
        <w:rPr>
          <w:rFonts w:hint="cs" w:ascii="Arial" w:hAnsi="Arial"/>
          <w:noProof w:val="0"/>
          <w:rtl/>
        </w:rPr>
        <w:t>קבע</w:t>
      </w:r>
      <w:r>
        <w:rPr>
          <w:rFonts w:hint="cs" w:ascii="Arial" w:hAnsi="Arial"/>
          <w:noProof w:val="0"/>
          <w:rtl/>
        </w:rPr>
        <w:t xml:space="preserve"> (פסקה 5 לחוות דעת כב' הנשיא (כתוארו אז) אשר גרוניס) </w:t>
      </w:r>
      <w:r>
        <w:rPr>
          <w:rFonts w:ascii="Arial" w:hAnsi="Arial"/>
          <w:noProof w:val="0"/>
          <w:rtl/>
        </w:rPr>
        <w:t>–</w:t>
      </w:r>
    </w:p>
    <w:p w:rsidRPr="00BA006A" w:rsidR="00BA006A" w:rsidP="00BA006A" w:rsidRDefault="00BA006A">
      <w:pPr>
        <w:pStyle w:val="Ruller40"/>
        <w:ind w:left="567" w:right="567"/>
        <w:rPr>
          <w:rFonts w:cs="David"/>
          <w:b/>
          <w:bCs/>
          <w:sz w:val="24"/>
          <w:szCs w:val="24"/>
          <w:rtl/>
        </w:rPr>
      </w:pPr>
      <w:r>
        <w:rPr>
          <w:rFonts w:hint="cs" w:cs="David"/>
          <w:sz w:val="24"/>
          <w:szCs w:val="24"/>
          <w:rtl/>
        </w:rPr>
        <w:t>"</w:t>
      </w:r>
      <w:r w:rsidRPr="00BA006A">
        <w:rPr>
          <w:rFonts w:cs="David"/>
          <w:b/>
          <w:bCs/>
          <w:sz w:val="24"/>
          <w:szCs w:val="24"/>
          <w:rtl/>
        </w:rPr>
        <w:t>על מנת להקל על בחינת הסמכות העניינית, פותח בדין הישראלי "מבחן הסעד". מבחן זה מנחה אותנו בעיקר ביחס לסמכותן העניינית של ערכאות השיפוט ש</w:t>
      </w:r>
      <w:hyperlink w:history="1" r:id="rId10">
        <w:r w:rsidRPr="00BA006A">
          <w:rPr>
            <w:rFonts w:cs="David"/>
            <w:b/>
            <w:bCs/>
            <w:sz w:val="24"/>
            <w:szCs w:val="24"/>
            <w:rtl/>
          </w:rPr>
          <w:t>חוק בתי המשפט</w:t>
        </w:r>
      </w:hyperlink>
      <w:r w:rsidRPr="00BA006A">
        <w:rPr>
          <w:rFonts w:cs="David"/>
          <w:b/>
          <w:bCs/>
          <w:sz w:val="24"/>
          <w:szCs w:val="24"/>
          <w:rtl/>
        </w:rPr>
        <w:t xml:space="preserve"> עוסק בהן (בית משפט השלום ובית המשפט המחוזי). </w:t>
      </w:r>
      <w:r w:rsidRPr="00BA006A">
        <w:rPr>
          <w:rFonts w:hint="cs" w:cs="David"/>
          <w:b/>
          <w:bCs/>
          <w:sz w:val="24"/>
          <w:szCs w:val="24"/>
          <w:rtl/>
        </w:rPr>
        <w:t>...</w:t>
      </w:r>
    </w:p>
    <w:p w:rsidRPr="00BA006A" w:rsidR="00BA006A" w:rsidP="00BA006A" w:rsidRDefault="00BA006A">
      <w:pPr>
        <w:pStyle w:val="Ruller40"/>
        <w:ind w:left="567" w:right="567"/>
        <w:rPr>
          <w:rFonts w:cs="David"/>
          <w:sz w:val="24"/>
          <w:szCs w:val="24"/>
          <w:rtl/>
        </w:rPr>
      </w:pPr>
      <w:r w:rsidRPr="00BA006A">
        <w:rPr>
          <w:rFonts w:cs="David"/>
          <w:b/>
          <w:bCs/>
          <w:sz w:val="24"/>
          <w:szCs w:val="24"/>
          <w:rtl/>
        </w:rPr>
        <w:t>יצוין, כי את אימוצו הסופי של מבחן הסעד בדין הישראלי נהוג לייחס לפסק הדין ב</w:t>
      </w:r>
      <w:hyperlink w:history="1" r:id="rId11">
        <w:r w:rsidRPr="00BA006A">
          <w:rPr>
            <w:rFonts w:cs="David"/>
            <w:b/>
            <w:bCs/>
            <w:sz w:val="24"/>
            <w:szCs w:val="24"/>
            <w:rtl/>
          </w:rPr>
          <w:t>ע"א 27/77 טובי נ' רפאלי, פ"ד לא</w:t>
        </w:r>
      </w:hyperlink>
      <w:r w:rsidRPr="00BA006A">
        <w:rPr>
          <w:rFonts w:cs="David"/>
          <w:b/>
          <w:bCs/>
          <w:sz w:val="24"/>
          <w:szCs w:val="24"/>
          <w:rtl/>
        </w:rPr>
        <w:t xml:space="preserve">(3) 561 (1977) (להלן – </w:t>
      </w:r>
      <w:r w:rsidRPr="00BA006A">
        <w:rPr>
          <w:rFonts w:ascii="Times New Roman" w:hAnsi="Times New Roman" w:cs="David"/>
          <w:b/>
          <w:bCs/>
          <w:spacing w:val="0"/>
          <w:sz w:val="24"/>
          <w:szCs w:val="24"/>
          <w:rtl/>
        </w:rPr>
        <w:t>עניין רפאלי</w:t>
      </w:r>
      <w:r w:rsidRPr="00BA006A">
        <w:rPr>
          <w:rFonts w:cs="David"/>
          <w:b/>
          <w:bCs/>
          <w:sz w:val="24"/>
          <w:szCs w:val="24"/>
          <w:rtl/>
        </w:rPr>
        <w:t xml:space="preserve">). </w:t>
      </w:r>
      <w:r w:rsidRPr="00BA006A">
        <w:rPr>
          <w:rFonts w:hint="cs" w:cs="David"/>
          <w:b/>
          <w:bCs/>
          <w:sz w:val="24"/>
          <w:szCs w:val="24"/>
          <w:rtl/>
        </w:rPr>
        <w:t>...</w:t>
      </w:r>
      <w:r w:rsidRPr="00BA006A">
        <w:rPr>
          <w:rFonts w:cs="David"/>
          <w:b/>
          <w:bCs/>
          <w:sz w:val="24"/>
          <w:szCs w:val="24"/>
          <w:rtl/>
        </w:rPr>
        <w:t xml:space="preserve"> בשורה של פסקי דין חזר בית משפט זה על מבחן הסעד ויישם אותו (ראו, למשל, </w:t>
      </w:r>
      <w:hyperlink w:history="1" r:id="rId12">
        <w:r w:rsidRPr="00BA006A">
          <w:rPr>
            <w:rFonts w:cs="David"/>
            <w:b/>
            <w:bCs/>
            <w:sz w:val="24"/>
            <w:szCs w:val="24"/>
            <w:rtl/>
          </w:rPr>
          <w:t>ע"א 8130/01</w:t>
        </w:r>
      </w:hyperlink>
      <w:r w:rsidRPr="00BA006A">
        <w:rPr>
          <w:rFonts w:cs="David"/>
          <w:b/>
          <w:bCs/>
          <w:sz w:val="24"/>
          <w:szCs w:val="24"/>
          <w:rtl/>
        </w:rPr>
        <w:t xml:space="preserve"> </w:t>
      </w:r>
      <w:r w:rsidRPr="00BA006A">
        <w:rPr>
          <w:rFonts w:ascii="Times New Roman" w:hAnsi="Times New Roman" w:cs="David"/>
          <w:b/>
          <w:bCs/>
          <w:spacing w:val="0"/>
          <w:sz w:val="24"/>
          <w:szCs w:val="24"/>
          <w:rtl/>
        </w:rPr>
        <w:t>מחאג'נה נ' אגבאריה</w:t>
      </w:r>
      <w:r w:rsidRPr="00BA006A">
        <w:rPr>
          <w:rFonts w:cs="David"/>
          <w:b/>
          <w:bCs/>
          <w:sz w:val="24"/>
          <w:szCs w:val="24"/>
          <w:rtl/>
        </w:rPr>
        <w:t xml:space="preserve">, פיסקה 6 </w:t>
      </w:r>
      <w:r w:rsidRPr="00BA006A">
        <w:rPr>
          <w:rFonts w:ascii="Times New Roman" w:hAnsi="Times New Roman" w:cs="David"/>
          <w:b/>
          <w:bCs/>
          <w:spacing w:val="0"/>
          <w:sz w:val="24"/>
          <w:szCs w:val="24"/>
          <w:rtl/>
        </w:rPr>
        <w:t xml:space="preserve">[פורסם בנבו] </w:t>
      </w:r>
      <w:r w:rsidRPr="00BA006A">
        <w:rPr>
          <w:rFonts w:cs="David"/>
          <w:b/>
          <w:bCs/>
          <w:sz w:val="24"/>
          <w:szCs w:val="24"/>
          <w:rtl/>
        </w:rPr>
        <w:t xml:space="preserve">(4.5.2003) (להלן – </w:t>
      </w:r>
      <w:r w:rsidRPr="00BA006A">
        <w:rPr>
          <w:rFonts w:ascii="Times New Roman" w:hAnsi="Times New Roman" w:cs="David"/>
          <w:b/>
          <w:bCs/>
          <w:spacing w:val="0"/>
          <w:sz w:val="24"/>
          <w:szCs w:val="24"/>
          <w:rtl/>
        </w:rPr>
        <w:t>עניין מחאג'נה</w:t>
      </w:r>
      <w:r w:rsidRPr="00BA006A">
        <w:rPr>
          <w:rFonts w:cs="David"/>
          <w:b/>
          <w:bCs/>
          <w:sz w:val="24"/>
          <w:szCs w:val="24"/>
          <w:rtl/>
        </w:rPr>
        <w:t xml:space="preserve">); עניין </w:t>
      </w:r>
      <w:r w:rsidRPr="00BA006A">
        <w:rPr>
          <w:rFonts w:ascii="Times New Roman" w:hAnsi="Times New Roman" w:cs="David"/>
          <w:b/>
          <w:bCs/>
          <w:spacing w:val="0"/>
          <w:sz w:val="24"/>
          <w:szCs w:val="24"/>
          <w:rtl/>
        </w:rPr>
        <w:t>אלדרמן</w:t>
      </w:r>
      <w:r w:rsidRPr="00BA006A">
        <w:rPr>
          <w:rFonts w:cs="David"/>
          <w:b/>
          <w:bCs/>
          <w:sz w:val="24"/>
          <w:szCs w:val="24"/>
          <w:rtl/>
        </w:rPr>
        <w:t xml:space="preserve">, בעמ' 535-534; </w:t>
      </w:r>
      <w:hyperlink w:history="1" r:id="rId13">
        <w:r w:rsidRPr="00BA006A">
          <w:rPr>
            <w:rFonts w:cs="David"/>
            <w:b/>
            <w:bCs/>
            <w:sz w:val="24"/>
            <w:szCs w:val="24"/>
            <w:rtl/>
          </w:rPr>
          <w:t>רע"א 3879/05</w:t>
        </w:r>
      </w:hyperlink>
      <w:r w:rsidRPr="00BA006A">
        <w:rPr>
          <w:rFonts w:cs="David"/>
          <w:b/>
          <w:bCs/>
          <w:sz w:val="24"/>
          <w:szCs w:val="24"/>
          <w:rtl/>
        </w:rPr>
        <w:t xml:space="preserve"> </w:t>
      </w:r>
      <w:r w:rsidRPr="00BA006A">
        <w:rPr>
          <w:rFonts w:ascii="Times New Roman" w:hAnsi="Times New Roman" w:cs="David"/>
          <w:b/>
          <w:bCs/>
          <w:spacing w:val="0"/>
          <w:sz w:val="24"/>
          <w:szCs w:val="24"/>
          <w:rtl/>
        </w:rPr>
        <w:t>עיריית חדרה נ' חג'ג' אמריקה ישראל בע"מ, [פורסם בנבו]</w:t>
      </w:r>
      <w:r w:rsidRPr="00BA006A">
        <w:rPr>
          <w:rFonts w:cs="David"/>
          <w:b/>
          <w:bCs/>
          <w:sz w:val="24"/>
          <w:szCs w:val="24"/>
          <w:rtl/>
        </w:rPr>
        <w:t xml:space="preserve">, פיסקה ד(4) (12.7.2005)). </w:t>
      </w:r>
      <w:r w:rsidRPr="00BA006A">
        <w:rPr>
          <w:rFonts w:hint="cs" w:cs="David"/>
          <w:b/>
          <w:bCs/>
          <w:sz w:val="24"/>
          <w:szCs w:val="24"/>
          <w:rtl/>
        </w:rPr>
        <w:t>...</w:t>
      </w:r>
      <w:r w:rsidRPr="00BA006A">
        <w:rPr>
          <w:rFonts w:cs="David"/>
          <w:b/>
          <w:bCs/>
          <w:sz w:val="24"/>
          <w:szCs w:val="24"/>
          <w:rtl/>
        </w:rPr>
        <w:t xml:space="preserve"> אין ספק כי כאשר עוסקים אנו בהליכים "רגילים" המוגשים לערכאות השיפוט האזרחיות (בית משפט השלום או בית המשפט המחוזי), יש לבחון, ככלל, את הסמכות העניינית על פי מבחן הסעד.</w:t>
      </w:r>
      <w:r>
        <w:rPr>
          <w:rFonts w:hint="cs" w:cs="David"/>
          <w:sz w:val="24"/>
          <w:szCs w:val="24"/>
          <w:rtl/>
        </w:rPr>
        <w:t>"</w:t>
      </w:r>
    </w:p>
    <w:p w:rsidR="00BA006A" w:rsidP="00BA006A" w:rsidRDefault="008C64C8">
      <w:pPr>
        <w:spacing w:line="360" w:lineRule="auto"/>
        <w:jc w:val="both"/>
        <w:rPr>
          <w:rFonts w:hint="cs" w:ascii="Arial" w:hAnsi="Arial"/>
          <w:noProof w:val="0"/>
          <w:rtl/>
        </w:rPr>
      </w:pPr>
      <w:r>
        <w:rPr>
          <w:rFonts w:hint="cs" w:ascii="Arial" w:hAnsi="Arial"/>
          <w:noProof w:val="0"/>
          <w:rtl/>
        </w:rPr>
        <w:t>כפי שראינו לעיל, הסעד המבוקש על ידי המשיב-התובע הוא סעד של ערעור על תוכנה של שומת מס הכנסה ושינוי</w:t>
      </w:r>
      <w:r w:rsidR="005F27D5">
        <w:rPr>
          <w:rFonts w:hint="cs" w:ascii="Arial" w:hAnsi="Arial"/>
          <w:noProof w:val="0"/>
          <w:rtl/>
        </w:rPr>
        <w:t xml:space="preserve"> </w:t>
      </w:r>
      <w:r>
        <w:rPr>
          <w:rFonts w:hint="cs" w:ascii="Arial" w:hAnsi="Arial"/>
          <w:noProof w:val="0"/>
          <w:rtl/>
        </w:rPr>
        <w:t>ה</w:t>
      </w:r>
      <w:r w:rsidR="005F27D5">
        <w:rPr>
          <w:rFonts w:hint="cs" w:ascii="Arial" w:hAnsi="Arial"/>
          <w:noProof w:val="0"/>
          <w:rtl/>
        </w:rPr>
        <w:t>חיוב הגלום בה</w:t>
      </w:r>
      <w:r>
        <w:rPr>
          <w:rFonts w:hint="cs" w:ascii="Arial" w:hAnsi="Arial"/>
          <w:noProof w:val="0"/>
          <w:rtl/>
        </w:rPr>
        <w:t>.</w:t>
      </w:r>
    </w:p>
    <w:p w:rsidR="008C64C8" w:rsidP="00102B7F" w:rsidRDefault="008C64C8">
      <w:pPr>
        <w:spacing w:line="360" w:lineRule="auto"/>
        <w:jc w:val="both"/>
        <w:rPr>
          <w:rFonts w:hint="cs" w:ascii="Arial" w:hAnsi="Arial"/>
          <w:noProof w:val="0"/>
          <w:rtl/>
        </w:rPr>
      </w:pPr>
      <w:r>
        <w:rPr>
          <w:rFonts w:hint="cs" w:ascii="Arial" w:hAnsi="Arial"/>
          <w:noProof w:val="0"/>
          <w:rtl/>
        </w:rPr>
        <w:t>סעי</w:t>
      </w:r>
      <w:r w:rsidR="004D154E">
        <w:rPr>
          <w:rFonts w:hint="cs" w:ascii="Arial" w:hAnsi="Arial"/>
          <w:noProof w:val="0"/>
          <w:rtl/>
        </w:rPr>
        <w:t>פים 15</w:t>
      </w:r>
      <w:r w:rsidR="00102B7F">
        <w:rPr>
          <w:rFonts w:hint="cs" w:ascii="Arial" w:hAnsi="Arial"/>
          <w:noProof w:val="0"/>
          <w:rtl/>
        </w:rPr>
        <w:t>0</w:t>
      </w:r>
      <w:r w:rsidR="004D154E">
        <w:rPr>
          <w:rFonts w:hint="cs" w:ascii="Arial" w:hAnsi="Arial"/>
          <w:noProof w:val="0"/>
          <w:rtl/>
        </w:rPr>
        <w:t xml:space="preserve"> ו-</w:t>
      </w:r>
      <w:r>
        <w:rPr>
          <w:rFonts w:hint="cs" w:ascii="Arial" w:hAnsi="Arial"/>
          <w:noProof w:val="0"/>
          <w:rtl/>
        </w:rPr>
        <w:t>153</w:t>
      </w:r>
      <w:r w:rsidR="004D154E">
        <w:rPr>
          <w:rFonts w:hint="cs" w:ascii="Arial" w:hAnsi="Arial"/>
          <w:noProof w:val="0"/>
          <w:rtl/>
        </w:rPr>
        <w:t>(א)</w:t>
      </w:r>
      <w:r>
        <w:rPr>
          <w:rFonts w:hint="cs" w:ascii="Arial" w:hAnsi="Arial"/>
          <w:noProof w:val="0"/>
          <w:rtl/>
        </w:rPr>
        <w:t xml:space="preserve"> לפקודת מס הכנסה</w:t>
      </w:r>
      <w:r w:rsidR="004D154E">
        <w:rPr>
          <w:rFonts w:hint="cs" w:ascii="Arial" w:hAnsi="Arial"/>
          <w:noProof w:val="0"/>
          <w:rtl/>
        </w:rPr>
        <w:t xml:space="preserve"> (נוסח חדש)</w:t>
      </w:r>
      <w:r w:rsidR="00F30ABE">
        <w:rPr>
          <w:rFonts w:hint="cs" w:ascii="Arial" w:hAnsi="Arial"/>
          <w:noProof w:val="0"/>
          <w:rtl/>
        </w:rPr>
        <w:t xml:space="preserve"> קובע</w:t>
      </w:r>
      <w:r w:rsidR="004D154E">
        <w:rPr>
          <w:rFonts w:hint="cs" w:ascii="Arial" w:hAnsi="Arial"/>
          <w:noProof w:val="0"/>
          <w:rtl/>
        </w:rPr>
        <w:t xml:space="preserve">ים את המנגנון באמצעותו יכול נישום </w:t>
      </w:r>
      <w:r w:rsidR="00102B7F">
        <w:rPr>
          <w:rFonts w:hint="cs" w:ascii="Arial" w:hAnsi="Arial"/>
          <w:noProof w:val="0"/>
          <w:rtl/>
        </w:rPr>
        <w:t xml:space="preserve">החולק על שומת מס הכנסה שנקבעה לגביו </w:t>
      </w:r>
      <w:r w:rsidR="004D154E">
        <w:rPr>
          <w:rFonts w:hint="cs" w:ascii="Arial" w:hAnsi="Arial"/>
          <w:noProof w:val="0"/>
          <w:rtl/>
        </w:rPr>
        <w:t xml:space="preserve">להביא לבירור והכרעה טענות שיש בפיו כנגד </w:t>
      </w:r>
      <w:r w:rsidR="00102B7F">
        <w:rPr>
          <w:rFonts w:hint="cs" w:ascii="Arial" w:hAnsi="Arial"/>
          <w:noProof w:val="0"/>
          <w:rtl/>
        </w:rPr>
        <w:t>ה</w:t>
      </w:r>
      <w:r w:rsidR="004D154E">
        <w:rPr>
          <w:rFonts w:hint="cs" w:ascii="Arial" w:hAnsi="Arial"/>
          <w:noProof w:val="0"/>
          <w:rtl/>
        </w:rPr>
        <w:t>שומ</w:t>
      </w:r>
      <w:r w:rsidR="00102B7F">
        <w:rPr>
          <w:rFonts w:hint="cs" w:ascii="Arial" w:hAnsi="Arial"/>
          <w:noProof w:val="0"/>
          <w:rtl/>
        </w:rPr>
        <w:t>ה,</w:t>
      </w:r>
      <w:r w:rsidR="004D154E">
        <w:rPr>
          <w:rFonts w:hint="cs" w:ascii="Arial" w:hAnsi="Arial"/>
          <w:noProof w:val="0"/>
          <w:rtl/>
        </w:rPr>
        <w:t xml:space="preserve"> וזו לשונם </w:t>
      </w:r>
      <w:r w:rsidR="00F30ABE">
        <w:rPr>
          <w:rFonts w:ascii="Arial" w:hAnsi="Arial"/>
          <w:noProof w:val="0"/>
          <w:rtl/>
        </w:rPr>
        <w:t>–</w:t>
      </w:r>
    </w:p>
    <w:p w:rsidRPr="00102B7F" w:rsidR="00102B7F" w:rsidP="00102B7F" w:rsidRDefault="004D154E">
      <w:pPr>
        <w:pStyle w:val="P00"/>
        <w:spacing w:before="0" w:line="360" w:lineRule="auto"/>
        <w:ind w:left="1134" w:right="567" w:hanging="567"/>
        <w:rPr>
          <w:rFonts w:cs="David"/>
          <w:b/>
          <w:bCs/>
          <w:noProof w:val="0"/>
          <w:sz w:val="24"/>
          <w:szCs w:val="24"/>
          <w:rtl/>
        </w:rPr>
      </w:pPr>
      <w:r w:rsidRPr="00102B7F">
        <w:rPr>
          <w:rStyle w:val="default"/>
          <w:rFonts w:hint="cs" w:cs="David"/>
          <w:b/>
          <w:bCs/>
          <w:noProof w:val="0"/>
          <w:sz w:val="24"/>
          <w:szCs w:val="24"/>
          <w:rtl/>
        </w:rPr>
        <w:t>"</w:t>
      </w:r>
      <w:r w:rsidRPr="00102B7F" w:rsidR="00102B7F">
        <w:rPr>
          <w:rStyle w:val="default"/>
          <w:rFonts w:hint="cs" w:cs="David"/>
          <w:b/>
          <w:bCs/>
          <w:noProof w:val="0"/>
          <w:sz w:val="24"/>
          <w:szCs w:val="24"/>
          <w:rtl/>
        </w:rPr>
        <w:t>150.</w:t>
      </w:r>
      <w:r w:rsidRPr="00102B7F" w:rsidR="00102B7F">
        <w:rPr>
          <w:rFonts w:cs="David"/>
          <w:b/>
          <w:bCs/>
          <w:noProof w:val="0"/>
          <w:sz w:val="24"/>
          <w:szCs w:val="24"/>
          <w:rtl/>
        </w:rPr>
        <w:t>(א)</w:t>
      </w:r>
      <w:r w:rsidR="00102B7F">
        <w:rPr>
          <w:rFonts w:hint="cs" w:cs="David"/>
          <w:b/>
          <w:bCs/>
          <w:noProof w:val="0"/>
          <w:sz w:val="24"/>
          <w:szCs w:val="24"/>
          <w:rtl/>
        </w:rPr>
        <w:t xml:space="preserve"> </w:t>
      </w:r>
      <w:r w:rsidRPr="00102B7F" w:rsidR="00102B7F">
        <w:rPr>
          <w:rFonts w:cs="David"/>
          <w:b/>
          <w:bCs/>
          <w:noProof w:val="0"/>
          <w:sz w:val="24"/>
          <w:szCs w:val="24"/>
          <w:rtl/>
        </w:rPr>
        <w:t>היה אדם חולק על השומה, רשאי הוא לבקש מאת פקיד השומה, בהודעת השגה, בכתב, לחזור ולעין ולשנות את השומה; בקשה כאמור תפרש בדיוק את הנימוקים להשגה על השומה ותוגש תוך שלושים יום מיום המצאת הודעת השומה, אלא שאם הוכח להנחת דעתו של פקיד השומה, שהאדם החולק על השומה היה מנוע מהגיש את הבקשה תוך המועד האמור, משום שהיה נעדר מן הארץ או חולה או מכל סיבה סבירה אחרת, רשאי הוא להאריך את המועד ככל שנראה סביר לפי הנסיבות.</w:t>
      </w:r>
    </w:p>
    <w:p w:rsidRPr="00102B7F" w:rsidR="00102B7F" w:rsidP="00102B7F" w:rsidRDefault="00102B7F">
      <w:pPr>
        <w:pStyle w:val="P00"/>
        <w:spacing w:before="0" w:line="360" w:lineRule="auto"/>
        <w:ind w:left="1134" w:right="567" w:hanging="567"/>
        <w:rPr>
          <w:rStyle w:val="default"/>
          <w:rFonts w:cs="David"/>
          <w:b/>
          <w:bCs/>
          <w:noProof w:val="0"/>
          <w:sz w:val="24"/>
          <w:szCs w:val="24"/>
          <w:rtl/>
        </w:rPr>
      </w:pPr>
      <w:r w:rsidRPr="00102B7F">
        <w:rPr>
          <w:rFonts w:hint="cs" w:cs="David"/>
          <w:b/>
          <w:bCs/>
          <w:noProof w:val="0"/>
          <w:sz w:val="24"/>
          <w:szCs w:val="24"/>
          <w:rtl/>
        </w:rPr>
        <w:t>...</w:t>
      </w:r>
    </w:p>
    <w:p w:rsidRPr="004D154E" w:rsidR="004D154E" w:rsidP="00102B7F" w:rsidRDefault="00102B7F">
      <w:pPr>
        <w:pStyle w:val="P00"/>
        <w:tabs>
          <w:tab w:val="clear" w:pos="624"/>
          <w:tab w:val="left" w:pos="1134"/>
        </w:tabs>
        <w:spacing w:before="0" w:line="360" w:lineRule="auto"/>
        <w:ind w:left="1134" w:right="567" w:hanging="567"/>
        <w:rPr>
          <w:rStyle w:val="default"/>
          <w:rFonts w:cs="David"/>
          <w:noProof w:val="0"/>
          <w:sz w:val="24"/>
          <w:szCs w:val="24"/>
          <w:rtl/>
        </w:rPr>
      </w:pPr>
      <w:r w:rsidRPr="00102B7F">
        <w:rPr>
          <w:rStyle w:val="default"/>
          <w:rFonts w:hint="cs" w:cs="David"/>
          <w:b/>
          <w:bCs/>
          <w:noProof w:val="0"/>
          <w:sz w:val="24"/>
          <w:szCs w:val="24"/>
          <w:rtl/>
        </w:rPr>
        <w:t xml:space="preserve">153 (א) </w:t>
      </w:r>
      <w:r w:rsidRPr="00102B7F" w:rsidR="004D154E">
        <w:rPr>
          <w:rStyle w:val="default"/>
          <w:rFonts w:cs="David"/>
          <w:b/>
          <w:bCs/>
          <w:noProof w:val="0"/>
          <w:sz w:val="24"/>
          <w:szCs w:val="24"/>
          <w:rtl/>
        </w:rPr>
        <w:t>מי שרואה עצמו מקופח על ידי החלטת פקיד השומה על פי סעיף 152(ב), רשאי</w:t>
      </w:r>
      <w:r w:rsidRPr="004D154E" w:rsidR="004D154E">
        <w:rPr>
          <w:rStyle w:val="default"/>
          <w:rFonts w:cs="David"/>
          <w:b/>
          <w:bCs/>
          <w:noProof w:val="0"/>
          <w:sz w:val="24"/>
          <w:szCs w:val="24"/>
          <w:rtl/>
        </w:rPr>
        <w:t xml:space="preserve"> לערער לפני בית המשפט המחוזי, שבאזור שיפוטו פעל פקיד השומה.</w:t>
      </w:r>
      <w:r w:rsidR="004D154E">
        <w:rPr>
          <w:rStyle w:val="default"/>
          <w:rFonts w:hint="cs" w:cs="David"/>
          <w:noProof w:val="0"/>
          <w:sz w:val="24"/>
          <w:szCs w:val="24"/>
          <w:rtl/>
        </w:rPr>
        <w:t>"</w:t>
      </w:r>
    </w:p>
    <w:p w:rsidR="00F30ABE" w:rsidP="00BA006A" w:rsidRDefault="00102B7F">
      <w:pPr>
        <w:spacing w:line="360" w:lineRule="auto"/>
        <w:jc w:val="both"/>
        <w:rPr>
          <w:rFonts w:ascii="Arial" w:hAnsi="Arial"/>
          <w:noProof w:val="0"/>
          <w:rtl/>
        </w:rPr>
      </w:pPr>
      <w:r>
        <w:rPr>
          <w:rFonts w:hint="cs" w:ascii="Arial" w:hAnsi="Arial"/>
          <w:noProof w:val="0"/>
          <w:rtl/>
        </w:rPr>
        <w:lastRenderedPageBreak/>
        <w:t>הנה כי כן, המנגנון</w:t>
      </w:r>
      <w:r w:rsidR="00C5642E">
        <w:rPr>
          <w:rFonts w:hint="cs" w:ascii="Arial" w:hAnsi="Arial"/>
          <w:noProof w:val="0"/>
          <w:rtl/>
        </w:rPr>
        <w:t xml:space="preserve"> לתקיפת שומה</w:t>
      </w:r>
      <w:r>
        <w:rPr>
          <w:rFonts w:hint="cs" w:ascii="Arial" w:hAnsi="Arial"/>
          <w:noProof w:val="0"/>
          <w:rtl/>
        </w:rPr>
        <w:t xml:space="preserve"> עובר דרך השגה לפני פקיד השומה (</w:t>
      </w:r>
      <w:r w:rsidR="005F27D5">
        <w:rPr>
          <w:rFonts w:hint="cs" w:ascii="Arial" w:hAnsi="Arial"/>
          <w:noProof w:val="0"/>
          <w:rtl/>
        </w:rPr>
        <w:t xml:space="preserve">כאשר </w:t>
      </w:r>
      <w:r>
        <w:rPr>
          <w:rFonts w:hint="cs" w:ascii="Arial" w:hAnsi="Arial"/>
          <w:noProof w:val="0"/>
          <w:rtl/>
        </w:rPr>
        <w:t xml:space="preserve">סעיף 150א לפקודה קובע כי </w:t>
      </w:r>
      <w:r w:rsidR="00C5642E">
        <w:rPr>
          <w:rFonts w:hint="cs" w:ascii="Arial" w:hAnsi="Arial"/>
          <w:noProof w:val="0"/>
          <w:rtl/>
        </w:rPr>
        <w:t>לא ידון בהשגה מי שערך את השומה)</w:t>
      </w:r>
      <w:r w:rsidR="005F27D5">
        <w:rPr>
          <w:rFonts w:hint="cs" w:ascii="Arial" w:hAnsi="Arial"/>
          <w:noProof w:val="0"/>
          <w:rtl/>
        </w:rPr>
        <w:t>,</w:t>
      </w:r>
      <w:r w:rsidR="00C5642E">
        <w:rPr>
          <w:rFonts w:hint="cs" w:ascii="Arial" w:hAnsi="Arial"/>
          <w:noProof w:val="0"/>
          <w:rtl/>
        </w:rPr>
        <w:t xml:space="preserve"> ו</w:t>
      </w:r>
      <w:r w:rsidR="005F27D5">
        <w:rPr>
          <w:rFonts w:hint="cs" w:ascii="Arial" w:hAnsi="Arial"/>
          <w:noProof w:val="0"/>
          <w:rtl/>
        </w:rPr>
        <w:t xml:space="preserve">במידה שהנישום חש כי ההחלטה בהשגה פגעה בו </w:t>
      </w:r>
      <w:r w:rsidR="005F27D5">
        <w:rPr>
          <w:rFonts w:ascii="Arial" w:hAnsi="Arial"/>
          <w:noProof w:val="0"/>
          <w:rtl/>
        </w:rPr>
        <w:t>–</w:t>
      </w:r>
      <w:r w:rsidR="005F27D5">
        <w:rPr>
          <w:rFonts w:hint="cs" w:ascii="Arial" w:hAnsi="Arial"/>
          <w:noProof w:val="0"/>
          <w:rtl/>
        </w:rPr>
        <w:t xml:space="preserve"> דרך </w:t>
      </w:r>
      <w:r w:rsidR="00C5642E">
        <w:rPr>
          <w:rFonts w:hint="cs" w:ascii="Arial" w:hAnsi="Arial"/>
          <w:noProof w:val="0"/>
          <w:rtl/>
        </w:rPr>
        <w:t>ערעור על ההחלטה לפני בית המשפט המחוזי.</w:t>
      </w:r>
    </w:p>
    <w:p w:rsidR="00C5642E" w:rsidP="005F27D5" w:rsidRDefault="001E6FD2">
      <w:pPr>
        <w:spacing w:line="360" w:lineRule="auto"/>
        <w:jc w:val="both"/>
        <w:rPr>
          <w:rFonts w:hint="cs" w:ascii="Arial" w:hAnsi="Arial"/>
          <w:noProof w:val="0"/>
          <w:rtl/>
        </w:rPr>
      </w:pPr>
      <w:r>
        <w:rPr>
          <w:rFonts w:hint="cs" w:ascii="Arial" w:hAnsi="Arial"/>
          <w:noProof w:val="0"/>
          <w:rtl/>
        </w:rPr>
        <w:t xml:space="preserve">אשר לאפשרות לתקוף שומה בערוצים משפטיים נוספים או מקבילים קבע בית המשפט העליון בע"א 3901/11 </w:t>
      </w:r>
      <w:r w:rsidRPr="003E5302">
        <w:rPr>
          <w:rFonts w:hint="cs" w:ascii="Arial" w:hAnsi="Arial"/>
          <w:b/>
          <w:bCs/>
          <w:noProof w:val="0"/>
          <w:rtl/>
        </w:rPr>
        <w:t>דוד מחקשווילי נ' רשות המיסים בישראל</w:t>
      </w:r>
      <w:r>
        <w:rPr>
          <w:rFonts w:hint="cs" w:ascii="Arial" w:hAnsi="Arial"/>
          <w:noProof w:val="0"/>
          <w:rtl/>
        </w:rPr>
        <w:t xml:space="preserve"> (7.8.2012, פסקה ב' לחוות דעת כב' השופט (כתוארו אז) אליקים רובינשטיין)</w:t>
      </w:r>
      <w:r w:rsidR="005F27D5">
        <w:rPr>
          <w:rFonts w:hint="cs" w:ascii="Arial" w:hAnsi="Arial"/>
          <w:noProof w:val="0"/>
          <w:rtl/>
        </w:rPr>
        <w:t>,</w:t>
      </w:r>
      <w:r>
        <w:rPr>
          <w:rFonts w:hint="cs" w:ascii="Arial" w:hAnsi="Arial"/>
          <w:noProof w:val="0"/>
          <w:rtl/>
        </w:rPr>
        <w:t xml:space="preserve"> בהמשך לפסיקה רבה וארוכת שנים</w:t>
      </w:r>
      <w:r w:rsidR="005F27D5">
        <w:rPr>
          <w:rFonts w:hint="cs" w:ascii="Arial" w:hAnsi="Arial"/>
          <w:noProof w:val="0"/>
          <w:rtl/>
        </w:rPr>
        <w:t>,</w:t>
      </w:r>
      <w:r>
        <w:rPr>
          <w:rFonts w:hint="cs" w:ascii="Arial" w:hAnsi="Arial"/>
          <w:noProof w:val="0"/>
          <w:rtl/>
        </w:rPr>
        <w:t xml:space="preserve"> כי</w:t>
      </w:r>
      <w:r w:rsidR="003E5302">
        <w:rPr>
          <w:rFonts w:hint="cs" w:ascii="Arial" w:hAnsi="Arial"/>
          <w:noProof w:val="0"/>
          <w:rtl/>
        </w:rPr>
        <w:t xml:space="preserve"> אין לאפשר </w:t>
      </w:r>
      <w:r w:rsidR="005F27D5">
        <w:rPr>
          <w:rFonts w:hint="cs" w:ascii="Arial" w:hAnsi="Arial"/>
          <w:noProof w:val="0"/>
          <w:rtl/>
        </w:rPr>
        <w:t>קיומם של ערוצ</w:t>
      </w:r>
      <w:r w:rsidR="003E5302">
        <w:rPr>
          <w:rFonts w:hint="cs" w:ascii="Arial" w:hAnsi="Arial"/>
          <w:noProof w:val="0"/>
          <w:rtl/>
        </w:rPr>
        <w:t>ים שכאלה, ובלשונו</w:t>
      </w:r>
      <w:r>
        <w:rPr>
          <w:rFonts w:hint="cs" w:ascii="Arial" w:hAnsi="Arial"/>
          <w:noProof w:val="0"/>
          <w:rtl/>
        </w:rPr>
        <w:t xml:space="preserve"> </w:t>
      </w:r>
      <w:r>
        <w:rPr>
          <w:rFonts w:ascii="Arial" w:hAnsi="Arial"/>
          <w:noProof w:val="0"/>
          <w:rtl/>
        </w:rPr>
        <w:t>–</w:t>
      </w:r>
    </w:p>
    <w:p w:rsidRPr="001E6FD2" w:rsidR="001E6FD2" w:rsidP="001E6FD2" w:rsidRDefault="001E6FD2">
      <w:pPr>
        <w:spacing w:line="360" w:lineRule="auto"/>
        <w:ind w:left="567" w:right="567"/>
        <w:jc w:val="both"/>
        <w:rPr>
          <w:rFonts w:ascii="Arial" w:hAnsi="Arial"/>
          <w:b/>
          <w:bCs/>
          <w:noProof w:val="0"/>
          <w:rtl/>
        </w:rPr>
      </w:pPr>
      <w:r>
        <w:rPr>
          <w:rFonts w:hint="cs"/>
          <w:rtl/>
        </w:rPr>
        <w:t>"</w:t>
      </w:r>
      <w:r w:rsidRPr="001E6FD2">
        <w:rPr>
          <w:b/>
          <w:bCs/>
          <w:rtl/>
        </w:rPr>
        <w:t>עלינו לומר בקול צלול, כי אין כעיקרון מקום לפתוח מסלולי השגה בענייני מס שלא בדרכים הקבועות ב</w:t>
      </w:r>
      <w:hyperlink w:history="1" r:id="rId14">
        <w:r w:rsidRPr="001E6FD2">
          <w:rPr>
            <w:rStyle w:val="Hyperlink"/>
            <w:b/>
            <w:bCs/>
            <w:color w:val="auto"/>
            <w:u w:val="none"/>
            <w:rtl/>
          </w:rPr>
          <w:t>פקודת מס הכנסה</w:t>
        </w:r>
      </w:hyperlink>
      <w:r w:rsidRPr="001E6FD2">
        <w:rPr>
          <w:b/>
          <w:bCs/>
          <w:rtl/>
        </w:rPr>
        <w:t xml:space="preserve"> (נוסח חדש), ב</w:t>
      </w:r>
      <w:hyperlink w:history="1" r:id="rId15">
        <w:r w:rsidRPr="001E6FD2">
          <w:rPr>
            <w:rStyle w:val="Hyperlink"/>
            <w:b/>
            <w:bCs/>
            <w:color w:val="auto"/>
            <w:u w:val="none"/>
            <w:rtl/>
          </w:rPr>
          <w:t>פקודת המסים (גביה)</w:t>
        </w:r>
      </w:hyperlink>
      <w:r w:rsidRPr="001E6FD2">
        <w:rPr>
          <w:b/>
          <w:bCs/>
          <w:rtl/>
        </w:rPr>
        <w:t xml:space="preserve"> ובהליכים מקבילים בתחום המסים; שם מקומם הגיאומטרי והטבעי של הליכי מס, ועל הפרשנות השיפוטית לתמוך בגישה זו, כפי שנעשה הן ב</w:t>
      </w:r>
      <w:hyperlink w:history="1" r:id="rId16">
        <w:r w:rsidRPr="001E6FD2">
          <w:rPr>
            <w:b/>
            <w:bCs/>
            <w:rtl/>
          </w:rPr>
          <w:t>בג"צ 3486/09</w:t>
        </w:r>
      </w:hyperlink>
      <w:r w:rsidRPr="001E6FD2">
        <w:rPr>
          <w:b/>
          <w:bCs/>
          <w:rtl/>
        </w:rPr>
        <w:t xml:space="preserve"> </w:t>
      </w:r>
      <w:r w:rsidRPr="001E6FD2">
        <w:rPr>
          <w:rFonts w:cs="Miriam"/>
          <w:b/>
          <w:bCs/>
          <w:sz w:val="28"/>
          <w:rtl/>
        </w:rPr>
        <w:t>סגל נ' פקיד שומה רחובות</w:t>
      </w:r>
      <w:r w:rsidRPr="001E6FD2">
        <w:rPr>
          <w:b/>
          <w:bCs/>
          <w:rtl/>
        </w:rPr>
        <w:t xml:space="preserve"> (לא פורסם) [פורסם בנבו]  והן ב</w:t>
      </w:r>
      <w:hyperlink w:history="1" r:id="rId17">
        <w:r w:rsidRPr="001E6FD2">
          <w:rPr>
            <w:b/>
            <w:bCs/>
            <w:rtl/>
          </w:rPr>
          <w:t>ע"א 9168/06</w:t>
        </w:r>
      </w:hyperlink>
      <w:r w:rsidRPr="001E6FD2">
        <w:rPr>
          <w:b/>
          <w:bCs/>
          <w:rtl/>
        </w:rPr>
        <w:t xml:space="preserve"> </w:t>
      </w:r>
      <w:r w:rsidRPr="001E6FD2">
        <w:rPr>
          <w:rFonts w:cs="Miriam"/>
          <w:b/>
          <w:bCs/>
          <w:sz w:val="28"/>
          <w:rtl/>
        </w:rPr>
        <w:t>יזדי נ' פקיד שומה 3, ירושלים</w:t>
      </w:r>
      <w:r w:rsidRPr="001E6FD2">
        <w:rPr>
          <w:b/>
          <w:bCs/>
          <w:rtl/>
        </w:rPr>
        <w:t xml:space="preserve"> (לא פורסם) [פורסם בנבו] ; ראו יוסף מ' אדרעי, </w:t>
      </w:r>
      <w:r w:rsidRPr="001E6FD2">
        <w:rPr>
          <w:rFonts w:cs="Miriam"/>
          <w:b/>
          <w:bCs/>
          <w:sz w:val="28"/>
          <w:rtl/>
        </w:rPr>
        <w:t>מבוא לתורת המסים</w:t>
      </w:r>
      <w:r w:rsidRPr="001E6FD2">
        <w:rPr>
          <w:b/>
          <w:bCs/>
          <w:rtl/>
        </w:rPr>
        <w:t xml:space="preserve"> (תשס"ט-2008), 321-316. אין כל טובה יכולה לצמוח מיצירת מסלולים נוספים, אם בג"ציים ואם אזרחיים, הן מבחינת המומחיות והן מבחינת היעילות; שעה שבתי המשפט מתאמצים לייעל את עבודתם, ריבוי מסלולים ישיג את המטרה ההפוכה.</w:t>
      </w:r>
      <w:r>
        <w:rPr>
          <w:rFonts w:hint="cs" w:ascii="Arial" w:hAnsi="Arial"/>
          <w:b/>
          <w:bCs/>
          <w:noProof w:val="0"/>
          <w:rtl/>
        </w:rPr>
        <w:t>"</w:t>
      </w:r>
    </w:p>
    <w:p w:rsidR="00694556" w:rsidP="005F27D5" w:rsidRDefault="003E5302">
      <w:pPr>
        <w:spacing w:line="360" w:lineRule="auto"/>
        <w:jc w:val="both"/>
        <w:rPr>
          <w:rFonts w:hint="cs" w:ascii="Arial" w:hAnsi="Arial"/>
          <w:noProof w:val="0"/>
          <w:rtl/>
        </w:rPr>
      </w:pPr>
      <w:r>
        <w:rPr>
          <w:rFonts w:hint="cs" w:ascii="Arial" w:hAnsi="Arial"/>
          <w:noProof w:val="0"/>
          <w:rtl/>
        </w:rPr>
        <w:t xml:space="preserve">נמצא כי הערוץ היחיד הראוי למתן הסעד לו עותר התובע בתובענה זו עובר דרך הגשת השגה על השומה ובמידה שיחלוק על ההחלטה בהשגה </w:t>
      </w:r>
      <w:r w:rsidR="005F27D5">
        <w:rPr>
          <w:rFonts w:ascii="Arial" w:hAnsi="Arial"/>
          <w:noProof w:val="0"/>
          <w:rtl/>
        </w:rPr>
        <w:t>–</w:t>
      </w:r>
      <w:r w:rsidR="005F27D5">
        <w:rPr>
          <w:rFonts w:hint="cs" w:ascii="Arial" w:hAnsi="Arial"/>
          <w:noProof w:val="0"/>
          <w:rtl/>
        </w:rPr>
        <w:t xml:space="preserve"> דרך </w:t>
      </w:r>
      <w:r>
        <w:rPr>
          <w:rFonts w:hint="cs" w:ascii="Arial" w:hAnsi="Arial"/>
          <w:noProof w:val="0"/>
          <w:rtl/>
        </w:rPr>
        <w:t>הגשת ערעור לבית המשפט המחוזי שבתחום שיפוטו פועל פקיד השומה הרלוונטי, הא ותו לא.</w:t>
      </w:r>
    </w:p>
    <w:p w:rsidR="003E5302" w:rsidRDefault="003E5302">
      <w:pPr>
        <w:spacing w:line="360" w:lineRule="auto"/>
        <w:jc w:val="both"/>
        <w:rPr>
          <w:rFonts w:ascii="Arial" w:hAnsi="Arial"/>
          <w:noProof w:val="0"/>
          <w:rtl/>
        </w:rPr>
      </w:pPr>
      <w:r>
        <w:rPr>
          <w:rFonts w:hint="cs" w:ascii="Arial" w:hAnsi="Arial"/>
          <w:noProof w:val="0"/>
          <w:rtl/>
        </w:rPr>
        <w:t>ברי, איפוא, כי הסמכות העניינית להענקת הסעד המבוקש על ידי התובעת בתובענה מסורה לבית המשפט המחוזי ולא לבית משפט זה.</w:t>
      </w:r>
    </w:p>
    <w:p w:rsidR="001A0F7A" w:rsidP="001A0F7A" w:rsidRDefault="003E5302">
      <w:pPr>
        <w:spacing w:line="360" w:lineRule="auto"/>
        <w:jc w:val="both"/>
        <w:rPr>
          <w:rFonts w:ascii="Arial" w:hAnsi="Arial"/>
          <w:noProof w:val="0"/>
          <w:rtl/>
        </w:rPr>
      </w:pPr>
      <w:r>
        <w:rPr>
          <w:rFonts w:hint="cs" w:ascii="Arial" w:hAnsi="Arial"/>
          <w:noProof w:val="0"/>
          <w:rtl/>
        </w:rPr>
        <w:t xml:space="preserve">אמנם סעיף 79(א) לחוק בתי המשפט </w:t>
      </w:r>
      <w:r w:rsidR="001A0F7A">
        <w:rPr>
          <w:rFonts w:hint="cs" w:ascii="Arial" w:hAnsi="Arial"/>
          <w:noProof w:val="0"/>
          <w:rtl/>
        </w:rPr>
        <w:t xml:space="preserve">(נוסח משולב), התשמ"ד </w:t>
      </w:r>
      <w:r w:rsidR="001A0F7A">
        <w:rPr>
          <w:rFonts w:ascii="Arial" w:hAnsi="Arial"/>
          <w:noProof w:val="0"/>
          <w:rtl/>
        </w:rPr>
        <w:t>–</w:t>
      </w:r>
      <w:r w:rsidR="001A0F7A">
        <w:rPr>
          <w:rFonts w:hint="cs" w:ascii="Arial" w:hAnsi="Arial"/>
          <w:noProof w:val="0"/>
          <w:rtl/>
        </w:rPr>
        <w:t xml:space="preserve"> 1984 קובע כי בית המשפט המוצא כי ענין שהונח לפניו אינו בסמכותו רשאי להעביר ענין זה לבית המשפט המוסמך, אולם סבורני כי אין זה המקרה בו יש לעשות כן באשר התובע עצמו מבהיר בתובענתו כי החוב שמקורו בשומה שהוא מבקש לתקוף הוא בן 23 שנים וכי ההסכם עם הנתבע לפרעונו נחתם בשנת 1992</w:t>
      </w:r>
      <w:r w:rsidR="005F27D5">
        <w:rPr>
          <w:rFonts w:hint="cs" w:ascii="Arial" w:hAnsi="Arial"/>
          <w:noProof w:val="0"/>
          <w:rtl/>
        </w:rPr>
        <w:t>,</w:t>
      </w:r>
      <w:bookmarkStart w:name="_GoBack" w:id="1"/>
      <w:bookmarkEnd w:id="1"/>
      <w:r w:rsidR="00E65D4A">
        <w:rPr>
          <w:rFonts w:hint="cs" w:ascii="Arial" w:hAnsi="Arial"/>
          <w:noProof w:val="0"/>
          <w:rtl/>
        </w:rPr>
        <w:t xml:space="preserve"> ואין הוא טוען בשום מקום כי הגיש השגה על השומה</w:t>
      </w:r>
      <w:r w:rsidR="001A0F7A">
        <w:rPr>
          <w:rFonts w:hint="cs" w:ascii="Arial" w:hAnsi="Arial"/>
          <w:noProof w:val="0"/>
          <w:rtl/>
        </w:rPr>
        <w:t>.</w:t>
      </w:r>
    </w:p>
    <w:p w:rsidR="001A0F7A" w:rsidP="00E65D4A" w:rsidRDefault="001A0F7A">
      <w:pPr>
        <w:spacing w:line="360" w:lineRule="auto"/>
        <w:jc w:val="both"/>
        <w:rPr>
          <w:rFonts w:ascii="Arial" w:hAnsi="Arial"/>
          <w:noProof w:val="0"/>
          <w:rtl/>
        </w:rPr>
      </w:pPr>
      <w:r>
        <w:rPr>
          <w:rFonts w:hint="cs" w:ascii="Arial" w:hAnsi="Arial"/>
          <w:noProof w:val="0"/>
          <w:rtl/>
        </w:rPr>
        <w:t xml:space="preserve">בהקשר זה טען הנתבע בבקשתו כי הזכות להגיש השגה או ערעור על השומה התיישנה וכי גם מסיבה זו דין התובענה </w:t>
      </w:r>
      <w:r w:rsidR="00E65D4A">
        <w:rPr>
          <w:rFonts w:ascii="Arial" w:hAnsi="Arial"/>
          <w:noProof w:val="0"/>
          <w:rtl/>
        </w:rPr>
        <w:t>–</w:t>
      </w:r>
      <w:r w:rsidR="00E65D4A">
        <w:rPr>
          <w:rFonts w:hint="cs" w:ascii="Arial" w:hAnsi="Arial"/>
          <w:noProof w:val="0"/>
          <w:rtl/>
        </w:rPr>
        <w:t xml:space="preserve"> סילוק</w:t>
      </w:r>
      <w:r>
        <w:rPr>
          <w:rFonts w:hint="cs" w:ascii="Arial" w:hAnsi="Arial"/>
          <w:noProof w:val="0"/>
          <w:rtl/>
        </w:rPr>
        <w:t xml:space="preserve"> על הסף</w:t>
      </w:r>
      <w:r w:rsidR="00E65D4A">
        <w:rPr>
          <w:rFonts w:hint="cs" w:ascii="Arial" w:hAnsi="Arial"/>
          <w:noProof w:val="0"/>
          <w:rtl/>
        </w:rPr>
        <w:t>, ועל כן אין מקום להעביר תובענה זו לבית המשפט המחוזי</w:t>
      </w:r>
      <w:r>
        <w:rPr>
          <w:rFonts w:hint="cs" w:ascii="Arial" w:hAnsi="Arial"/>
          <w:noProof w:val="0"/>
          <w:rtl/>
        </w:rPr>
        <w:t>.</w:t>
      </w:r>
    </w:p>
    <w:p w:rsidR="00E65D4A" w:rsidP="00966CBD" w:rsidRDefault="00E65D4A">
      <w:pPr>
        <w:spacing w:line="360" w:lineRule="auto"/>
        <w:jc w:val="both"/>
        <w:rPr>
          <w:rFonts w:ascii="Arial" w:hAnsi="Arial"/>
          <w:noProof w:val="0"/>
          <w:rtl/>
        </w:rPr>
      </w:pPr>
      <w:r>
        <w:rPr>
          <w:rFonts w:hint="cs" w:ascii="Arial" w:hAnsi="Arial"/>
          <w:noProof w:val="0"/>
          <w:rtl/>
        </w:rPr>
        <w:t>הפועל היוצא מן האמור לעיל הוא כי התביעה נ</w:t>
      </w:r>
      <w:r w:rsidR="00966CBD">
        <w:rPr>
          <w:rFonts w:hint="cs" w:ascii="Arial" w:hAnsi="Arial"/>
          <w:noProof w:val="0"/>
          <w:rtl/>
        </w:rPr>
        <w:t>דחי</w:t>
      </w:r>
      <w:r>
        <w:rPr>
          <w:rFonts w:hint="cs" w:ascii="Arial" w:hAnsi="Arial"/>
          <w:noProof w:val="0"/>
          <w:rtl/>
        </w:rPr>
        <w:t xml:space="preserve">ת בזאת על הסף. </w:t>
      </w:r>
    </w:p>
    <w:p w:rsidRPr="00DE1E7D" w:rsidR="003E5302" w:rsidP="001A0F7A" w:rsidRDefault="00966CBD">
      <w:pPr>
        <w:spacing w:line="360" w:lineRule="auto"/>
        <w:jc w:val="both"/>
        <w:rPr>
          <w:rFonts w:ascii="Arial" w:hAnsi="Arial"/>
          <w:noProof w:val="0"/>
          <w:rtl/>
        </w:rPr>
      </w:pPr>
      <w:r>
        <w:rPr>
          <w:rFonts w:hint="cs" w:ascii="Arial" w:hAnsi="Arial"/>
          <w:noProof w:val="0"/>
          <w:rtl/>
        </w:rPr>
        <w:t>לפנים משורת הדין ובשים לב למצבו הנטען של התובע אינני עושה צו להוצאות.</w:t>
      </w:r>
    </w:p>
    <w:p w:rsidR="00694556" w:rsidRDefault="00694556">
      <w:pPr>
        <w:spacing w:line="360" w:lineRule="auto"/>
        <w:jc w:val="both"/>
        <w:rPr>
          <w:rFonts w:ascii="Arial" w:hAnsi="Arial"/>
          <w:noProof w:val="0"/>
          <w:rtl/>
        </w:rPr>
      </w:pPr>
    </w:p>
    <w:p w:rsidRPr="00DE1E7D" w:rsidR="00966CBD" w:rsidRDefault="00966CBD">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כ"ד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09 אפריל 2018</w:t>
          </w:r>
        </w:sdtContent>
      </w:sdt>
      <w:r w:rsidR="00005C8B">
        <w:rPr>
          <w:rFonts w:ascii="Arial" w:hAnsi="Arial"/>
          <w:noProof w:val="0"/>
          <w:rtl/>
        </w:rPr>
        <w:t>, בהעדר הצדדים.</w:t>
      </w:r>
    </w:p>
    <w:p w:rsidR="00C43648" w:rsidP="00BD6531" w:rsidRDefault="003B642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941832" cy="630936"/>
                  <wp:effectExtent l="0" t="0" r="0" b="0"/>
                  <wp:docPr id="1" name="Picture 1"/>
                  <wp:cNvGraphicFramePr>
                    <a:graphicFrameLocks noChangeAspect="1"/>
                  </wp:cNvGraphicFramePr>
                  <a:graphic>
                    <a:graphicData uri="http://schemas.openxmlformats.org/drawingml/2006/picture">
                      <pic:pic>
                        <pic:nvPicPr>
                          <pic:cNvPr id="0" name="Image1237.jpg"/>
                          <pic:cNvPicPr/>
                        </pic:nvPicPr>
                        <pic:blipFill>
                          <a:blip r:embed="R3c40b58213a14860" cstate="print">
                            <a:extLst>
                              <a:ext uri="{28A0092B-C50C-407E-A947-70E740481C1C}"/>
                            </a:extLst>
                          </a:blip>
                          <a:stretch>
                            <a:fillRect/>
                          </a:stretch>
                        </pic:blipFill>
                        <pic:spPr>
                          <a:xfrm>
                            <a:off x="0" y="0"/>
                            <a:ext cx="941832" cy="630936"/>
                          </a:xfrm>
                          <a:prstGeom prst="rect">
                            <a:avLst/>
                          </a:prstGeom>
                        </pic:spPr>
                      </pic:pic>
                    </a:graphicData>
                  </a:graphic>
                </wp:inline>
              </w:drawing>
            </w:r>
          </w:p>
        </w:sdtContent>
      </w:sdt>
    </w:p>
    <w:sectPr w:rsidR="00694556" w:rsidSect="00FD614A">
      <w:headerReference w:type="default" r:id="rId18"/>
      <w:footerReference w:type="default" r:id="rId19"/>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B6421">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B6421">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6421">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FD614A">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בנתניה</w:t>
              </w:r>
            </w:p>
          </w:tc>
        </w:sdtContent>
      </w:sdt>
    </w:tr>
    <w:tr w:rsidR="00694556" w:rsidTr="00FD614A">
      <w:trPr>
        <w:trHeight w:val="337"/>
        <w:jc w:val="center"/>
      </w:trPr>
      <w:tc>
        <w:tcPr>
          <w:tcW w:w="8505" w:type="dxa"/>
        </w:tcPr>
        <w:p w:rsidRPr="00FD614A" w:rsidR="008D10B2" w:rsidP="00FD614A" w:rsidRDefault="003B6421">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48157-06-17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גאבר נ' מס הכנסה - פקיד שומה נתניה</w:t>
              </w:r>
            </w:sdtContent>
          </w:sdt>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2FE7"/>
    <w:rsid w:val="000C3B0F"/>
    <w:rsid w:val="000C3B60"/>
    <w:rsid w:val="000E0DD2"/>
    <w:rsid w:val="000E3AF1"/>
    <w:rsid w:val="000F0BC8"/>
    <w:rsid w:val="000F0DD6"/>
    <w:rsid w:val="00102B7F"/>
    <w:rsid w:val="00107E6D"/>
    <w:rsid w:val="0011194C"/>
    <w:rsid w:val="0011424C"/>
    <w:rsid w:val="001173C6"/>
    <w:rsid w:val="001367BC"/>
    <w:rsid w:val="00144D2A"/>
    <w:rsid w:val="0014653E"/>
    <w:rsid w:val="00180519"/>
    <w:rsid w:val="00191C82"/>
    <w:rsid w:val="00195B97"/>
    <w:rsid w:val="001A0F7A"/>
    <w:rsid w:val="001C4003"/>
    <w:rsid w:val="001D4DBF"/>
    <w:rsid w:val="001E6FD2"/>
    <w:rsid w:val="001E75CA"/>
    <w:rsid w:val="002265FF"/>
    <w:rsid w:val="00271B56"/>
    <w:rsid w:val="002A7434"/>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B6421"/>
    <w:rsid w:val="003D1C8C"/>
    <w:rsid w:val="003E5302"/>
    <w:rsid w:val="0040096C"/>
    <w:rsid w:val="00414F1F"/>
    <w:rsid w:val="0043125D"/>
    <w:rsid w:val="0043502B"/>
    <w:rsid w:val="0043678A"/>
    <w:rsid w:val="004443AC"/>
    <w:rsid w:val="00444B02"/>
    <w:rsid w:val="00451E28"/>
    <w:rsid w:val="00462C62"/>
    <w:rsid w:val="00465D36"/>
    <w:rsid w:val="004C17EE"/>
    <w:rsid w:val="004C4BDF"/>
    <w:rsid w:val="004D1187"/>
    <w:rsid w:val="004D154E"/>
    <w:rsid w:val="004D3AA0"/>
    <w:rsid w:val="004E1987"/>
    <w:rsid w:val="004E2E15"/>
    <w:rsid w:val="004E6E3C"/>
    <w:rsid w:val="00520898"/>
    <w:rsid w:val="00523621"/>
    <w:rsid w:val="00524986"/>
    <w:rsid w:val="005268F6"/>
    <w:rsid w:val="00534284"/>
    <w:rsid w:val="00547DB7"/>
    <w:rsid w:val="005F27D5"/>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C64C8"/>
    <w:rsid w:val="008D10B2"/>
    <w:rsid w:val="00903896"/>
    <w:rsid w:val="00906F3D"/>
    <w:rsid w:val="0094424E"/>
    <w:rsid w:val="00955642"/>
    <w:rsid w:val="009622DF"/>
    <w:rsid w:val="0096493F"/>
    <w:rsid w:val="00966CBD"/>
    <w:rsid w:val="00967DFF"/>
    <w:rsid w:val="00994341"/>
    <w:rsid w:val="009D1A48"/>
    <w:rsid w:val="009E1CE7"/>
    <w:rsid w:val="009E4EA5"/>
    <w:rsid w:val="009F164B"/>
    <w:rsid w:val="009F323C"/>
    <w:rsid w:val="00A177F8"/>
    <w:rsid w:val="00A3392B"/>
    <w:rsid w:val="00A757D5"/>
    <w:rsid w:val="00A85E34"/>
    <w:rsid w:val="00A94B64"/>
    <w:rsid w:val="00AA3229"/>
    <w:rsid w:val="00AA7596"/>
    <w:rsid w:val="00AB5E52"/>
    <w:rsid w:val="00AC3B02"/>
    <w:rsid w:val="00AC3B7B"/>
    <w:rsid w:val="00AC5209"/>
    <w:rsid w:val="00AE0E34"/>
    <w:rsid w:val="00AE729E"/>
    <w:rsid w:val="00AE7752"/>
    <w:rsid w:val="00AF7FDA"/>
    <w:rsid w:val="00B5356E"/>
    <w:rsid w:val="00B64A5A"/>
    <w:rsid w:val="00B809AD"/>
    <w:rsid w:val="00B80CBD"/>
    <w:rsid w:val="00B86096"/>
    <w:rsid w:val="00B964D9"/>
    <w:rsid w:val="00BA006A"/>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642E"/>
    <w:rsid w:val="00C642FA"/>
    <w:rsid w:val="00CC7622"/>
    <w:rsid w:val="00CD608F"/>
    <w:rsid w:val="00CF39B9"/>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6560D"/>
    <w:rsid w:val="00E65D4A"/>
    <w:rsid w:val="00E80CBE"/>
    <w:rsid w:val="00E962E3"/>
    <w:rsid w:val="00EB6C79"/>
    <w:rsid w:val="00EC37E9"/>
    <w:rsid w:val="00F038D8"/>
    <w:rsid w:val="00F06995"/>
    <w:rsid w:val="00F13623"/>
    <w:rsid w:val="00F30ABE"/>
    <w:rsid w:val="00F44D1D"/>
    <w:rsid w:val="00F84B6D"/>
    <w:rsid w:val="00F957E8"/>
    <w:rsid w:val="00FA311A"/>
    <w:rsid w:val="00FA5FDA"/>
    <w:rsid w:val="00FB53BA"/>
    <w:rsid w:val="00FB6AB3"/>
    <w:rsid w:val="00FD1419"/>
    <w:rsid w:val="00FD614A"/>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DC4E03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Ruller4">
    <w:name w:val="Ruller4 תו"/>
    <w:basedOn w:val="a0"/>
    <w:link w:val="Ruller40"/>
    <w:locked/>
    <w:rsid w:val="00BA006A"/>
    <w:rPr>
      <w:rFonts w:ascii="Arial TUR" w:hAnsi="Arial TUR" w:cs="FrankRuehl"/>
      <w:spacing w:val="10"/>
      <w:sz w:val="28"/>
      <w:szCs w:val="28"/>
    </w:rPr>
  </w:style>
  <w:style w:type="paragraph" w:customStyle="1" w:styleId="Ruller40">
    <w:name w:val="Ruller4"/>
    <w:basedOn w:val="a"/>
    <w:link w:val="Ruller4"/>
    <w:rsid w:val="00BA006A"/>
    <w:pPr>
      <w:tabs>
        <w:tab w:val="left" w:pos="800"/>
      </w:tabs>
      <w:overflowPunct w:val="0"/>
      <w:autoSpaceDE w:val="0"/>
      <w:autoSpaceDN w:val="0"/>
      <w:adjustRightInd w:val="0"/>
      <w:spacing w:line="360" w:lineRule="auto"/>
      <w:jc w:val="both"/>
    </w:pPr>
    <w:rPr>
      <w:rFonts w:ascii="Arial TUR" w:hAnsi="Arial TUR" w:cs="FrankRuehl"/>
      <w:noProof w:val="0"/>
      <w:spacing w:val="10"/>
      <w:sz w:val="28"/>
      <w:szCs w:val="28"/>
    </w:rPr>
  </w:style>
  <w:style w:type="paragraph" w:customStyle="1" w:styleId="Ruller5">
    <w:name w:val="Ruller5"/>
    <w:basedOn w:val="a"/>
    <w:rsid w:val="00BA006A"/>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customStyle="1" w:styleId="default">
    <w:name w:val="default"/>
    <w:rsid w:val="004D154E"/>
    <w:rPr>
      <w:rFonts w:ascii="Times New Roman" w:hAnsi="Times New Roman"/>
      <w:sz w:val="26"/>
    </w:rPr>
  </w:style>
  <w:style w:type="paragraph" w:customStyle="1" w:styleId="P00">
    <w:name w:val="P00"/>
    <w:link w:val="P000"/>
    <w:rsid w:val="004D154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P000">
    <w:name w:val="P00 תו"/>
    <w:link w:val="P00"/>
    <w:locked/>
    <w:rsid w:val="004D154E"/>
    <w:rPr>
      <w:noProof/>
      <w:szCs w:val="26"/>
      <w:lang w:eastAsia="he-IL"/>
    </w:rPr>
  </w:style>
  <w:style w:type="character" w:customStyle="1" w:styleId="big-number">
    <w:name w:val="big-number"/>
    <w:rsid w:val="00102B7F"/>
    <w:rPr>
      <w:rFonts w:ascii="Times New Roman" w:hAnsi="Times New Roman"/>
      <w:sz w:val="32"/>
    </w:rPr>
  </w:style>
  <w:style w:type="character" w:styleId="Hyperlink">
    <w:name w:val="Hyperlink"/>
    <w:basedOn w:val="a0"/>
    <w:uiPriority w:val="99"/>
    <w:rsid w:val="001E6F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921703" TargetMode="External" Id="rId13" /><Relationship Type="http://schemas.openxmlformats.org/officeDocument/2006/relationships/header" Target="header1.xml" Id="rId18"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hyperlink" Target="http://www.nevo.co.il/case/6098839" TargetMode="External" Id="rId12" /><Relationship Type="http://schemas.openxmlformats.org/officeDocument/2006/relationships/hyperlink" Target="http://www.nevo.co.il/links/psika/?link=&#1506;&#1488;%209168/06" TargetMode="External" Id="rId17" /><Relationship Type="http://schemas.openxmlformats.org/officeDocument/2006/relationships/hyperlink" Target="http://www.nevo.co.il/links/psika/?link=&#1489;&#1490;&#1509;%203486/09" TargetMode="Externa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17917291" TargetMode="External" Id="rId11" /><Relationship Type="http://schemas.openxmlformats.org/officeDocument/2006/relationships/settings" Target="settings.xml" Id="rId5" /><Relationship Type="http://schemas.openxmlformats.org/officeDocument/2006/relationships/hyperlink" Target="http://www.nevo.co.il/law/72762" TargetMode="External" Id="rId15" /><Relationship Type="http://schemas.openxmlformats.org/officeDocument/2006/relationships/hyperlink" Target="http://www.nevo.co.il/law/74849" TargetMode="External"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www.nevo.co.il/law/84255" TargetMode="External" Id="rId14" /><Relationship Type="http://schemas.openxmlformats.org/officeDocument/2006/relationships/theme" Target="theme/theme1.xml" Id="rId22" /><Relationship Type="http://schemas.openxmlformats.org/officeDocument/2006/relationships/image" Target="/media/image2.jpg" Id="R3c40b58213a14860"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007F2" w:rsidP="00B007F2">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007F2"/>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07F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007F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007F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997</Words>
  <Characters>4990</Characters>
  <Application>Microsoft Office Word</Application>
  <DocSecurity>0</DocSecurity>
  <Lines>41</Lines>
  <Paragraphs>11</Paragraphs>
  <ScaleCrop>false</ScaleCrop>
  <Company>Microsoft Corporation</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אלי ברנד</cp:lastModifiedBy>
  <cp:revision>138</cp:revision>
  <dcterms:created xsi:type="dcterms:W3CDTF">2012-08-06T05:16:00Z</dcterms:created>
  <dcterms:modified xsi:type="dcterms:W3CDTF">2018-04-09T18:56:00Z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