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sz w:val="28"/>
          <w:szCs w:val="28"/>
          <w:rtl/>
        </w:rPr>
        <w:alias w:val="1456"/>
        <w:tag w:val="1456"/>
        <w:id w:val="-1921862679"/>
        <w:text/>
      </w:sdtPr>
      <w:sdtEndPr/>
      <w:sdtContent>
        <w:p>
          <w:pPr>
            <w:pStyle w:val="a3"/>
            <w:jc w:val="right"/>
            <w:rPr>
              <w:sz w:val="28"/>
              <w:szCs w:val="28"/>
              <w:rtl/>
            </w:rPr>
          </w:pPr>
          <w:r>
            <w:rPr>
              <w:b/>
              <w:bCs/>
              <w:noProof w:val="0"/>
              <w:sz w:val="28"/>
              <w:szCs w:val="28"/>
              <w:rtl/>
            </w:rPr>
            <w:t>05 אפריל 2018</w:t>
          </w:r>
        </w:p>
      </w:sdtContent>
    </w:sdt>
    <w:p w:rsidRPr="0032390E" w:rsidR="00694556" w:rsidRDefault="00694556">
      <w:pPr>
        <w:rPr>
          <w:sz w:val="28"/>
          <w:szCs w:val="28"/>
          <w:rtl/>
        </w:rPr>
      </w:pP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3249"/>
        <w:gridCol w:w="1800"/>
        <w:gridCol w:w="3771"/>
      </w:tblGrid>
      <w:tr w:rsidRPr="0032390E" w:rsidR="00694556">
        <w:trPr>
          <w:trHeight w:val="295"/>
          <w:jc w:val="center"/>
        </w:trPr>
        <w:tc>
          <w:tcPr>
            <w:tcW w:w="5049" w:type="dxa"/>
            <w:gridSpan w:val="2"/>
          </w:tcPr>
          <w:p w:rsidRPr="0032390E" w:rsidR="00694556" w:rsidRDefault="00FE735B">
            <w:pPr>
              <w:rPr>
                <w:rFonts w:ascii="Arial" w:hAnsi="Arial"/>
                <w:b/>
                <w:bCs/>
                <w:noProof w:val="0"/>
                <w:sz w:val="28"/>
                <w:szCs w:val="28"/>
                <w:rtl/>
              </w:rPr>
            </w:pPr>
            <w:r w:rsidRPr="0032390E">
              <w:rPr>
                <w:rFonts w:hint="cs" w:ascii="Arial" w:hAnsi="Arial"/>
                <w:b/>
                <w:bCs/>
                <w:sz w:val="28"/>
                <w:szCs w:val="28"/>
                <w:rtl/>
              </w:rPr>
              <w:t>ל</w:t>
            </w:r>
            <w:r w:rsidRPr="0032390E" w:rsidR="00621052">
              <w:rPr>
                <w:rFonts w:ascii="Arial" w:hAnsi="Arial"/>
                <w:b/>
                <w:bCs/>
                <w:sz w:val="28"/>
                <w:szCs w:val="28"/>
                <w:rtl/>
              </w:rPr>
              <w:t>פני</w:t>
            </w:r>
            <w:r w:rsidRPr="0032390E" w:rsidR="00621052">
              <w:rPr>
                <w:rFonts w:hint="cs" w:ascii="Arial" w:hAnsi="Arial"/>
                <w:b/>
                <w:bCs/>
                <w:noProof w:val="0"/>
                <w:sz w:val="28"/>
                <w:szCs w:val="28"/>
                <w:rtl/>
              </w:rPr>
              <w:t>:</w:t>
            </w:r>
          </w:p>
        </w:tc>
        <w:tc>
          <w:tcPr>
            <w:tcW w:w="3771" w:type="dxa"/>
          </w:tcPr>
          <w:p w:rsidRPr="0032390E" w:rsidR="00694556" w:rsidRDefault="00694556">
            <w:pPr>
              <w:jc w:val="right"/>
              <w:rPr>
                <w:rFonts w:ascii="Arial" w:hAnsi="Arial"/>
                <w:b/>
                <w:bCs/>
                <w:noProof w:val="0"/>
                <w:sz w:val="28"/>
                <w:szCs w:val="28"/>
                <w:rtl/>
              </w:rPr>
            </w:pPr>
          </w:p>
        </w:tc>
      </w:tr>
      <w:tr w:rsidRPr="0032390E" w:rsidR="00621052" w:rsidTr="00C265F5">
        <w:trPr>
          <w:jc w:val="center"/>
        </w:trPr>
        <w:tc>
          <w:tcPr>
            <w:tcW w:w="8820" w:type="dxa"/>
            <w:gridSpan w:val="3"/>
          </w:tcPr>
          <w:p w:rsidRPr="0032390E" w:rsidR="00621052" w:rsidP="00621052" w:rsidRDefault="00621052">
            <w:pPr>
              <w:spacing w:line="360" w:lineRule="auto"/>
              <w:rPr>
                <w:rFonts w:ascii="Arial" w:hAnsi="Arial"/>
                <w:b/>
                <w:bCs/>
                <w:sz w:val="28"/>
                <w:szCs w:val="28"/>
                <w:rtl/>
              </w:rPr>
            </w:pPr>
            <w:r w:rsidRPr="0032390E">
              <w:rPr>
                <w:rFonts w:hint="cs" w:ascii="Arial" w:hAnsi="Arial"/>
                <w:b/>
                <w:bCs/>
                <w:sz w:val="28"/>
                <w:szCs w:val="28"/>
                <w:rtl/>
              </w:rPr>
              <w:t>כב' ה</w:t>
            </w:r>
            <w:sdt>
              <w:sdtPr>
                <w:rPr>
                  <w:sz w:val="28"/>
                  <w:szCs w:val="28"/>
                  <w:rtl/>
                </w:rPr>
                <w:alias w:val="1574"/>
                <w:tag w:val="1574"/>
                <w:id w:val="872045632"/>
                <w:text w:multiLine="1"/>
              </w:sdtPr>
              <w:sdtEndPr/>
              <w:sdtContent>
                <w:r>
                  <w:rPr>
                    <w:rFonts w:ascii="Arial" w:hAnsi="Arial"/>
                    <w:b/>
                    <w:bCs/>
                    <w:sz w:val="28"/>
                    <w:szCs w:val="28"/>
                    <w:rtl/>
                  </w:rPr>
                  <w:t>שופטת</w:t>
                </w:r>
              </w:sdtContent>
            </w:sdt>
            <w:r w:rsidRPr="0032390E">
              <w:rPr>
                <w:rFonts w:hint="cs" w:ascii="Arial" w:hAnsi="Arial"/>
                <w:b/>
                <w:bCs/>
                <w:sz w:val="28"/>
                <w:szCs w:val="28"/>
                <w:rtl/>
              </w:rPr>
              <w:t xml:space="preserve">  </w:t>
            </w:r>
            <w:sdt>
              <w:sdtPr>
                <w:rPr>
                  <w:sz w:val="28"/>
                  <w:szCs w:val="28"/>
                  <w:rtl/>
                </w:rPr>
                <w:alias w:val="1573"/>
                <w:tag w:val="1573"/>
                <w:id w:val="1267650339"/>
                <w:text w:multiLine="1"/>
              </w:sdtPr>
              <w:sdtEndPr/>
              <w:sdtContent>
                <w:r>
                  <w:rPr>
                    <w:rFonts w:ascii="Arial" w:hAnsi="Arial"/>
                    <w:b/>
                    <w:bCs/>
                    <w:sz w:val="28"/>
                    <w:szCs w:val="28"/>
                    <w:rtl/>
                  </w:rPr>
                  <w:t>אסנת רובוביץ  - ברכש</w:t>
                </w:r>
              </w:sdtContent>
            </w:sdt>
          </w:p>
          <w:p w:rsidRPr="0032390E" w:rsidR="00621052" w:rsidP="00621052" w:rsidRDefault="00D857BD">
            <w:pPr>
              <w:spacing w:line="360" w:lineRule="auto"/>
              <w:rPr>
                <w:b/>
                <w:bCs/>
                <w:sz w:val="28"/>
                <w:szCs w:val="28"/>
                <w:rtl/>
              </w:rPr>
            </w:pPr>
            <w:r>
              <w:rPr>
                <w:b/>
                <w:bCs/>
                <w:sz w:val="28"/>
                <w:szCs w:val="28"/>
                <w:rtl/>
              </w:rPr>
              <w:t xml:space="preserve">נציג  ציבור (עובדים)  </w:t>
            </w:r>
            <w:r w:rsidRPr="0032390E" w:rsidR="00621052">
              <w:rPr>
                <w:b/>
                <w:bCs/>
                <w:sz w:val="28"/>
                <w:szCs w:val="28"/>
                <w:rtl/>
              </w:rPr>
              <w:t>גב'</w:t>
            </w:r>
            <w:r>
              <w:rPr>
                <w:rFonts w:hint="cs"/>
                <w:b/>
                <w:bCs/>
                <w:sz w:val="28"/>
                <w:szCs w:val="28"/>
                <w:rtl/>
              </w:rPr>
              <w:t xml:space="preserve"> חנה קפלניקוב</w:t>
            </w:r>
          </w:p>
          <w:p w:rsidRPr="0032390E" w:rsidR="00621052" w:rsidP="00621052" w:rsidRDefault="00621052">
            <w:pPr>
              <w:spacing w:line="360" w:lineRule="auto"/>
              <w:rPr>
                <w:b/>
                <w:bCs/>
                <w:sz w:val="28"/>
                <w:szCs w:val="28"/>
                <w:rtl/>
              </w:rPr>
            </w:pPr>
            <w:r w:rsidRPr="0032390E">
              <w:rPr>
                <w:b/>
                <w:bCs/>
                <w:sz w:val="28"/>
                <w:szCs w:val="28"/>
                <w:rtl/>
              </w:rPr>
              <w:t>נציג ציבור (</w:t>
            </w:r>
            <w:r w:rsidR="00D569A5">
              <w:rPr>
                <w:rFonts w:hint="cs"/>
                <w:b/>
                <w:bCs/>
                <w:sz w:val="28"/>
                <w:szCs w:val="28"/>
                <w:rtl/>
              </w:rPr>
              <w:t>מעסיקים</w:t>
            </w:r>
            <w:r w:rsidR="00D857BD">
              <w:rPr>
                <w:b/>
                <w:bCs/>
                <w:sz w:val="28"/>
                <w:szCs w:val="28"/>
                <w:rtl/>
              </w:rPr>
              <w:t>)  מר</w:t>
            </w:r>
            <w:r w:rsidR="00D857BD">
              <w:rPr>
                <w:rFonts w:hint="cs"/>
                <w:b/>
                <w:bCs/>
                <w:sz w:val="28"/>
                <w:szCs w:val="28"/>
                <w:rtl/>
              </w:rPr>
              <w:t xml:space="preserve"> מאיר ליברמן</w:t>
            </w:r>
          </w:p>
          <w:p w:rsidRPr="0032390E" w:rsidR="00621052" w:rsidP="00621052" w:rsidRDefault="00621052">
            <w:pPr>
              <w:spacing w:line="360" w:lineRule="auto"/>
              <w:rPr>
                <w:b/>
                <w:bCs/>
                <w:sz w:val="28"/>
                <w:szCs w:val="28"/>
              </w:rPr>
            </w:pPr>
          </w:p>
        </w:tc>
      </w:tr>
      <w:tr w:rsidRPr="0032390E" w:rsidR="00694556">
        <w:trPr>
          <w:jc w:val="center"/>
        </w:trPr>
        <w:tc>
          <w:tcPr>
            <w:tcW w:w="3249" w:type="dxa"/>
          </w:tcPr>
          <w:p w:rsidRPr="0032390E" w:rsidR="00694556" w:rsidP="00621052" w:rsidRDefault="00621052">
            <w:pPr>
              <w:rPr>
                <w:rFonts w:ascii="Arial" w:hAnsi="Arial"/>
                <w:b/>
                <w:bCs/>
                <w:noProof w:val="0"/>
                <w:sz w:val="28"/>
                <w:szCs w:val="28"/>
                <w:u w:val="single"/>
                <w:rtl/>
              </w:rPr>
            </w:pPr>
            <w:r w:rsidRPr="0032390E">
              <w:rPr>
                <w:rFonts w:hint="cs"/>
                <w:b/>
                <w:bCs/>
                <w:sz w:val="28"/>
                <w:szCs w:val="28"/>
                <w:u w:val="single"/>
                <w:rtl/>
              </w:rPr>
              <w:t>ה</w:t>
            </w:r>
            <w:sdt>
              <w:sdtPr>
                <w:rPr>
                  <w:b/>
                  <w:bCs/>
                  <w:sz w:val="28"/>
                  <w:szCs w:val="28"/>
                  <w:u w:val="single"/>
                  <w:rtl/>
                </w:rPr>
                <w:alias w:val="1180"/>
                <w:tag w:val="1180"/>
                <w:id w:val="1779448001"/>
                <w:text w:multiLine="1"/>
              </w:sdtPr>
              <w:sdtEndPr/>
              <w:sdtContent>
                <w:r w:rsidR="00D857BD">
                  <w:rPr>
                    <w:rFonts w:ascii="Arial" w:hAnsi="Arial"/>
                    <w:b/>
                    <w:bCs/>
                    <w:noProof w:val="0"/>
                    <w:sz w:val="28"/>
                    <w:szCs w:val="28"/>
                    <w:u w:val="single"/>
                    <w:rtl/>
                  </w:rPr>
                  <w:t>תובע</w:t>
                </w:r>
              </w:sdtContent>
            </w:sdt>
          </w:p>
        </w:tc>
        <w:tc>
          <w:tcPr>
            <w:tcW w:w="5571" w:type="dxa"/>
            <w:gridSpan w:val="2"/>
          </w:tcPr>
          <w:p w:rsidRPr="0032390E" w:rsidR="00694556" w:rsidRDefault="00623757">
            <w:pPr>
              <w:rPr>
                <w:sz w:val="28"/>
                <w:szCs w:val="28"/>
                <w:rtl/>
              </w:rPr>
            </w:pPr>
            <w:sdt>
              <w:sdtPr>
                <w:rPr>
                  <w:sz w:val="28"/>
                  <w:szCs w:val="28"/>
                  <w:rtl/>
                </w:rPr>
                <w:alias w:val="1462"/>
                <w:tag w:val="1462"/>
                <w:id w:val="-1947996674"/>
                <w:text w:multiLine="1"/>
              </w:sdtPr>
              <w:sdtEndPr/>
              <w:sdtContent>
                <w:r w:rsidR="00D569A5">
                  <w:rPr>
                    <w:rFonts w:ascii="Arial" w:hAnsi="Arial"/>
                    <w:b/>
                    <w:bCs/>
                    <w:noProof w:val="0"/>
                    <w:sz w:val="28"/>
                    <w:szCs w:val="28"/>
                    <w:rtl/>
                  </w:rPr>
                  <w:t>1</w:t>
                </w:r>
              </w:sdtContent>
            </w:sdt>
            <w:r w:rsidRPr="0032390E" w:rsidR="00005C8B">
              <w:rPr>
                <w:b/>
                <w:bCs/>
                <w:noProof w:val="0"/>
                <w:sz w:val="28"/>
                <w:szCs w:val="28"/>
                <w:rtl/>
              </w:rPr>
              <w:t xml:space="preserve">. </w:t>
            </w:r>
            <w:sdt>
              <w:sdtPr>
                <w:rPr>
                  <w:sz w:val="28"/>
                  <w:szCs w:val="28"/>
                  <w:rtl/>
                </w:rPr>
                <w:alias w:val="1478"/>
                <w:tag w:val="1478"/>
                <w:id w:val="-2074341511"/>
                <w:text w:multiLine="1"/>
              </w:sdtPr>
              <w:sdtEndPr/>
              <w:sdtContent>
                <w:r w:rsidR="00D569A5">
                  <w:rPr>
                    <w:rFonts w:ascii="Arial" w:hAnsi="Arial"/>
                    <w:b/>
                    <w:bCs/>
                    <w:noProof w:val="0"/>
                    <w:sz w:val="28"/>
                    <w:szCs w:val="28"/>
                    <w:rtl/>
                  </w:rPr>
                  <w:t>שיראל זבולוני</w:t>
                </w:r>
              </w:sdtContent>
            </w:sdt>
          </w:p>
          <w:p w:rsidRPr="0032390E" w:rsidR="00621052" w:rsidRDefault="00621052">
            <w:pPr>
              <w:rPr>
                <w:b/>
                <w:bCs/>
                <w:noProof w:val="0"/>
                <w:sz w:val="28"/>
                <w:szCs w:val="28"/>
              </w:rPr>
            </w:pPr>
            <w:r w:rsidRPr="0032390E">
              <w:rPr>
                <w:rFonts w:hint="cs"/>
                <w:b/>
                <w:bCs/>
                <w:sz w:val="28"/>
                <w:szCs w:val="28"/>
                <w:rtl/>
              </w:rPr>
              <w:t>ע"י ב"כ: עו"ד</w:t>
            </w:r>
            <w:r w:rsidR="00D857BD">
              <w:rPr>
                <w:rFonts w:hint="cs"/>
                <w:b/>
                <w:bCs/>
                <w:noProof w:val="0"/>
                <w:sz w:val="28"/>
                <w:szCs w:val="28"/>
                <w:rtl/>
              </w:rPr>
              <w:t xml:space="preserve"> עמליה בן חמו</w:t>
            </w:r>
          </w:p>
        </w:tc>
      </w:tr>
      <w:tr w:rsidRPr="0032390E" w:rsidR="00694556">
        <w:trPr>
          <w:jc w:val="center"/>
        </w:trPr>
        <w:tc>
          <w:tcPr>
            <w:tcW w:w="8820" w:type="dxa"/>
            <w:gridSpan w:val="3"/>
          </w:tcPr>
          <w:p w:rsidRPr="0032390E" w:rsidR="00621052" w:rsidP="00621052" w:rsidRDefault="00621052">
            <w:pPr>
              <w:spacing w:before="240" w:after="240"/>
              <w:jc w:val="center"/>
              <w:rPr>
                <w:rFonts w:ascii="Arial" w:hAnsi="Arial"/>
                <w:b/>
                <w:bCs/>
                <w:noProof w:val="0"/>
                <w:sz w:val="28"/>
                <w:szCs w:val="28"/>
              </w:rPr>
            </w:pPr>
            <w:r w:rsidRPr="0032390E">
              <w:rPr>
                <w:rFonts w:hint="cs" w:ascii="Arial" w:hAnsi="Arial"/>
                <w:b/>
                <w:bCs/>
                <w:noProof w:val="0"/>
                <w:sz w:val="28"/>
                <w:szCs w:val="28"/>
                <w:rtl/>
              </w:rPr>
              <w:t>-</w:t>
            </w:r>
          </w:p>
        </w:tc>
      </w:tr>
      <w:tr w:rsidRPr="0032390E" w:rsidR="00694556">
        <w:trPr>
          <w:jc w:val="center"/>
        </w:trPr>
        <w:tc>
          <w:tcPr>
            <w:tcW w:w="3249" w:type="dxa"/>
          </w:tcPr>
          <w:p w:rsidRPr="0032390E" w:rsidR="00694556" w:rsidRDefault="00621052">
            <w:pPr>
              <w:rPr>
                <w:rFonts w:ascii="Arial" w:hAnsi="Arial"/>
                <w:b/>
                <w:bCs/>
                <w:noProof w:val="0"/>
                <w:sz w:val="28"/>
                <w:szCs w:val="28"/>
                <w:u w:val="single"/>
              </w:rPr>
            </w:pPr>
            <w:r w:rsidRPr="0032390E">
              <w:rPr>
                <w:rFonts w:hint="cs"/>
                <w:b/>
                <w:bCs/>
                <w:sz w:val="28"/>
                <w:szCs w:val="28"/>
                <w:u w:val="single"/>
                <w:rtl/>
              </w:rPr>
              <w:t>ה</w:t>
            </w:r>
            <w:sdt>
              <w:sdtPr>
                <w:rPr>
                  <w:b/>
                  <w:bCs/>
                  <w:sz w:val="28"/>
                  <w:szCs w:val="28"/>
                  <w:u w:val="single"/>
                  <w:rtl/>
                </w:rPr>
                <w:alias w:val="1184"/>
                <w:tag w:val="1184"/>
                <w:id w:val="-730838944"/>
                <w:text w:multiLine="1"/>
              </w:sdtPr>
              <w:sdtEndPr/>
              <w:sdtContent>
                <w:r w:rsidR="00D857BD">
                  <w:rPr>
                    <w:rFonts w:ascii="Arial" w:hAnsi="Arial"/>
                    <w:b/>
                    <w:bCs/>
                    <w:noProof w:val="0"/>
                    <w:sz w:val="28"/>
                    <w:szCs w:val="28"/>
                    <w:u w:val="single"/>
                    <w:rtl/>
                  </w:rPr>
                  <w:t>נתבע</w:t>
                </w:r>
              </w:sdtContent>
            </w:sdt>
          </w:p>
        </w:tc>
        <w:tc>
          <w:tcPr>
            <w:tcW w:w="5571" w:type="dxa"/>
            <w:gridSpan w:val="2"/>
          </w:tcPr>
          <w:p w:rsidRPr="0032390E" w:rsidR="00694556" w:rsidRDefault="00623757">
            <w:pPr>
              <w:rPr>
                <w:sz w:val="28"/>
                <w:szCs w:val="28"/>
                <w:rtl/>
              </w:rPr>
            </w:pPr>
            <w:sdt>
              <w:sdtPr>
                <w:rPr>
                  <w:sz w:val="28"/>
                  <w:szCs w:val="28"/>
                  <w:rtl/>
                </w:rPr>
                <w:alias w:val="1571"/>
                <w:tag w:val="1571"/>
                <w:id w:val="-537671711"/>
                <w:text w:multiLine="1"/>
              </w:sdtPr>
              <w:sdtEndPr/>
              <w:sdtContent>
                <w:r w:rsidR="00D569A5">
                  <w:rPr>
                    <w:rFonts w:ascii="Arial" w:hAnsi="Arial"/>
                    <w:b/>
                    <w:bCs/>
                    <w:noProof w:val="0"/>
                    <w:sz w:val="28"/>
                    <w:szCs w:val="28"/>
                    <w:rtl/>
                  </w:rPr>
                  <w:t>1</w:t>
                </w:r>
              </w:sdtContent>
            </w:sdt>
            <w:r w:rsidRPr="0032390E" w:rsidR="00005C8B">
              <w:rPr>
                <w:rFonts w:ascii="Arial" w:hAnsi="Arial"/>
                <w:b/>
                <w:bCs/>
                <w:noProof w:val="0"/>
                <w:sz w:val="28"/>
                <w:szCs w:val="28"/>
                <w:rtl/>
              </w:rPr>
              <w:t xml:space="preserve">. </w:t>
            </w:r>
            <w:sdt>
              <w:sdtPr>
                <w:rPr>
                  <w:sz w:val="28"/>
                  <w:szCs w:val="28"/>
                  <w:rtl/>
                </w:rPr>
                <w:alias w:val="1486"/>
                <w:tag w:val="1486"/>
                <w:id w:val="1865319451"/>
                <w:text w:multiLine="1"/>
              </w:sdtPr>
              <w:sdtEndPr/>
              <w:sdtContent>
                <w:r w:rsidR="00D569A5">
                  <w:rPr>
                    <w:rFonts w:ascii="Arial" w:hAnsi="Arial"/>
                    <w:b/>
                    <w:bCs/>
                    <w:noProof w:val="0"/>
                    <w:sz w:val="28"/>
                    <w:szCs w:val="28"/>
                    <w:rtl/>
                  </w:rPr>
                  <w:t>המוסד לביטוח לאומי</w:t>
                </w:r>
              </w:sdtContent>
            </w:sdt>
          </w:p>
          <w:p w:rsidRPr="0032390E" w:rsidR="00621052" w:rsidRDefault="00621052">
            <w:pPr>
              <w:rPr>
                <w:b/>
                <w:bCs/>
                <w:noProof w:val="0"/>
                <w:sz w:val="28"/>
                <w:szCs w:val="28"/>
                <w:rtl/>
              </w:rPr>
            </w:pPr>
            <w:r w:rsidRPr="0032390E">
              <w:rPr>
                <w:rFonts w:hint="cs"/>
                <w:b/>
                <w:bCs/>
                <w:sz w:val="28"/>
                <w:szCs w:val="28"/>
                <w:rtl/>
              </w:rPr>
              <w:t>ע"י ב"כ: עו"ד</w:t>
            </w:r>
            <w:r w:rsidR="00D857BD">
              <w:rPr>
                <w:rFonts w:hint="cs"/>
                <w:b/>
                <w:bCs/>
                <w:noProof w:val="0"/>
                <w:sz w:val="28"/>
                <w:szCs w:val="28"/>
                <w:rtl/>
              </w:rPr>
              <w:t xml:space="preserve"> ישראלה איילין</w:t>
            </w:r>
          </w:p>
        </w:tc>
      </w:tr>
    </w:tbl>
    <w:p w:rsidR="00694556" w:rsidRDefault="00694556"/>
    <w:p w:rsidRPr="0032390E" w:rsidR="00694556" w:rsidRDefault="00694556">
      <w:pPr>
        <w:rPr>
          <w:sz w:val="28"/>
          <w:szCs w:val="28"/>
        </w:rPr>
      </w:pP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694556">
        <w:trPr>
          <w:jc w:val="center"/>
        </w:trPr>
        <w:tc>
          <w:tcPr>
            <w:tcW w:w="8820" w:type="dxa"/>
          </w:tcPr>
          <w:p w:rsidRPr="00621052" w:rsidR="00694556" w:rsidRDefault="00005C8B">
            <w:pPr>
              <w:bidi w:val="0"/>
              <w:jc w:val="center"/>
              <w:rPr>
                <w:rFonts w:ascii="Arial" w:hAnsi="Arial"/>
                <w:b/>
                <w:bCs/>
                <w:noProof w:val="0"/>
                <w:sz w:val="34"/>
                <w:szCs w:val="34"/>
                <w:u w:val="single"/>
              </w:rPr>
            </w:pPr>
            <w:r w:rsidRPr="00621052">
              <w:rPr>
                <w:rFonts w:ascii="Arial" w:hAnsi="Arial"/>
                <w:b/>
                <w:bCs/>
                <w:noProof w:val="0"/>
                <w:sz w:val="34"/>
                <w:szCs w:val="34"/>
                <w:u w:val="single"/>
                <w:rtl/>
              </w:rPr>
              <w:t>פסק דין</w:t>
            </w:r>
          </w:p>
        </w:tc>
      </w:tr>
    </w:tbl>
    <w:p w:rsidRPr="00621052" w:rsidR="00694556" w:rsidRDefault="00694556">
      <w:pPr>
        <w:spacing w:line="360" w:lineRule="auto"/>
        <w:jc w:val="both"/>
        <w:rPr>
          <w:rFonts w:ascii="Arial" w:hAnsi="Arial"/>
          <w:noProof w:val="0"/>
          <w:sz w:val="28"/>
          <w:szCs w:val="28"/>
          <w:rtl/>
        </w:rPr>
      </w:pPr>
    </w:p>
    <w:p w:rsidRPr="00D857BD" w:rsidR="00D857BD" w:rsidP="00D857BD" w:rsidRDefault="00D857BD">
      <w:pPr>
        <w:numPr>
          <w:ilvl w:val="0"/>
          <w:numId w:val="1"/>
        </w:numPr>
        <w:spacing w:before="120" w:after="160" w:line="360" w:lineRule="auto"/>
        <w:ind w:hanging="691"/>
        <w:jc w:val="both"/>
        <w:rPr>
          <w:noProof w:val="0"/>
          <w:sz w:val="28"/>
          <w:szCs w:val="28"/>
        </w:rPr>
      </w:pPr>
      <w:r w:rsidRPr="00D857BD">
        <w:rPr>
          <w:rFonts w:hint="cs"/>
          <w:noProof w:val="0"/>
          <w:sz w:val="28"/>
          <w:szCs w:val="28"/>
          <w:rtl/>
        </w:rPr>
        <w:t xml:space="preserve">זוהי תביעת התובעת להכיר בפגיעה בגב ופריצת דיסק כפגיעה בעבודה כמשמעותה בחוק הביטוח הלאומי [נוסח משולב], התשנ"ה-1995 (להלן – </w:t>
      </w:r>
      <w:r w:rsidRPr="00D857BD">
        <w:rPr>
          <w:rFonts w:hint="cs"/>
          <w:b/>
          <w:bCs/>
          <w:noProof w:val="0"/>
          <w:sz w:val="28"/>
          <w:szCs w:val="28"/>
          <w:rtl/>
        </w:rPr>
        <w:t>החוק</w:t>
      </w:r>
      <w:r w:rsidRPr="00D857BD">
        <w:rPr>
          <w:rFonts w:hint="cs"/>
          <w:noProof w:val="0"/>
          <w:sz w:val="28"/>
          <w:szCs w:val="28"/>
          <w:rtl/>
        </w:rPr>
        <w:t xml:space="preserve">), על דרך </w:t>
      </w:r>
      <w:r>
        <w:rPr>
          <w:rFonts w:hint="cs"/>
          <w:noProof w:val="0"/>
          <w:sz w:val="28"/>
          <w:szCs w:val="28"/>
          <w:rtl/>
        </w:rPr>
        <w:t xml:space="preserve">המיקרוטראומה </w:t>
      </w:r>
      <w:r w:rsidRPr="00D857BD">
        <w:rPr>
          <w:rFonts w:hint="cs"/>
          <w:noProof w:val="0"/>
          <w:sz w:val="28"/>
          <w:szCs w:val="28"/>
          <w:rtl/>
        </w:rPr>
        <w:t>.</w:t>
      </w:r>
    </w:p>
    <w:p w:rsidRPr="00D857BD" w:rsidR="00D857BD" w:rsidP="00D857BD" w:rsidRDefault="00D857BD">
      <w:pPr>
        <w:spacing w:before="120" w:line="360" w:lineRule="auto"/>
        <w:ind w:left="717"/>
        <w:jc w:val="both"/>
        <w:rPr>
          <w:noProof w:val="0"/>
          <w:sz w:val="28"/>
          <w:szCs w:val="28"/>
        </w:rPr>
      </w:pPr>
    </w:p>
    <w:p w:rsidRPr="00D857BD" w:rsidR="00D857BD" w:rsidP="00D857BD" w:rsidRDefault="00D857BD">
      <w:pPr>
        <w:spacing w:before="120" w:line="360" w:lineRule="auto"/>
        <w:ind w:left="26"/>
        <w:jc w:val="both"/>
        <w:rPr>
          <w:rFonts w:hint="cs"/>
          <w:b/>
          <w:bCs/>
          <w:noProof w:val="0"/>
          <w:sz w:val="28"/>
          <w:szCs w:val="28"/>
          <w:u w:val="single"/>
          <w:rtl/>
        </w:rPr>
      </w:pPr>
      <w:r w:rsidRPr="00D857BD">
        <w:rPr>
          <w:rFonts w:hint="cs"/>
          <w:b/>
          <w:bCs/>
          <w:noProof w:val="0"/>
          <w:sz w:val="28"/>
          <w:szCs w:val="28"/>
          <w:u w:val="single"/>
          <w:rtl/>
        </w:rPr>
        <w:t>עובדות המקרה כפי שהן עולות מחומר הראיות</w:t>
      </w:r>
    </w:p>
    <w:p w:rsidRPr="00D857BD" w:rsidR="00D857BD" w:rsidP="00D857BD" w:rsidRDefault="00D857BD">
      <w:pPr>
        <w:numPr>
          <w:ilvl w:val="0"/>
          <w:numId w:val="1"/>
        </w:numPr>
        <w:spacing w:before="120" w:after="160" w:line="360" w:lineRule="auto"/>
        <w:jc w:val="both"/>
        <w:rPr>
          <w:rFonts w:hint="cs"/>
          <w:noProof w:val="0"/>
          <w:sz w:val="28"/>
          <w:szCs w:val="28"/>
          <w:rtl/>
        </w:rPr>
      </w:pPr>
      <w:r w:rsidRPr="00D857BD">
        <w:rPr>
          <w:rFonts w:hint="cs"/>
          <w:noProof w:val="0"/>
          <w:sz w:val="28"/>
          <w:szCs w:val="28"/>
          <w:rtl/>
        </w:rPr>
        <w:t>התובעת ילידת 1987, עבדה בחברת דלימארט (ספייסס) בע"מ, כמוכרת, קופאית</w:t>
      </w:r>
      <w:r>
        <w:rPr>
          <w:rFonts w:hint="cs"/>
          <w:noProof w:val="0"/>
          <w:sz w:val="28"/>
          <w:szCs w:val="28"/>
          <w:rtl/>
        </w:rPr>
        <w:t>,</w:t>
      </w:r>
      <w:r w:rsidRPr="00D857BD">
        <w:rPr>
          <w:rFonts w:hint="cs"/>
          <w:noProof w:val="0"/>
          <w:sz w:val="28"/>
          <w:szCs w:val="28"/>
          <w:rtl/>
        </w:rPr>
        <w:t xml:space="preserve"> אחראית משמרת ומחסנאית תקופה של כשנה וחצי, החל מיום 1.2.13 ועד ליום 31.7.14. ר' נספח 3 לתצהיר התובעת.</w:t>
      </w:r>
    </w:p>
    <w:p w:rsidRPr="00D857BD" w:rsidR="00D857BD" w:rsidP="00D857BD" w:rsidRDefault="00D857BD">
      <w:pPr>
        <w:numPr>
          <w:ilvl w:val="0"/>
          <w:numId w:val="1"/>
        </w:numPr>
        <w:spacing w:before="120" w:after="160" w:line="360" w:lineRule="auto"/>
        <w:jc w:val="both"/>
        <w:rPr>
          <w:b/>
          <w:bCs/>
          <w:noProof w:val="0"/>
          <w:sz w:val="28"/>
          <w:szCs w:val="28"/>
        </w:rPr>
      </w:pPr>
      <w:r w:rsidRPr="00D857BD">
        <w:rPr>
          <w:rFonts w:hint="cs"/>
          <w:noProof w:val="0"/>
          <w:sz w:val="28"/>
          <w:szCs w:val="28"/>
          <w:rtl/>
        </w:rPr>
        <w:t xml:space="preserve">התובעת הגישה תביעה לנתבע לתשלום דמי פגיעה והודעה על פגיעה בעבודה בגין פריצת דיסק וכאבי גב. המעסיק ציין על טופס התביעה כי :" </w:t>
      </w:r>
      <w:r w:rsidRPr="00D857BD">
        <w:rPr>
          <w:rFonts w:hint="cs"/>
          <w:b/>
          <w:bCs/>
          <w:noProof w:val="0"/>
          <w:sz w:val="28"/>
          <w:szCs w:val="28"/>
          <w:rtl/>
        </w:rPr>
        <w:t>לא ידוע לו על הפגיעה הנטענת</w:t>
      </w:r>
      <w:r w:rsidRPr="00D857BD">
        <w:rPr>
          <w:rFonts w:hint="cs"/>
          <w:noProof w:val="0"/>
          <w:sz w:val="28"/>
          <w:szCs w:val="28"/>
          <w:rtl/>
        </w:rPr>
        <w:t>". הנתבע דחה את תביעתה של התובעת.</w:t>
      </w:r>
    </w:p>
    <w:p w:rsidRPr="00D857BD" w:rsidR="00D857BD" w:rsidP="00D857BD" w:rsidRDefault="00D857BD">
      <w:pPr>
        <w:numPr>
          <w:ilvl w:val="0"/>
          <w:numId w:val="1"/>
        </w:numPr>
        <w:spacing w:before="120" w:after="160" w:line="360" w:lineRule="auto"/>
        <w:jc w:val="both"/>
        <w:rPr>
          <w:noProof w:val="0"/>
          <w:sz w:val="28"/>
          <w:szCs w:val="28"/>
        </w:rPr>
      </w:pPr>
      <w:r w:rsidRPr="00D857BD">
        <w:rPr>
          <w:rFonts w:hint="cs"/>
          <w:noProof w:val="0"/>
          <w:sz w:val="28"/>
          <w:szCs w:val="28"/>
          <w:rtl/>
        </w:rPr>
        <w:t xml:space="preserve">התובעת נחקרה על ידיי חוקר הנתבע ביום 6.9.15 ( נספח 8 לתצהיר התובעת ) וכן  מילאה שאלון – ר' נספחי 7 לתצהיר התובעת. </w:t>
      </w:r>
    </w:p>
    <w:p w:rsidRPr="00D857BD" w:rsidR="00D857BD" w:rsidP="00D857BD" w:rsidRDefault="00D857BD">
      <w:pPr>
        <w:numPr>
          <w:ilvl w:val="0"/>
          <w:numId w:val="1"/>
        </w:numPr>
        <w:spacing w:before="120" w:after="160" w:line="360" w:lineRule="auto"/>
        <w:jc w:val="both"/>
        <w:rPr>
          <w:b/>
          <w:bCs/>
          <w:noProof w:val="0"/>
          <w:sz w:val="28"/>
          <w:szCs w:val="28"/>
        </w:rPr>
      </w:pPr>
      <w:r w:rsidRPr="00D857BD">
        <w:rPr>
          <w:rFonts w:hint="cs"/>
          <w:noProof w:val="0"/>
          <w:sz w:val="28"/>
          <w:szCs w:val="28"/>
          <w:rtl/>
        </w:rPr>
        <w:lastRenderedPageBreak/>
        <w:t xml:space="preserve">ביום 28.6.17 התקיים דיון מקדמי בפני  סגנית הנשיאה </w:t>
      </w:r>
      <w:r>
        <w:rPr>
          <w:rFonts w:hint="cs"/>
          <w:noProof w:val="0"/>
          <w:sz w:val="28"/>
          <w:szCs w:val="28"/>
          <w:rtl/>
        </w:rPr>
        <w:t xml:space="preserve">כב' </w:t>
      </w:r>
      <w:r w:rsidRPr="00D857BD">
        <w:rPr>
          <w:rFonts w:hint="cs"/>
          <w:noProof w:val="0"/>
          <w:sz w:val="28"/>
          <w:szCs w:val="28"/>
          <w:rtl/>
        </w:rPr>
        <w:t>השופטת הדס יהלום ונקבע כי הפלוגתאות בתיק: א. האם הניחה התובעת תשתית עובדתית למיקר</w:t>
      </w:r>
      <w:r>
        <w:rPr>
          <w:rFonts w:hint="cs"/>
          <w:noProof w:val="0"/>
          <w:sz w:val="28"/>
          <w:szCs w:val="28"/>
          <w:rtl/>
        </w:rPr>
        <w:t>ו</w:t>
      </w:r>
      <w:r w:rsidRPr="00D857BD">
        <w:rPr>
          <w:rFonts w:hint="cs"/>
          <w:noProof w:val="0"/>
          <w:sz w:val="28"/>
          <w:szCs w:val="28"/>
          <w:rtl/>
        </w:rPr>
        <w:t xml:space="preserve">טראומה לעניין פגיעה בגב. ב. האם קיים קשר סיבתי בין עבודת התובעת למחלתה. ג. האם השפעת העבודה על מחלת התובעת פחותה בהרבה מהשפעת גורמים אחרים. </w:t>
      </w:r>
    </w:p>
    <w:p w:rsidRPr="00D857BD" w:rsidR="00D857BD" w:rsidP="00D857BD" w:rsidRDefault="00D857BD">
      <w:pPr>
        <w:numPr>
          <w:ilvl w:val="0"/>
          <w:numId w:val="1"/>
        </w:numPr>
        <w:spacing w:before="120" w:after="160" w:line="360" w:lineRule="auto"/>
        <w:jc w:val="both"/>
        <w:rPr>
          <w:b/>
          <w:bCs/>
          <w:noProof w:val="0"/>
          <w:sz w:val="28"/>
          <w:szCs w:val="28"/>
        </w:rPr>
      </w:pPr>
      <w:r w:rsidRPr="00D857BD">
        <w:rPr>
          <w:rFonts w:hint="cs"/>
          <w:noProof w:val="0"/>
          <w:sz w:val="28"/>
          <w:szCs w:val="28"/>
          <w:rtl/>
        </w:rPr>
        <w:t>ביום 20.12.17 התקיימה ישיבת הוכחות בה נשמעו עדי התביעה</w:t>
      </w:r>
      <w:r>
        <w:rPr>
          <w:rFonts w:hint="cs"/>
          <w:noProof w:val="0"/>
          <w:sz w:val="28"/>
          <w:szCs w:val="28"/>
          <w:rtl/>
        </w:rPr>
        <w:t>:</w:t>
      </w:r>
      <w:r w:rsidRPr="00D857BD">
        <w:rPr>
          <w:rFonts w:hint="cs"/>
          <w:noProof w:val="0"/>
          <w:sz w:val="28"/>
          <w:szCs w:val="28"/>
          <w:rtl/>
        </w:rPr>
        <w:t xml:space="preserve"> הגב' אורית להעז נגיל, מנהלת עבודה של התובעת וגב' חני חדד שעבדה כמוכרת עם התובעת. ביום  31.1.18 התקיימה ישיבת הוכחות נוספת בה נשמעה עדות התובעת. </w:t>
      </w:r>
    </w:p>
    <w:p w:rsidRPr="00D857BD" w:rsidR="00D857BD" w:rsidP="00D857BD" w:rsidRDefault="00D857BD">
      <w:pPr>
        <w:numPr>
          <w:ilvl w:val="0"/>
          <w:numId w:val="1"/>
        </w:numPr>
        <w:spacing w:before="120" w:after="160" w:line="360" w:lineRule="auto"/>
        <w:jc w:val="both"/>
        <w:rPr>
          <w:noProof w:val="0"/>
          <w:sz w:val="28"/>
          <w:szCs w:val="28"/>
        </w:rPr>
      </w:pPr>
      <w:r w:rsidRPr="00D857BD">
        <w:rPr>
          <w:rFonts w:hint="cs"/>
          <w:noProof w:val="0"/>
          <w:sz w:val="28"/>
          <w:szCs w:val="28"/>
          <w:rtl/>
        </w:rPr>
        <w:t xml:space="preserve">התובעת הציגה אישורי מחלה בשל כאבי הגב ופריצת הדיסק  מהם סבלה וכן מסמכים רפואיים שמתעדים את פניותיה לרופאים בשל כאבים אלו מהם סבלה וכן חוות דעת של ד"ר רנד. ר'  נספחי 2 ו-12  לתצהירה. </w:t>
      </w:r>
    </w:p>
    <w:p w:rsidRPr="00D857BD" w:rsidR="00D857BD" w:rsidP="00D857BD" w:rsidRDefault="00D857BD">
      <w:pPr>
        <w:spacing w:before="120" w:line="360" w:lineRule="auto"/>
        <w:ind w:left="26"/>
        <w:jc w:val="both"/>
        <w:rPr>
          <w:b/>
          <w:bCs/>
          <w:noProof w:val="0"/>
          <w:sz w:val="28"/>
          <w:szCs w:val="28"/>
          <w:u w:val="single"/>
        </w:rPr>
      </w:pPr>
      <w:r w:rsidRPr="00D857BD">
        <w:rPr>
          <w:rFonts w:hint="cs"/>
          <w:b/>
          <w:bCs/>
          <w:noProof w:val="0"/>
          <w:sz w:val="28"/>
          <w:szCs w:val="28"/>
          <w:u w:val="single"/>
          <w:rtl/>
        </w:rPr>
        <w:t>טענות הצדדים</w:t>
      </w:r>
    </w:p>
    <w:p w:rsidRPr="00D857BD" w:rsidR="00D857BD" w:rsidP="00211F76" w:rsidRDefault="00D857BD">
      <w:pPr>
        <w:numPr>
          <w:ilvl w:val="0"/>
          <w:numId w:val="1"/>
        </w:numPr>
        <w:spacing w:before="120" w:after="160" w:line="360" w:lineRule="auto"/>
        <w:jc w:val="both"/>
        <w:rPr>
          <w:noProof w:val="0"/>
          <w:sz w:val="28"/>
          <w:szCs w:val="28"/>
        </w:rPr>
      </w:pPr>
      <w:r w:rsidRPr="00D857BD">
        <w:rPr>
          <w:rFonts w:hint="cs"/>
          <w:noProof w:val="0"/>
          <w:sz w:val="28"/>
          <w:szCs w:val="28"/>
          <w:rtl/>
        </w:rPr>
        <w:t>לטענת התובעת בתחילה, בחודשיים הראשונים לעבודתה עבדה כמוכרת וקופאית בלבד ובהמשך שימשה גם כאחראית משמרת ומחסנאית. לאחר חודשיים נוספים לקחה על עצמה תפקיד נוסף של עובד אחר שפוטר וכי במסגרת תפקיד זה לטענתה השקיעה 4-5 שעות כל יום בעבודה שכללה הזמנות מול ספקים, פירוק עגלות  סופר ענקיות עם בקבוקי זכוכית , משקאות ודליים של זיתים השוקלים 10 ק"ג או יותר וקופסאות שימורים מסחריות שהיה עליה לסדרם מהעגלה למדפים הגבוהים.  התובעת עברה לעבוד בשנת 2013 בסניף ביהוד ושם מעבר לתפקידה כמוכרת ומסדרת סחורות עבדה גם כמחסנאית</w:t>
      </w:r>
      <w:r w:rsidR="00211F76">
        <w:rPr>
          <w:rFonts w:hint="cs"/>
          <w:noProof w:val="0"/>
          <w:sz w:val="28"/>
          <w:szCs w:val="28"/>
          <w:rtl/>
        </w:rPr>
        <w:t xml:space="preserve"> ובמהלך כל תקופת עבודתה ביצעה פעולות חוזרות של כיפוף והרמה</w:t>
      </w:r>
      <w:r w:rsidRPr="00D857BD">
        <w:rPr>
          <w:rFonts w:hint="cs"/>
          <w:noProof w:val="0"/>
          <w:sz w:val="28"/>
          <w:szCs w:val="28"/>
          <w:rtl/>
        </w:rPr>
        <w:t>. כתוצאה מהעבודה המאומצת אובחנה אצל התובעת לטענתה ביום 18.9.13 פריצת דיסק קטנה שהלכה והחמירה ומיום 15.7.14 הפסיקה לעבוד ויצאה לחופשת מחלה עקב פגיעה אורתופדית של פריצת דיסק.</w:t>
      </w:r>
    </w:p>
    <w:p w:rsidRPr="00D857BD" w:rsidR="00D857BD" w:rsidP="00211F76" w:rsidRDefault="00D857BD">
      <w:pPr>
        <w:numPr>
          <w:ilvl w:val="0"/>
          <w:numId w:val="1"/>
        </w:numPr>
        <w:spacing w:before="120" w:after="160" w:line="360" w:lineRule="auto"/>
        <w:jc w:val="both"/>
        <w:rPr>
          <w:noProof w:val="0"/>
          <w:sz w:val="28"/>
          <w:szCs w:val="28"/>
        </w:rPr>
      </w:pPr>
      <w:r w:rsidRPr="00D857BD">
        <w:rPr>
          <w:rFonts w:hint="cs"/>
          <w:noProof w:val="0"/>
          <w:sz w:val="28"/>
          <w:szCs w:val="28"/>
          <w:rtl/>
        </w:rPr>
        <w:t xml:space="preserve"> מנגד לטענת הנתבע התובעת לא הניחה תשתית עובדתית לקיום פגיעה בעבודה על דרך המיקרוטראומה. כמו כן טוען הנתבע כי אין קשר סיבתי בין עבודת התובעת לבין הפגיעה הנטענת והפגיעה מקורה במצב תחלואתי טבעי בשל מצב </w:t>
      </w:r>
      <w:r w:rsidRPr="00D857BD">
        <w:rPr>
          <w:rFonts w:hint="cs"/>
          <w:noProof w:val="0"/>
          <w:sz w:val="28"/>
          <w:szCs w:val="28"/>
          <w:rtl/>
        </w:rPr>
        <w:lastRenderedPageBreak/>
        <w:t xml:space="preserve">קודם שאינו קשור כלל לעבודת התובעת. </w:t>
      </w:r>
      <w:r w:rsidR="00211F76">
        <w:rPr>
          <w:rFonts w:hint="cs"/>
          <w:noProof w:val="0"/>
          <w:sz w:val="28"/>
          <w:szCs w:val="28"/>
          <w:rtl/>
        </w:rPr>
        <w:t xml:space="preserve">עוד טוען הנתבע כי לא מדובר בפעולה חוזרת ונשנית וכי התובעת לא הוכיחה פעולה כזו שנעשית ברציפות ובתדירות. </w:t>
      </w:r>
    </w:p>
    <w:p w:rsidR="00D857BD" w:rsidP="00D857BD" w:rsidRDefault="00D857BD">
      <w:pPr>
        <w:spacing w:before="120" w:line="360" w:lineRule="auto"/>
        <w:ind w:left="26"/>
        <w:jc w:val="both"/>
        <w:rPr>
          <w:b/>
          <w:bCs/>
          <w:noProof w:val="0"/>
          <w:sz w:val="28"/>
          <w:szCs w:val="28"/>
          <w:u w:val="single"/>
          <w:rtl/>
        </w:rPr>
      </w:pPr>
      <w:r w:rsidRPr="00D857BD">
        <w:rPr>
          <w:rFonts w:hint="cs"/>
          <w:b/>
          <w:bCs/>
          <w:noProof w:val="0"/>
          <w:sz w:val="28"/>
          <w:szCs w:val="28"/>
          <w:u w:val="single"/>
          <w:rtl/>
        </w:rPr>
        <w:t>דיון והכרעה</w:t>
      </w:r>
    </w:p>
    <w:p w:rsidRPr="00D857BD" w:rsidR="00D857BD" w:rsidP="00D857BD" w:rsidRDefault="00D857BD">
      <w:pPr>
        <w:numPr>
          <w:ilvl w:val="0"/>
          <w:numId w:val="1"/>
        </w:numPr>
        <w:spacing w:after="160" w:line="360" w:lineRule="auto"/>
        <w:contextualSpacing/>
        <w:jc w:val="both"/>
        <w:rPr>
          <w:rFonts w:ascii="Calibri" w:hAnsi="Calibri" w:eastAsia="Calibri"/>
          <w:noProof w:val="0"/>
          <w:sz w:val="28"/>
          <w:szCs w:val="28"/>
        </w:rPr>
      </w:pPr>
      <w:r w:rsidRPr="00D857BD">
        <w:rPr>
          <w:rFonts w:ascii="Calibri" w:hAnsi="Calibri" w:eastAsia="Calibri" w:cs="Arial"/>
          <w:noProof w:val="0"/>
          <w:sz w:val="28"/>
          <w:szCs w:val="28"/>
          <w:rtl/>
        </w:rPr>
        <w:t>ב</w:t>
      </w:r>
      <w:hyperlink w:history="1" r:id="rId9">
        <w:r w:rsidRPr="00211F76">
          <w:rPr>
            <w:rFonts w:hint="cs"/>
            <w:b/>
            <w:bCs/>
            <w:noProof w:val="0"/>
            <w:sz w:val="28"/>
            <w:szCs w:val="28"/>
            <w:u w:val="single"/>
            <w:rtl/>
          </w:rPr>
          <w:t>עב"ל (ארצי) 30813-11-13</w:t>
        </w:r>
      </w:hyperlink>
      <w:r w:rsidRPr="00D857BD">
        <w:rPr>
          <w:rFonts w:hint="cs"/>
          <w:b/>
          <w:bCs/>
          <w:noProof w:val="0"/>
          <w:sz w:val="28"/>
          <w:szCs w:val="28"/>
          <w:u w:val="single"/>
          <w:rtl/>
        </w:rPr>
        <w:t xml:space="preserve"> ער</w:t>
      </w:r>
      <w:r w:rsidRPr="00D857BD">
        <w:rPr>
          <w:rFonts w:hint="cs" w:ascii="Calibri" w:hAnsi="Calibri" w:eastAsia="Calibri"/>
          <w:b/>
          <w:bCs/>
          <w:noProof w:val="0"/>
          <w:sz w:val="28"/>
          <w:szCs w:val="28"/>
          <w:rtl/>
        </w:rPr>
        <w:t>מי - המוסד לביטוח לאומי</w:t>
      </w:r>
      <w:r w:rsidRPr="00D857BD">
        <w:rPr>
          <w:rFonts w:hint="cs" w:ascii="Calibri" w:hAnsi="Calibri" w:eastAsia="Calibri"/>
          <w:noProof w:val="0"/>
          <w:sz w:val="28"/>
          <w:szCs w:val="28"/>
          <w:rtl/>
        </w:rPr>
        <w:t>, פס"ד מיום 11.3.15, סוכמה ההלכה הפסוקה בנושא תורת המיקרוטראומה באופן הבא:</w:t>
      </w:r>
    </w:p>
    <w:p w:rsidRPr="00D857BD" w:rsidR="00D857BD" w:rsidP="00211F76" w:rsidRDefault="00D857BD">
      <w:pPr>
        <w:spacing w:after="160" w:line="360" w:lineRule="auto"/>
        <w:ind w:left="644" w:right="567"/>
        <w:jc w:val="both"/>
        <w:rPr>
          <w:rFonts w:hint="cs" w:ascii="Calibri" w:hAnsi="Calibri" w:eastAsia="Calibri"/>
          <w:b/>
          <w:bCs/>
          <w:noProof w:val="0"/>
          <w:sz w:val="28"/>
          <w:szCs w:val="28"/>
          <w:rtl/>
        </w:rPr>
      </w:pPr>
      <w:r w:rsidRPr="00D857BD">
        <w:rPr>
          <w:rFonts w:hint="cs" w:ascii="Calibri" w:hAnsi="Calibri" w:eastAsia="Calibri"/>
          <w:b/>
          <w:bCs/>
          <w:noProof w:val="0"/>
          <w:sz w:val="28"/>
          <w:szCs w:val="28"/>
          <w:rtl/>
        </w:rPr>
        <w:t>"לצורך גיבוש העילה על המערער להוכיח, לפי הפסיקה, כי ביצע במהלך עבודתו תנועות חוזרות ונשנות, זהות או דומות במהותן, שחזרו על עצמן למשך פרק זמן רצוף ואשר ניתן לבודד אותן משאר הפעולות והתנועות שביצע במהלך יום העבודה (</w:t>
      </w:r>
      <w:hyperlink w:history="1" r:id="rId10">
        <w:r w:rsidRPr="00211F76">
          <w:rPr>
            <w:rFonts w:hint="cs" w:ascii="Calibri" w:hAnsi="Calibri" w:eastAsia="Calibri"/>
            <w:b/>
            <w:bCs/>
            <w:noProof w:val="0"/>
            <w:sz w:val="28"/>
            <w:szCs w:val="28"/>
            <w:rtl/>
          </w:rPr>
          <w:t>עב"ל 1012/00</w:t>
        </w:r>
      </w:hyperlink>
      <w:r w:rsidRPr="00D857BD">
        <w:rPr>
          <w:rFonts w:hint="cs" w:ascii="Calibri" w:hAnsi="Calibri" w:eastAsia="Calibri"/>
          <w:b/>
          <w:bCs/>
          <w:noProof w:val="0"/>
          <w:sz w:val="28"/>
          <w:szCs w:val="28"/>
          <w:rtl/>
        </w:rPr>
        <w:t xml:space="preserve"> אלי שבח – המוסד לביטוח לאומי (28.7.02)). בהקשר זה, תדירות התנועות החוזרות והנשנות אינה חייבת להיות קבועה וסדירה "אלא על התנועות לחזור ולהישנות בתכיפות הנמשכת על פני פרק זמן מספיק לגרימת הנזק המצטבר הפוגע בכושר עבודת הנפגע" (</w:t>
      </w:r>
      <w:hyperlink w:history="1" r:id="rId11">
        <w:r w:rsidRPr="00211F76">
          <w:rPr>
            <w:rFonts w:hint="cs" w:ascii="Calibri" w:hAnsi="Calibri" w:eastAsia="Calibri"/>
            <w:b/>
            <w:bCs/>
            <w:noProof w:val="0"/>
            <w:sz w:val="28"/>
            <w:szCs w:val="28"/>
            <w:rtl/>
          </w:rPr>
          <w:t>עב"ל 313/97</w:t>
        </w:r>
      </w:hyperlink>
      <w:r w:rsidRPr="00D857BD">
        <w:rPr>
          <w:rFonts w:hint="cs" w:ascii="Calibri" w:hAnsi="Calibri" w:eastAsia="Calibri"/>
          <w:b/>
          <w:bCs/>
          <w:noProof w:val="0"/>
          <w:sz w:val="28"/>
          <w:szCs w:val="28"/>
          <w:rtl/>
        </w:rPr>
        <w:t xml:space="preserve"> המוסד לביטוח לאומי - אשר יניב, פד"ע לה 523 (2000)), ופעולות המורכבות מתנועות מגוונות, המבוצעות על פי סדר משתנה בהתאם לצרכי העבודה, אינן מהוות רצף של תנועות חוזרות ונשנות הדומות זו לזו (</w:t>
      </w:r>
      <w:hyperlink w:history="1" r:id="rId12">
        <w:r w:rsidRPr="00211F76">
          <w:rPr>
            <w:rFonts w:hint="cs" w:ascii="Calibri" w:hAnsi="Calibri" w:eastAsia="Calibri"/>
            <w:b/>
            <w:bCs/>
            <w:noProof w:val="0"/>
            <w:sz w:val="28"/>
            <w:szCs w:val="28"/>
            <w:rtl/>
          </w:rPr>
          <w:t>עב"ל 7807-10-12</w:t>
        </w:r>
      </w:hyperlink>
      <w:r w:rsidRPr="00D857BD">
        <w:rPr>
          <w:rFonts w:hint="cs" w:ascii="Calibri" w:hAnsi="Calibri" w:eastAsia="Calibri"/>
          <w:b/>
          <w:bCs/>
          <w:noProof w:val="0"/>
          <w:sz w:val="28"/>
          <w:szCs w:val="28"/>
          <w:rtl/>
        </w:rPr>
        <w:t xml:space="preserve"> מוניר ג'בור – המוסד לביטוח לאומי (14.1.14))".  </w:t>
      </w:r>
      <w:r w:rsidRPr="00D857BD">
        <w:rPr>
          <w:rFonts w:hint="cs" w:ascii="Calibri" w:hAnsi="Calibri" w:eastAsia="Calibri"/>
          <w:noProof w:val="0"/>
          <w:sz w:val="28"/>
          <w:szCs w:val="28"/>
          <w:rtl/>
        </w:rPr>
        <w:t>ר' גם הנפסק ב</w:t>
      </w:r>
      <w:hyperlink w:history="1" r:id="rId13">
        <w:r w:rsidRPr="00211F76">
          <w:rPr>
            <w:rFonts w:hint="cs" w:ascii="Calibri" w:hAnsi="Calibri" w:eastAsia="Calibri"/>
            <w:noProof w:val="0"/>
            <w:sz w:val="28"/>
            <w:szCs w:val="28"/>
            <w:rtl/>
          </w:rPr>
          <w:t>עב"ל (ארצי) 1374-10-11</w:t>
        </w:r>
      </w:hyperlink>
      <w:r w:rsidRPr="00D857BD">
        <w:rPr>
          <w:rFonts w:hint="cs" w:ascii="Calibri" w:hAnsi="Calibri" w:eastAsia="Calibri"/>
          <w:noProof w:val="0"/>
          <w:sz w:val="28"/>
          <w:szCs w:val="28"/>
          <w:rtl/>
        </w:rPr>
        <w:t xml:space="preserve"> א</w:t>
      </w:r>
      <w:r w:rsidRPr="00D857BD">
        <w:rPr>
          <w:rFonts w:hint="cs" w:ascii="Calibri" w:hAnsi="Calibri" w:eastAsia="Calibri"/>
          <w:b/>
          <w:bCs/>
          <w:noProof w:val="0"/>
          <w:sz w:val="28"/>
          <w:szCs w:val="28"/>
          <w:rtl/>
        </w:rPr>
        <w:t>בשלום – המוסד לביטוח לאומי</w:t>
      </w:r>
      <w:r w:rsidRPr="00D857BD">
        <w:rPr>
          <w:rFonts w:hint="cs" w:ascii="Calibri" w:hAnsi="Calibri" w:eastAsia="Calibri"/>
          <w:noProof w:val="0"/>
          <w:sz w:val="28"/>
          <w:szCs w:val="28"/>
          <w:rtl/>
        </w:rPr>
        <w:t>, פס"ד מיום 10.9.14.</w:t>
      </w:r>
    </w:p>
    <w:p w:rsidRPr="00D857BD" w:rsidR="00D857BD" w:rsidP="00211F76" w:rsidRDefault="00D857BD">
      <w:pPr>
        <w:numPr>
          <w:ilvl w:val="0"/>
          <w:numId w:val="1"/>
        </w:numPr>
        <w:spacing w:before="120" w:after="160" w:line="360" w:lineRule="auto"/>
        <w:jc w:val="both"/>
        <w:rPr>
          <w:rFonts w:hint="cs"/>
          <w:noProof w:val="0"/>
          <w:rtl/>
        </w:rPr>
      </w:pPr>
      <w:r w:rsidRPr="00D857BD">
        <w:rPr>
          <w:rFonts w:hint="cs"/>
          <w:noProof w:val="0"/>
          <w:sz w:val="28"/>
          <w:szCs w:val="28"/>
          <w:rtl/>
        </w:rPr>
        <w:t xml:space="preserve">התנאים הדרושים להוכחת תביעה בעילת המיקרוטראומה נדונו בהרחבה בפסיקה. נקבע, כי יש להוכיח קיומן של פגיעות זעירות שכל אחת מהן הסבה נזק בלתי הדיר, ונזקים זעירים אלו, שלא ניתן לאבחנם כבודדים, הצטברו יחד עד שהביאו בסופו של דבר לנזק שנגרם למבוטח. (עב"ל (ארצי) 25130-01-11 </w:t>
      </w:r>
      <w:r w:rsidRPr="00D857BD">
        <w:rPr>
          <w:rFonts w:hint="cs"/>
          <w:b/>
          <w:bCs/>
          <w:noProof w:val="0"/>
          <w:sz w:val="28"/>
          <w:szCs w:val="28"/>
          <w:rtl/>
        </w:rPr>
        <w:t>מיכאל יושבאייב – המוסד לביטוח לאומי</w:t>
      </w:r>
      <w:r w:rsidRPr="00D857BD">
        <w:rPr>
          <w:rFonts w:hint="cs"/>
          <w:noProof w:val="0"/>
          <w:sz w:val="28"/>
          <w:szCs w:val="28"/>
          <w:rtl/>
        </w:rPr>
        <w:t xml:space="preserve">, מיום 17.6.12). </w:t>
      </w:r>
    </w:p>
    <w:p w:rsidRPr="00D857BD" w:rsidR="00D857BD" w:rsidP="00D857BD" w:rsidRDefault="00D857BD">
      <w:pPr>
        <w:numPr>
          <w:ilvl w:val="0"/>
          <w:numId w:val="1"/>
        </w:numPr>
        <w:shd w:val="clear" w:color="auto" w:fill="FFFFFF"/>
        <w:spacing w:before="120" w:after="160" w:line="360" w:lineRule="auto"/>
        <w:jc w:val="both"/>
        <w:rPr>
          <w:rFonts w:ascii="Courier" w:hAnsi="Courier"/>
          <w:noProof w:val="0"/>
          <w:sz w:val="28"/>
          <w:szCs w:val="28"/>
        </w:rPr>
      </w:pPr>
      <w:r w:rsidRPr="00D857BD">
        <w:rPr>
          <w:rFonts w:hint="cs"/>
          <w:noProof w:val="0"/>
          <w:sz w:val="28"/>
          <w:szCs w:val="28"/>
          <w:rtl/>
        </w:rPr>
        <w:t xml:space="preserve">הלכה היא כי הפעולות המקימות את עילת המיקרוטראומה אינן חייבות להיות זהות, אך השפעתן צריכה להיות זהה וממוקדת למקום מוגדר. זאת ועוד, תדירותן אינה חייבת להיות קבועה, אלא על התנועות לחזור ולהישנות בתכיפות הנמשכת על פרק זמן מספיק לגרימת הנזק המצטבר הפוגע בכושר עבודת הנפגע. </w:t>
      </w:r>
      <w:r w:rsidRPr="00D857BD">
        <w:rPr>
          <w:rFonts w:hint="cs"/>
          <w:noProof w:val="0"/>
          <w:color w:val="000000"/>
          <w:sz w:val="28"/>
          <w:szCs w:val="28"/>
          <w:rtl/>
        </w:rPr>
        <w:t xml:space="preserve">בפרשת </w:t>
      </w:r>
      <w:r w:rsidRPr="00D857BD">
        <w:rPr>
          <w:rFonts w:hint="cs"/>
          <w:b/>
          <w:bCs/>
          <w:noProof w:val="0"/>
          <w:color w:val="000000"/>
          <w:sz w:val="28"/>
          <w:szCs w:val="28"/>
          <w:rtl/>
        </w:rPr>
        <w:t>דליה חסידי</w:t>
      </w:r>
      <w:r w:rsidRPr="00D857BD">
        <w:rPr>
          <w:rFonts w:hint="cs"/>
          <w:noProof w:val="0"/>
          <w:color w:val="000000"/>
          <w:sz w:val="28"/>
          <w:szCs w:val="28"/>
          <w:rtl/>
        </w:rPr>
        <w:t xml:space="preserve"> קבע בית הדין הארצי כי:</w:t>
      </w:r>
    </w:p>
    <w:p w:rsidRPr="00D857BD" w:rsidR="00D857BD" w:rsidP="00D857BD" w:rsidRDefault="00D857BD">
      <w:pPr>
        <w:suppressLineNumbers/>
        <w:spacing w:line="360" w:lineRule="auto"/>
        <w:ind w:left="720"/>
        <w:jc w:val="both"/>
        <w:rPr>
          <w:rFonts w:hint="cs"/>
          <w:noProof w:val="0"/>
          <w:color w:val="000000"/>
          <w:rtl/>
        </w:rPr>
      </w:pPr>
    </w:p>
    <w:p w:rsidRPr="00D857BD" w:rsidR="00D857BD" w:rsidP="00D857BD" w:rsidRDefault="00D857BD">
      <w:pPr>
        <w:spacing w:line="360" w:lineRule="auto"/>
        <w:ind w:left="1440" w:right="993"/>
        <w:jc w:val="both"/>
        <w:rPr>
          <w:rFonts w:hint="cs" w:ascii="Arial" w:hAnsi="Arial"/>
          <w:noProof w:val="0"/>
          <w:rtl/>
        </w:rPr>
      </w:pPr>
      <w:r w:rsidRPr="00D857BD">
        <w:rPr>
          <w:rFonts w:hint="cs" w:ascii="Arial" w:hAnsi="Arial"/>
          <w:b/>
          <w:bCs/>
          <w:noProof w:val="0"/>
          <w:rtl/>
        </w:rPr>
        <w:t xml:space="preserve">"כעולה מהעובדות שהובאו בפני בית הדין האזורי, כללה עבודת המערערת במהלך היום פעולות שונות. אולם, אין די בכך כדי לדחות על הסף את הטענה לקיומן של פעולות חוזרות ונשנות </w:t>
      </w:r>
      <w:r w:rsidRPr="00D857BD">
        <w:rPr>
          <w:rFonts w:hint="cs" w:ascii="Arial" w:hAnsi="Arial"/>
          <w:b/>
          <w:bCs/>
          <w:noProof w:val="0"/>
          <w:u w:val="single"/>
          <w:rtl/>
        </w:rPr>
        <w:t>ויש לבחון אם במסגרת אותן פעולות שונות שביצעה המערערת ניתן לאבחן ולבודד פעולה חוזרת ונשנית, שפעלה על מקום מוגדר, או שמא מדובר בפעולות שהן זהות במהותן, היינו, הן פועלות באופן חוזר ונשנה על אותו מקום מוגדר.</w:t>
      </w:r>
      <w:r w:rsidRPr="00D857BD">
        <w:rPr>
          <w:rFonts w:hint="cs" w:ascii="Arial" w:hAnsi="Arial"/>
          <w:b/>
          <w:bCs/>
          <w:noProof w:val="0"/>
          <w:rtl/>
        </w:rPr>
        <w:t xml:space="preserve"> </w:t>
      </w:r>
      <w:r w:rsidRPr="00D857BD">
        <w:rPr>
          <w:rFonts w:hint="cs" w:ascii="Arial" w:hAnsi="Arial"/>
          <w:b/>
          <w:bCs/>
          <w:noProof w:val="0"/>
          <w:u w:val="single"/>
          <w:rtl/>
        </w:rPr>
        <w:t>בשני המקרים מהוות פעולות אלה תשתית להכרה בעילת המיקרוטראומה.</w:t>
      </w:r>
      <w:r w:rsidRPr="00D857BD">
        <w:rPr>
          <w:rFonts w:hint="cs" w:ascii="Arial" w:hAnsi="Arial"/>
          <w:b/>
          <w:bCs/>
          <w:noProof w:val="0"/>
          <w:rtl/>
        </w:rPr>
        <w:t xml:space="preserve"> על מנת להשיב על שאלה זו יש "לחלץ" מתוך יום העבודה של המערערת את אותן פעולות חוזרות ונשנות או הדומות במהותן. אכן, ייתכן כי בסופו של יום יתברר שאין בהיקף הפעולות שביצעה המערערת כדי לעמוד בדרישת ה"חוזרות ונשנות", ואולם העובדה שקיימות פעולות </w:t>
      </w:r>
      <w:r w:rsidRPr="00D857BD">
        <w:rPr>
          <w:rFonts w:hint="cs" w:ascii="Arial" w:hAnsi="Arial"/>
          <w:b/>
          <w:bCs/>
          <w:noProof w:val="0"/>
          <w:u w:val="single"/>
          <w:rtl/>
        </w:rPr>
        <w:t>נוספות</w:t>
      </w:r>
      <w:r w:rsidRPr="00D857BD">
        <w:rPr>
          <w:rFonts w:hint="cs" w:ascii="Arial" w:hAnsi="Arial"/>
          <w:b/>
          <w:bCs/>
          <w:noProof w:val="0"/>
          <w:rtl/>
        </w:rPr>
        <w:t>, אין בה כשלעצמה כדי לאיין את קיומן של אותן פעולות" (</w:t>
      </w:r>
      <w:hyperlink w:history="1" r:id="rId14">
        <w:r w:rsidRPr="00211F76">
          <w:rPr>
            <w:rFonts w:hint="cs" w:ascii="Arial" w:hAnsi="Arial"/>
            <w:b/>
            <w:bCs/>
            <w:noProof w:val="0"/>
            <w:rtl/>
          </w:rPr>
          <w:t>עב"ל 32417-01-12</w:t>
        </w:r>
      </w:hyperlink>
      <w:r w:rsidRPr="00D857BD">
        <w:rPr>
          <w:rFonts w:hint="cs" w:ascii="Arial" w:hAnsi="Arial"/>
          <w:noProof w:val="0"/>
          <w:rtl/>
        </w:rPr>
        <w:t xml:space="preserve"> </w:t>
      </w:r>
      <w:r w:rsidRPr="00D857BD">
        <w:rPr>
          <w:rFonts w:hint="cs" w:ascii="Arial" w:hAnsi="Arial"/>
          <w:b/>
          <w:bCs/>
          <w:noProof w:val="0"/>
          <w:rtl/>
        </w:rPr>
        <w:t>דליה חסידי - המוסד</w:t>
      </w:r>
      <w:r w:rsidRPr="00D857BD">
        <w:rPr>
          <w:rFonts w:hint="cs" w:ascii="Arial" w:hAnsi="Arial"/>
          <w:noProof w:val="0"/>
          <w:rtl/>
        </w:rPr>
        <w:t xml:space="preserve">, ניתן ביום 2.12.12.; וראו גם </w:t>
      </w:r>
      <w:hyperlink w:history="1" r:id="rId15">
        <w:r w:rsidRPr="00211F76">
          <w:rPr>
            <w:rFonts w:hint="cs" w:ascii="Arial" w:hAnsi="Arial"/>
            <w:noProof w:val="0"/>
            <w:rtl/>
          </w:rPr>
          <w:t>עב"ל 465/07</w:t>
        </w:r>
      </w:hyperlink>
      <w:r w:rsidRPr="00D857BD">
        <w:rPr>
          <w:rFonts w:hint="cs" w:ascii="Arial" w:hAnsi="Arial"/>
          <w:noProof w:val="0"/>
          <w:rtl/>
        </w:rPr>
        <w:t xml:space="preserve"> </w:t>
      </w:r>
      <w:r w:rsidRPr="00D857BD">
        <w:rPr>
          <w:rFonts w:hint="cs" w:ascii="Arial" w:hAnsi="Arial"/>
          <w:b/>
          <w:bCs/>
          <w:noProof w:val="0"/>
          <w:rtl/>
        </w:rPr>
        <w:t xml:space="preserve">עופר יהודאי - המוסד, </w:t>
      </w:r>
      <w:r w:rsidRPr="00D857BD">
        <w:rPr>
          <w:rFonts w:hint="cs" w:ascii="Arial" w:hAnsi="Arial"/>
          <w:noProof w:val="0"/>
          <w:rtl/>
        </w:rPr>
        <w:t>ניתן ביום 20.12.07).</w:t>
      </w:r>
    </w:p>
    <w:p w:rsidRPr="00D857BD" w:rsidR="00D857BD" w:rsidP="00D857BD" w:rsidRDefault="00D857BD">
      <w:pPr>
        <w:numPr>
          <w:ilvl w:val="0"/>
          <w:numId w:val="1"/>
        </w:numPr>
        <w:shd w:val="clear" w:color="auto" w:fill="FFFFFF"/>
        <w:spacing w:before="120" w:after="160" w:line="360" w:lineRule="auto"/>
        <w:jc w:val="both"/>
        <w:rPr>
          <w:rFonts w:hint="cs" w:ascii="Courier" w:hAnsi="Courier"/>
          <w:noProof w:val="0"/>
          <w:sz w:val="28"/>
          <w:szCs w:val="28"/>
          <w:rtl/>
        </w:rPr>
      </w:pPr>
      <w:r w:rsidRPr="00D857BD">
        <w:rPr>
          <w:rFonts w:hint="cs" w:ascii="Courier" w:hAnsi="Courier"/>
          <w:noProof w:val="0"/>
          <w:sz w:val="28"/>
          <w:szCs w:val="28"/>
          <w:rtl/>
        </w:rPr>
        <w:t xml:space="preserve">אכן </w:t>
      </w:r>
      <w:r w:rsidRPr="00D857BD">
        <w:rPr>
          <w:rFonts w:hint="cs" w:ascii="Arial" w:hAnsi="Arial"/>
          <w:sz w:val="28"/>
          <w:szCs w:val="28"/>
          <w:rtl/>
        </w:rPr>
        <w:t xml:space="preserve"> תורת המיקרוטראומה איננה הופכת כ"במטה קסם" שורה של כאבי גב לסדרה של פגיעות זעירות חוזרת ונשנות (דב"ע מח/0-77 </w:t>
      </w:r>
      <w:r w:rsidRPr="00D857BD">
        <w:rPr>
          <w:rFonts w:hint="cs" w:ascii="Arial" w:hAnsi="Arial"/>
          <w:b/>
          <w:bCs/>
          <w:sz w:val="28"/>
          <w:szCs w:val="28"/>
          <w:rtl/>
        </w:rPr>
        <w:t>אליעזר מזרחי - המוסד לביטוח לאומי</w:t>
      </w:r>
      <w:r w:rsidRPr="00D857BD">
        <w:rPr>
          <w:rFonts w:hint="cs" w:ascii="Arial" w:hAnsi="Arial"/>
          <w:sz w:val="28"/>
          <w:szCs w:val="28"/>
          <w:rtl/>
        </w:rPr>
        <w:t xml:space="preserve">, פד"ע י"ט 538). ועל-מנת שימונה מומחה-יועץ רפואי, על המערער להניח תשתית עובדתית בעניין פגיעות חוזרות ונשנות, זהות או דומות, משך זמן ממושך ובתדירות גבוהה, כדי שניתן יהיה להניח אותה בפני המומחה. </w:t>
      </w:r>
    </w:p>
    <w:p w:rsidRPr="00D857BD" w:rsidR="00D857BD" w:rsidP="00D857BD" w:rsidRDefault="00D857BD">
      <w:pPr>
        <w:numPr>
          <w:ilvl w:val="0"/>
          <w:numId w:val="1"/>
        </w:numPr>
        <w:spacing w:after="160" w:line="360" w:lineRule="auto"/>
        <w:contextualSpacing/>
        <w:jc w:val="both"/>
        <w:rPr>
          <w:rFonts w:ascii="Calibri" w:hAnsi="Calibri" w:eastAsia="Calibri"/>
          <w:noProof w:val="0"/>
          <w:sz w:val="28"/>
          <w:szCs w:val="28"/>
        </w:rPr>
      </w:pPr>
      <w:r w:rsidRPr="00D857BD">
        <w:rPr>
          <w:rFonts w:hint="cs" w:ascii="Calibri" w:hAnsi="Calibri" w:eastAsia="Calibri"/>
          <w:noProof w:val="0"/>
          <w:sz w:val="28"/>
          <w:szCs w:val="28"/>
          <w:rtl/>
        </w:rPr>
        <w:t>משכך עלינו לבחון האם עלה בידי התובעת להוכיח תשתית עובדתית הכוללת קיומן של פעולות חוזרות ונשנות, דומות במהותן, בתדירות גבוהה ולמשך זמן.</w:t>
      </w:r>
    </w:p>
    <w:p w:rsidRPr="00D857BD" w:rsidR="00D857BD" w:rsidP="00D857BD" w:rsidRDefault="00D857BD">
      <w:pPr>
        <w:numPr>
          <w:ilvl w:val="0"/>
          <w:numId w:val="1"/>
        </w:numPr>
        <w:spacing w:after="160" w:line="360" w:lineRule="auto"/>
        <w:contextualSpacing/>
        <w:jc w:val="both"/>
        <w:rPr>
          <w:rFonts w:ascii="Calibri" w:hAnsi="Calibri" w:eastAsia="Calibri"/>
          <w:noProof w:val="0"/>
          <w:sz w:val="28"/>
          <w:szCs w:val="28"/>
        </w:rPr>
      </w:pPr>
      <w:r w:rsidRPr="00D857BD">
        <w:rPr>
          <w:rFonts w:hint="cs" w:ascii="Calibri" w:hAnsi="Calibri" w:eastAsia="Calibri"/>
          <w:noProof w:val="0"/>
          <w:sz w:val="28"/>
          <w:szCs w:val="28"/>
          <w:rtl/>
        </w:rPr>
        <w:t xml:space="preserve">לאחר ששמענו את עדות התובעת </w:t>
      </w:r>
      <w:r w:rsidR="00211F76">
        <w:rPr>
          <w:rFonts w:hint="cs" w:ascii="Calibri" w:hAnsi="Calibri" w:eastAsia="Calibri"/>
          <w:noProof w:val="0"/>
          <w:sz w:val="28"/>
          <w:szCs w:val="28"/>
          <w:rtl/>
        </w:rPr>
        <w:t xml:space="preserve">ושאר העדות מטעמה </w:t>
      </w:r>
      <w:r w:rsidRPr="00D857BD">
        <w:rPr>
          <w:rFonts w:hint="cs" w:ascii="Calibri" w:hAnsi="Calibri" w:eastAsia="Calibri"/>
          <w:noProof w:val="0"/>
          <w:sz w:val="28"/>
          <w:szCs w:val="28"/>
          <w:rtl/>
        </w:rPr>
        <w:t>ובחנו את כלל הראיות שהוצגו בפנינו לא שוכנענו כי עלה בידי התובעת להוכיח תשתית עובדתית הדרושה ליישום תורת המיקרוטראומה. נבאר מסקנתנו.</w:t>
      </w:r>
    </w:p>
    <w:p w:rsidRPr="00211F76" w:rsidR="00211F76" w:rsidP="00211F76" w:rsidRDefault="00D857BD">
      <w:pPr>
        <w:numPr>
          <w:ilvl w:val="0"/>
          <w:numId w:val="1"/>
        </w:numPr>
        <w:spacing w:before="120" w:after="160" w:line="360" w:lineRule="auto"/>
        <w:jc w:val="both"/>
        <w:rPr>
          <w:b/>
          <w:bCs/>
          <w:noProof w:val="0"/>
          <w:sz w:val="28"/>
          <w:szCs w:val="28"/>
        </w:rPr>
      </w:pPr>
      <w:r w:rsidRPr="00D857BD">
        <w:rPr>
          <w:rFonts w:hint="cs"/>
          <w:noProof w:val="0"/>
          <w:sz w:val="28"/>
          <w:szCs w:val="28"/>
          <w:rtl/>
        </w:rPr>
        <w:t>עיון בטופס ההצהרה של התובעת לפקיד התביעות- נספח 8 לתצהירה מעלה כי התובעת הצהירה בכל הנוגע לתיאור סדר היום שלה כמצוטט:</w:t>
      </w:r>
    </w:p>
    <w:p w:rsidRPr="00D857BD" w:rsidR="00D857BD" w:rsidP="00211F76" w:rsidRDefault="00D857BD">
      <w:pPr>
        <w:spacing w:before="120" w:after="160" w:line="360" w:lineRule="auto"/>
        <w:ind w:left="644"/>
        <w:jc w:val="both"/>
        <w:rPr>
          <w:b/>
          <w:bCs/>
          <w:noProof w:val="0"/>
          <w:sz w:val="28"/>
          <w:szCs w:val="28"/>
        </w:rPr>
      </w:pPr>
      <w:r w:rsidRPr="00D857BD">
        <w:rPr>
          <w:rFonts w:hint="cs"/>
          <w:noProof w:val="0"/>
          <w:sz w:val="28"/>
          <w:szCs w:val="28"/>
          <w:rtl/>
        </w:rPr>
        <w:t xml:space="preserve"> "</w:t>
      </w:r>
      <w:r w:rsidRPr="00D857BD">
        <w:rPr>
          <w:rFonts w:hint="cs"/>
          <w:b/>
          <w:bCs/>
          <w:noProof w:val="0"/>
          <w:sz w:val="28"/>
          <w:szCs w:val="28"/>
          <w:rtl/>
        </w:rPr>
        <w:t>מגיעה למשמרת מ13.00. בחודשים הראשונים הייתי מוכרת. אחר כך כשהייתי מסדרת סחורות . נכנסת ומסתכלת במדפים לראות מה חסר שואלת את המחסנ</w:t>
      </w:r>
      <w:r w:rsidR="009754C8">
        <w:rPr>
          <w:rFonts w:hint="cs"/>
          <w:b/>
          <w:bCs/>
          <w:noProof w:val="0"/>
          <w:sz w:val="28"/>
          <w:szCs w:val="28"/>
          <w:rtl/>
        </w:rPr>
        <w:t>א</w:t>
      </w:r>
      <w:r w:rsidRPr="00D857BD">
        <w:rPr>
          <w:rFonts w:hint="cs"/>
          <w:b/>
          <w:bCs/>
          <w:noProof w:val="0"/>
          <w:sz w:val="28"/>
          <w:szCs w:val="28"/>
          <w:rtl/>
        </w:rPr>
        <w:t xml:space="preserve">ים אם הגיעו סחורות. היו מחכות לי סחורות בעגלות סופר דוחפת </w:t>
      </w:r>
      <w:r w:rsidRPr="00D857BD">
        <w:rPr>
          <w:rFonts w:hint="cs"/>
          <w:b/>
          <w:bCs/>
          <w:noProof w:val="0"/>
          <w:sz w:val="28"/>
          <w:szCs w:val="28"/>
          <w:rtl/>
        </w:rPr>
        <w:lastRenderedPageBreak/>
        <w:t xml:space="preserve">אותה למדף. המוצרים הם צנצנות מלאות במאכלים, קופסאות שימורים ,בקבוקי יין, מוצרי שוקולד תעשייתים, רטבים בבקבוקי זכוכית, סרוויסים של אוכל.. היו מוצרים בין 2-8 ק"ג. הייתי עוזרת להרים סירים ופלצ'ות. באפקה אני הייתי מסדרת סחורה , כמו שאמרתי לך בערך 2-4 שעות ביום ואחר הולכת לעבוד כמוכרת או כאורזת מתנות. הייתי מסדרת את המעדנייה . הייתי מבצעת כל עבודה שהייתה צריכה להתבצע בסניף הייתי כלבונייקית מה שנקרא. אם היה צריך ספירת מלאי בסוף יום עבודה נשארת ומבצעת ספירה. הייתי עושה הכל באמת כל דבר שהיה לעשות" </w:t>
      </w:r>
    </w:p>
    <w:p w:rsidRPr="00D857BD" w:rsidR="00D857BD" w:rsidP="00D857BD" w:rsidRDefault="00D857BD">
      <w:pPr>
        <w:numPr>
          <w:ilvl w:val="0"/>
          <w:numId w:val="1"/>
        </w:numPr>
        <w:spacing w:before="120" w:after="160" w:line="360" w:lineRule="auto"/>
        <w:jc w:val="both"/>
        <w:rPr>
          <w:noProof w:val="0"/>
          <w:sz w:val="28"/>
          <w:szCs w:val="28"/>
        </w:rPr>
      </w:pPr>
      <w:r w:rsidRPr="00D857BD">
        <w:rPr>
          <w:rFonts w:hint="cs"/>
          <w:noProof w:val="0"/>
          <w:sz w:val="28"/>
          <w:szCs w:val="28"/>
          <w:rtl/>
        </w:rPr>
        <w:t>עיון בתשובת התובעת לשאלון של הנתבע – נספח 7 מעלה כי התובעת הגדירה את תפקידה: מוכרת, מסדרת סחורה , אח"כ קודמתי וביצעת גם תפקידים של אחראית משמרת וקופאית.  כמו כן התובעת תארה את סדר יומה בשאלון כמפורט:</w:t>
      </w:r>
    </w:p>
    <w:p w:rsidRPr="00D857BD" w:rsidR="00D857BD" w:rsidP="009754C8" w:rsidRDefault="00D857BD">
      <w:pPr>
        <w:spacing w:after="160" w:line="256" w:lineRule="auto"/>
        <w:ind w:left="720"/>
        <w:contextualSpacing/>
        <w:rPr>
          <w:b/>
          <w:bCs/>
          <w:noProof w:val="0"/>
          <w:sz w:val="28"/>
          <w:szCs w:val="28"/>
        </w:rPr>
      </w:pPr>
      <w:r w:rsidRPr="00D857BD">
        <w:rPr>
          <w:rFonts w:hint="cs"/>
          <w:b/>
          <w:bCs/>
          <w:noProof w:val="0"/>
          <w:sz w:val="28"/>
          <w:szCs w:val="28"/>
          <w:rtl/>
        </w:rPr>
        <w:t>" כמסדרת סחורה- הייתי מפרקת משטחים של סחורה כבדה מאוד- סירים , מחבתות, משטחי צלייה ( פלנצ'ות) , קופסאות שימורים, בקבוקי יין וכו'. ואח"כ מעבירה את הסחורה בעגלה  ומסדרת אותם על המדפים בחנות תוך כיפוף והרמה של סחורה.  כאחראית משמרת ( אחמ"ש)- מכרתי וניהלתי את העבודה במשמרת , ארזתי את המוצרים, עבדתי כקופאית וכו'... כאשר עבדתי באפקה מיום 1.2.13 במשך כשנה המחסנאי העלה את הסחורה לחנות אני פיזרתי את המוצרים למדפים שחלקם היו גבוהים ולכך להתכופף ולהרים את הסחורה שהיתה כבדה מאוד להרים אותה כדי להניחה על המדפים. ביהוד- לא היתה לי עזרה ונאלצתי לבצע את העבודה גם של המחסנאי. .. כמה זמן במשך היום את מבצעת כל פעולה? ת: פריקת הסחורה וסידורה על המדפים במשך 2-4 שעות ביום ומס</w:t>
      </w:r>
      <w:r w:rsidR="009754C8">
        <w:rPr>
          <w:rFonts w:hint="cs"/>
          <w:b/>
          <w:bCs/>
          <w:noProof w:val="0"/>
          <w:sz w:val="28"/>
          <w:szCs w:val="28"/>
          <w:rtl/>
        </w:rPr>
        <w:t>פ</w:t>
      </w:r>
      <w:r w:rsidRPr="00D857BD">
        <w:rPr>
          <w:rFonts w:hint="cs"/>
          <w:b/>
          <w:bCs/>
          <w:noProof w:val="0"/>
          <w:sz w:val="28"/>
          <w:szCs w:val="28"/>
          <w:rtl/>
        </w:rPr>
        <w:t>ר שעות אריזת המוצרים... וכקופאית גם ארזתי את המוצרים שמכרתי במהלך היום. ...בתחילת היום אני מפרקת את הסחורה אח"כ מטפלת בלקוחות, מסייעת לעובדים, אורזת מתנות, מכינה קוקטיילים של גבינות וזיתים, מרימה ומסדרת את המוצרים במדפים".</w:t>
      </w:r>
    </w:p>
    <w:p w:rsidRPr="00D857BD" w:rsidR="00D857BD" w:rsidP="00D857BD" w:rsidRDefault="00D857BD">
      <w:pPr>
        <w:spacing w:after="160" w:line="256" w:lineRule="auto"/>
        <w:ind w:left="720"/>
        <w:contextualSpacing/>
        <w:rPr>
          <w:rFonts w:hint="cs"/>
          <w:b/>
          <w:bCs/>
          <w:noProof w:val="0"/>
          <w:sz w:val="28"/>
          <w:szCs w:val="28"/>
          <w:rtl/>
        </w:rPr>
      </w:pPr>
    </w:p>
    <w:p w:rsidRPr="00D857BD" w:rsidR="00D857BD" w:rsidP="009754C8" w:rsidRDefault="00D857BD">
      <w:pPr>
        <w:numPr>
          <w:ilvl w:val="0"/>
          <w:numId w:val="1"/>
        </w:numPr>
        <w:spacing w:before="120" w:after="160" w:line="360" w:lineRule="auto"/>
        <w:jc w:val="both"/>
        <w:rPr>
          <w:rFonts w:hint="cs"/>
          <w:noProof w:val="0"/>
          <w:sz w:val="28"/>
          <w:szCs w:val="28"/>
          <w:rtl/>
        </w:rPr>
      </w:pPr>
      <w:r w:rsidRPr="00D857BD">
        <w:rPr>
          <w:rFonts w:hint="cs"/>
          <w:noProof w:val="0"/>
          <w:sz w:val="28"/>
          <w:szCs w:val="28"/>
          <w:rtl/>
        </w:rPr>
        <w:t>מנגד עיון בתשובות המעביד לשאלון מעלה כי תפקידה של התובעת היה אחראית משמרת בסניף יהוד. והמעסיק תיאר את יום עבודתה של התובעת כמפורט: "</w:t>
      </w:r>
      <w:r w:rsidRPr="00D857BD">
        <w:rPr>
          <w:rFonts w:hint="cs"/>
          <w:b/>
          <w:bCs/>
          <w:noProof w:val="0"/>
          <w:sz w:val="28"/>
          <w:szCs w:val="28"/>
          <w:rtl/>
        </w:rPr>
        <w:t>כאחראית משמרת פתיחת או סגירת סניף, ספירת קופות, השגחה על עבודת הצוות בשילוב מכירות ללקוחות ובקופה. הזמנות מול ספקים, אחריות לקבלת סחורה מספקים ושרשרת תפעולים עד סידור במדפים</w:t>
      </w:r>
      <w:r w:rsidRPr="00D857BD">
        <w:rPr>
          <w:rFonts w:hint="cs"/>
          <w:noProof w:val="0"/>
          <w:sz w:val="28"/>
          <w:szCs w:val="28"/>
          <w:rtl/>
        </w:rPr>
        <w:t xml:space="preserve">".  עוד ציין המעסיק כי </w:t>
      </w:r>
      <w:r w:rsidRPr="00D857BD">
        <w:rPr>
          <w:rFonts w:hint="cs"/>
          <w:noProof w:val="0"/>
          <w:sz w:val="28"/>
          <w:szCs w:val="28"/>
          <w:rtl/>
        </w:rPr>
        <w:lastRenderedPageBreak/>
        <w:t>מדובר משקל של משאות בין 2-3 ק"ג. וכי מדובר על :" הרמת משא מהריצפה למדף וככל שיש צורך בהובלת המשא בעגלת סופר למרחק של  כ50 מטרים. וכי מדובר על פעולה שמתבצעת 2-3 פעמים בשבוע כשעתיים- 4-6 שעות שבועיות וכי הפעולה לא נמשכ</w:t>
      </w:r>
      <w:r w:rsidR="009754C8">
        <w:rPr>
          <w:rFonts w:hint="cs"/>
          <w:noProof w:val="0"/>
          <w:sz w:val="28"/>
          <w:szCs w:val="28"/>
          <w:rtl/>
        </w:rPr>
        <w:t>ת</w:t>
      </w:r>
      <w:r w:rsidRPr="00D857BD">
        <w:rPr>
          <w:rFonts w:hint="cs"/>
          <w:noProof w:val="0"/>
          <w:sz w:val="28"/>
          <w:szCs w:val="28"/>
          <w:rtl/>
        </w:rPr>
        <w:t xml:space="preserve"> ברציפות כל היום וכי בין ההרמות העובדת מבצעת פעולות נוספות:" </w:t>
      </w:r>
      <w:r w:rsidRPr="00D857BD">
        <w:rPr>
          <w:rFonts w:hint="cs"/>
          <w:b/>
          <w:bCs/>
          <w:noProof w:val="0"/>
          <w:sz w:val="28"/>
          <w:szCs w:val="28"/>
          <w:rtl/>
        </w:rPr>
        <w:t xml:space="preserve">מכירות, הזמנות מספקים, קופאית , הפקדות בבנק . .." </w:t>
      </w:r>
      <w:r w:rsidRPr="00D857BD">
        <w:rPr>
          <w:rFonts w:hint="cs"/>
          <w:noProof w:val="0"/>
          <w:sz w:val="28"/>
          <w:szCs w:val="28"/>
          <w:rtl/>
        </w:rPr>
        <w:t xml:space="preserve">כמו כן המעסיק ציין: " </w:t>
      </w:r>
      <w:r w:rsidRPr="00D857BD">
        <w:rPr>
          <w:rFonts w:hint="cs"/>
          <w:b/>
          <w:bCs/>
          <w:noProof w:val="0"/>
          <w:sz w:val="28"/>
          <w:szCs w:val="28"/>
          <w:rtl/>
        </w:rPr>
        <w:t>יודגש שהגדרת תפקידה של שיראל הוא אחמש"ית ובמסגרת זו כל העובדים בכל המשמרות טפלו בסחורות ודאגו לסדר אותם בחנות</w:t>
      </w:r>
      <w:r w:rsidRPr="00D857BD">
        <w:rPr>
          <w:rFonts w:hint="cs"/>
          <w:noProof w:val="0"/>
          <w:sz w:val="28"/>
          <w:szCs w:val="28"/>
          <w:rtl/>
        </w:rPr>
        <w:t xml:space="preserve">. " ר' נספח  7 א' לתצהיר התובעת. </w:t>
      </w:r>
    </w:p>
    <w:p w:rsidRPr="00D857BD" w:rsidR="00D857BD" w:rsidP="009754C8" w:rsidRDefault="00D857BD">
      <w:pPr>
        <w:numPr>
          <w:ilvl w:val="0"/>
          <w:numId w:val="1"/>
        </w:numPr>
        <w:spacing w:before="120" w:after="160" w:line="360" w:lineRule="auto"/>
        <w:jc w:val="both"/>
        <w:rPr>
          <w:noProof w:val="0"/>
          <w:sz w:val="28"/>
          <w:szCs w:val="28"/>
        </w:rPr>
      </w:pPr>
      <w:r w:rsidRPr="00D857BD">
        <w:rPr>
          <w:rFonts w:hint="cs"/>
          <w:noProof w:val="0"/>
          <w:sz w:val="28"/>
          <w:szCs w:val="28"/>
          <w:rtl/>
        </w:rPr>
        <w:t>גם עיון בחקירתה הנגדית של המנהלת של התובעת , הגב'   אורית להעז נגיל  מעלה כי כל המוכרות בחנות היו עושות הכל וכי  אין הגדרות תפקיד ובכל מקרה בחודשים הראשונים התובעת עבדה רק כמוכרת וקופאית. ר' עמ' 5 שורות  1-4.</w:t>
      </w:r>
    </w:p>
    <w:p w:rsidRPr="00D857BD" w:rsidR="00D857BD" w:rsidP="009754C8" w:rsidRDefault="00D857BD">
      <w:pPr>
        <w:numPr>
          <w:ilvl w:val="0"/>
          <w:numId w:val="1"/>
        </w:numPr>
        <w:spacing w:before="120" w:after="160" w:line="360" w:lineRule="auto"/>
        <w:jc w:val="both"/>
        <w:rPr>
          <w:noProof w:val="0"/>
          <w:sz w:val="28"/>
          <w:szCs w:val="28"/>
        </w:rPr>
      </w:pPr>
      <w:r w:rsidRPr="00D857BD">
        <w:rPr>
          <w:rFonts w:hint="cs"/>
          <w:noProof w:val="0"/>
          <w:sz w:val="28"/>
          <w:szCs w:val="28"/>
          <w:rtl/>
        </w:rPr>
        <w:t>ערים אנו לטענת התובעת כי חלק נכבד מיום עבודתה כלל פריקת סחורה והעברתם למדפים, אולם עיון בעדות המנהלת שלה הגב' אורית להעז נגיל מעלה כי מדובר על עבודה שאינה רציפה וכי מדובר במשקלים שונים ובמדפים הנמצאים בגבהים שונים ובכל מקרה בין עבודת פריקת הסחורה והעברתה למדפים התובעת עושה עבודות נוספות אחרות</w:t>
      </w:r>
      <w:r w:rsidRPr="00D857BD">
        <w:rPr>
          <w:rFonts w:hint="cs"/>
          <w:b/>
          <w:bCs/>
          <w:noProof w:val="0"/>
          <w:sz w:val="28"/>
          <w:szCs w:val="28"/>
          <w:rtl/>
        </w:rPr>
        <w:t>:</w:t>
      </w:r>
      <w:r w:rsidR="009754C8">
        <w:rPr>
          <w:rFonts w:hint="cs"/>
          <w:b/>
          <w:bCs/>
          <w:noProof w:val="0"/>
          <w:sz w:val="28"/>
          <w:szCs w:val="28"/>
          <w:rtl/>
        </w:rPr>
        <w:t xml:space="preserve"> </w:t>
      </w:r>
      <w:r w:rsidRPr="00D857BD">
        <w:rPr>
          <w:rFonts w:hint="cs"/>
          <w:b/>
          <w:bCs/>
          <w:noProof w:val="0"/>
          <w:sz w:val="28"/>
          <w:szCs w:val="28"/>
          <w:rtl/>
        </w:rPr>
        <w:t xml:space="preserve">"ש: את קיבלת אותה לעבודה? ת: כן ש: בתור מה? ת: מוכרת בחנות. אבל כולם עושים הכל, אין הגדרות לתפקיד. לרוב היא עשתה הזמנות מספקים ובשביל שיהיה  מעקב על מה שהיא הזמינה היא גם פרקה את הסחורה... ש: תתארי לי את סדר היום של התובעת ת: הגיעה לעבודה בבוקר, עוברת במדפים ורואה מה חסר ומתקשרת לספקים לעשות הזמנות. זה יכול להיות 3 או 5 ספקים ביום. לשאלתך- לא סביר שלא יהיו ספקים . כמעט כל יום מגיעה סחורה... ש: כמה שעות היא סדרה סחורה ביום?ת: יש יום שנכנס משטח אחד ויש יום שמגיעים שני משטחים. זה יכול להיות שעתיים, שלוש שעות עבודה, זה גם להוציא סחורה, לעבור על החשבונית , לפרק, ולתמחר ואז לסדר במדף.. יש גם מוצרי קופה שאז המדף נמוך.. ש: מה סוג הסחורה שהיא היתה מקבלת? מזון , כלים, סירים ומחבתות ש: משקלים? ת: יש גם משקל מצטבר, זה יכול להיות קופסא , ארגז של פסטות ויכול להיות שם גם ארגז שימורים של ארטישוק, המשקלים משתנים....ש: תארי לי פירוק סחורה של התובעת , ראית אותה? ת: כן, </w:t>
      </w:r>
      <w:r w:rsidRPr="00D857BD">
        <w:rPr>
          <w:rFonts w:hint="cs"/>
          <w:b/>
          <w:bCs/>
          <w:noProof w:val="0"/>
          <w:sz w:val="28"/>
          <w:szCs w:val="28"/>
          <w:rtl/>
        </w:rPr>
        <w:lastRenderedPageBreak/>
        <w:t>לוקחים סכין יפנית, פותחים את הקשרים מסביב, כי זה מגיע כמשטח, מרימים ארגז פותחים אותו, בודקים מה יש בפנים, משווים לחשבונית, סופרים , כשהארגזים מתומחרים מעבירים לעגלות ומעבירים לחנות, המחס</w:t>
      </w:r>
      <w:r w:rsidR="009754C8">
        <w:rPr>
          <w:rFonts w:hint="cs"/>
          <w:b/>
          <w:bCs/>
          <w:noProof w:val="0"/>
          <w:sz w:val="28"/>
          <w:szCs w:val="28"/>
          <w:rtl/>
        </w:rPr>
        <w:t>ן</w:t>
      </w:r>
      <w:r w:rsidRPr="00D857BD">
        <w:rPr>
          <w:rFonts w:hint="cs"/>
          <w:b/>
          <w:bCs/>
          <w:noProof w:val="0"/>
          <w:sz w:val="28"/>
          <w:szCs w:val="28"/>
          <w:rtl/>
        </w:rPr>
        <w:t xml:space="preserve"> הוא במרחק הליכה מהמדפים של החנות</w:t>
      </w:r>
      <w:r w:rsidRPr="00D857BD">
        <w:rPr>
          <w:rFonts w:hint="cs"/>
          <w:noProof w:val="0"/>
          <w:sz w:val="28"/>
          <w:szCs w:val="28"/>
          <w:rtl/>
        </w:rPr>
        <w:t xml:space="preserve">." ר' עמ' 4 שורות 31-33  עמ' 5 ועמ' 6 שורות 1-4. </w:t>
      </w:r>
    </w:p>
    <w:p w:rsidRPr="00D857BD" w:rsidR="00D857BD" w:rsidP="00D857BD" w:rsidRDefault="00D857BD">
      <w:pPr>
        <w:numPr>
          <w:ilvl w:val="0"/>
          <w:numId w:val="1"/>
        </w:numPr>
        <w:spacing w:before="120" w:after="160" w:line="360" w:lineRule="auto"/>
        <w:jc w:val="both"/>
        <w:rPr>
          <w:noProof w:val="0"/>
          <w:sz w:val="28"/>
          <w:szCs w:val="28"/>
        </w:rPr>
      </w:pPr>
      <w:r w:rsidRPr="00D857BD">
        <w:rPr>
          <w:rFonts w:hint="cs"/>
          <w:noProof w:val="0"/>
          <w:sz w:val="28"/>
          <w:szCs w:val="28"/>
          <w:rtl/>
        </w:rPr>
        <w:t>בשונה מעדות זו עדותה של הגב' חני חדד בכל הנוגע לפעולות התובעת היתה שונה:</w:t>
      </w:r>
    </w:p>
    <w:p w:rsidRPr="00D857BD" w:rsidR="00D857BD" w:rsidP="00D857BD" w:rsidRDefault="00D857BD">
      <w:pPr>
        <w:spacing w:before="120" w:line="360" w:lineRule="auto"/>
        <w:ind w:left="644"/>
        <w:jc w:val="both"/>
        <w:rPr>
          <w:noProof w:val="0"/>
          <w:sz w:val="28"/>
          <w:szCs w:val="28"/>
        </w:rPr>
      </w:pPr>
      <w:r w:rsidRPr="00D857BD">
        <w:rPr>
          <w:rFonts w:hint="cs"/>
          <w:noProof w:val="0"/>
          <w:sz w:val="28"/>
          <w:szCs w:val="28"/>
          <w:rtl/>
        </w:rPr>
        <w:t>"</w:t>
      </w:r>
      <w:r w:rsidRPr="00D857BD">
        <w:rPr>
          <w:rFonts w:hint="cs"/>
          <w:b/>
          <w:bCs/>
          <w:noProof w:val="0"/>
          <w:sz w:val="28"/>
          <w:szCs w:val="28"/>
          <w:rtl/>
        </w:rPr>
        <w:t>ש: תארי יום עבודה של התובעת? .. לפתוח את החנות, את הקופות, להכין את החנות לפני ששאר העובדים מגיעים, היא היתה מנהלת את המשמרת, הרבה פעמים היא היתה במחסן, מוציאה ומפזרת את החנות, אם צריך לשים על מדפים, לתמחר, דואגת למה שצריך במשמרת גם התעסקה בשלב מסוים בהזמנות, לא זוכרת ממתי... ש: כמה זמן היא עשתה כל פעולה? ת: כשהיא היתה נכנסת למחסן זה היה לוקח הרבה יותר משעה. שם היה כל מיני שקים של סחורות של פירות יבשים, זיתים כל מיני דברים, לסדר להוציא החוצה, לשים על מדפים מה שצריך. את הסחורות היו מגיעים בשקים גדולים אז היו צריכים לשים חלק במדפים. זה בערך שעה. אם היה צורך בהזמנות מסויימות היא התעסקה בכך, הייתה מסתובבת בחנות. קשה לי לענות על כך"</w:t>
      </w:r>
      <w:r w:rsidRPr="00D857BD">
        <w:rPr>
          <w:rFonts w:hint="cs"/>
          <w:noProof w:val="0"/>
          <w:sz w:val="28"/>
          <w:szCs w:val="28"/>
          <w:rtl/>
        </w:rPr>
        <w:t xml:space="preserve"> ר' עמ' 4 שורות 19-30 . כמו כן עולה מעדותה של הגב' חני חדד כי לעיתים הייתה נכנסת איתה למחסן לעשות איתה דברים או להוציא דברים משם.. כמו כן הגב' חדד ציינה בעדותה כי:" </w:t>
      </w:r>
      <w:r w:rsidRPr="00D857BD">
        <w:rPr>
          <w:rFonts w:hint="cs"/>
          <w:b/>
          <w:bCs/>
          <w:noProof w:val="0"/>
          <w:sz w:val="28"/>
          <w:szCs w:val="28"/>
          <w:rtl/>
        </w:rPr>
        <w:t>לפעמים היא היתה מסדרת את זה בחוץ ולפעמים שאר העובדים.. לא משהו שיטתי</w:t>
      </w:r>
      <w:r w:rsidRPr="00D857BD">
        <w:rPr>
          <w:rFonts w:hint="cs"/>
          <w:noProof w:val="0"/>
          <w:sz w:val="28"/>
          <w:szCs w:val="28"/>
          <w:rtl/>
        </w:rPr>
        <w:t xml:space="preserve">" ר' עמ' 8 שורות 1-3 ו 16-18. </w:t>
      </w:r>
    </w:p>
    <w:p w:rsidRPr="00D857BD" w:rsidR="00D857BD" w:rsidP="00D857BD" w:rsidRDefault="00D857BD">
      <w:pPr>
        <w:numPr>
          <w:ilvl w:val="0"/>
          <w:numId w:val="1"/>
        </w:numPr>
        <w:spacing w:before="120" w:after="160" w:line="360" w:lineRule="auto"/>
        <w:jc w:val="both"/>
        <w:rPr>
          <w:noProof w:val="0"/>
          <w:sz w:val="28"/>
          <w:szCs w:val="28"/>
        </w:rPr>
      </w:pPr>
      <w:r w:rsidRPr="00D857BD">
        <w:rPr>
          <w:rFonts w:hint="cs"/>
          <w:noProof w:val="0"/>
          <w:sz w:val="28"/>
          <w:szCs w:val="28"/>
          <w:rtl/>
        </w:rPr>
        <w:t xml:space="preserve"> מעבר לאמור עיון בחקירתה הנגדית של התובעת מעלה כי  עבדה במספר מקומות, בתל אביב בסניף השומר כחודש וחצי חודשיים כמוכרת בלבד. לאחר מכן התובעת עברה לעבוד בסניף ביהוד. בכל מקום הייתה עבודה שונה. ר' עמ' 10 לפרוטוקול הדיון מיום  31.1.18. </w:t>
      </w:r>
    </w:p>
    <w:p w:rsidRPr="00D857BD" w:rsidR="00D857BD" w:rsidP="00D857BD" w:rsidRDefault="00D857BD">
      <w:pPr>
        <w:numPr>
          <w:ilvl w:val="0"/>
          <w:numId w:val="1"/>
        </w:numPr>
        <w:spacing w:before="120" w:after="160" w:line="360" w:lineRule="auto"/>
        <w:jc w:val="both"/>
        <w:rPr>
          <w:noProof w:val="0"/>
          <w:sz w:val="28"/>
          <w:szCs w:val="28"/>
        </w:rPr>
      </w:pPr>
      <w:r w:rsidRPr="00D857BD">
        <w:rPr>
          <w:rFonts w:hint="cs"/>
          <w:noProof w:val="0"/>
          <w:sz w:val="28"/>
          <w:szCs w:val="28"/>
          <w:rtl/>
        </w:rPr>
        <w:t>כמו כן התובעת העידה כי מדובר היה על משקלים משתנים. ר' עמ' 11 שורות10-18. כמו כן עיון בעדות</w:t>
      </w:r>
      <w:r w:rsidR="009754C8">
        <w:rPr>
          <w:rFonts w:hint="cs"/>
          <w:noProof w:val="0"/>
          <w:sz w:val="28"/>
          <w:szCs w:val="28"/>
          <w:rtl/>
        </w:rPr>
        <w:t>ה</w:t>
      </w:r>
      <w:r w:rsidRPr="00D857BD">
        <w:rPr>
          <w:rFonts w:hint="cs"/>
          <w:noProof w:val="0"/>
          <w:sz w:val="28"/>
          <w:szCs w:val="28"/>
          <w:rtl/>
        </w:rPr>
        <w:t xml:space="preserve"> מעלה כי בשונה מהשאלון וההצהרה שמילאה אצל הנתבע לפיה מדובר בין 2-4 שעות של סידור סחורה  , בעדותה בדיון ההוכחות </w:t>
      </w:r>
      <w:r w:rsidRPr="00D857BD">
        <w:rPr>
          <w:rFonts w:hint="cs"/>
          <w:noProof w:val="0"/>
          <w:sz w:val="28"/>
          <w:szCs w:val="28"/>
          <w:rtl/>
        </w:rPr>
        <w:lastRenderedPageBreak/>
        <w:t xml:space="preserve">העידה על 4-5 שעות ביום של סידור סחורה.  ר' עמ' 11 שורות 18-20 . ובהמשך העידה כי מדובר על 75% ביום של סידור סחורה. ר' עמ' 11 שורות 24-26. </w:t>
      </w:r>
    </w:p>
    <w:p w:rsidRPr="00D857BD" w:rsidR="00D857BD" w:rsidP="00D857BD" w:rsidRDefault="00D857BD">
      <w:pPr>
        <w:numPr>
          <w:ilvl w:val="0"/>
          <w:numId w:val="1"/>
        </w:numPr>
        <w:spacing w:before="120" w:after="160" w:line="360" w:lineRule="auto"/>
        <w:jc w:val="both"/>
        <w:rPr>
          <w:noProof w:val="0"/>
          <w:sz w:val="28"/>
          <w:szCs w:val="28"/>
        </w:rPr>
      </w:pPr>
      <w:r w:rsidRPr="00D857BD">
        <w:rPr>
          <w:rFonts w:hint="cs"/>
          <w:noProof w:val="0"/>
          <w:sz w:val="28"/>
          <w:szCs w:val="28"/>
          <w:rtl/>
        </w:rPr>
        <w:t xml:space="preserve"> מעבר לעובדה כי תשובות השאלון של המעסיק סותרות את טענות התובעת לעניין אופי עבודתה, והמשקלים אותם הרימה והרציפות, הרי שגם עיון בעדותה של התובעת ובתצהירה מעלה כי מדובר על עבודה מגוונות עם משקלים שונים. </w:t>
      </w:r>
    </w:p>
    <w:p w:rsidRPr="00D857BD" w:rsidR="00D857BD" w:rsidP="00494807" w:rsidRDefault="00D857BD">
      <w:pPr>
        <w:numPr>
          <w:ilvl w:val="0"/>
          <w:numId w:val="1"/>
        </w:numPr>
        <w:spacing w:before="120" w:after="160" w:line="360" w:lineRule="auto"/>
        <w:jc w:val="both"/>
        <w:rPr>
          <w:noProof w:val="0"/>
          <w:sz w:val="28"/>
          <w:szCs w:val="28"/>
        </w:rPr>
      </w:pPr>
      <w:r w:rsidRPr="00D857BD">
        <w:rPr>
          <w:rFonts w:hint="cs"/>
          <w:noProof w:val="0"/>
          <w:sz w:val="28"/>
          <w:szCs w:val="28"/>
          <w:rtl/>
        </w:rPr>
        <w:t>מחומר הראיות</w:t>
      </w:r>
      <w:r w:rsidR="009754C8">
        <w:rPr>
          <w:rFonts w:hint="cs"/>
          <w:noProof w:val="0"/>
          <w:sz w:val="28"/>
          <w:szCs w:val="28"/>
          <w:rtl/>
        </w:rPr>
        <w:t xml:space="preserve"> כמפורט, </w:t>
      </w:r>
      <w:r w:rsidRPr="00D857BD">
        <w:rPr>
          <w:rFonts w:hint="cs"/>
          <w:noProof w:val="0"/>
          <w:sz w:val="28"/>
          <w:szCs w:val="28"/>
          <w:rtl/>
        </w:rPr>
        <w:t xml:space="preserve"> עולה כי תצהירה של התובעת נסתר מספר פעמים. מעבר לאמור גם עיון בתצהירה ועדותה של התובעת ושל העדים מטעמה כפי שפורט לעיל מעלה כי מדובר על עבודה מגוונת וכי במהלך יום עבודתה של התובעת עשתה היא  פעולות מגוונות. ערים אנו לכך כי במסגרת שגרת עבודתה של התובעת היא גם פרקה סחורה ושמה אותה במדפים, אולם לא הוכח לטעמינו כי מדובר על רציפות פעולה שחזרה על עצמה מספר רב של פעמים ביום . מעבר לאמור, נראה כי גם במסגרת פעולות הפריקה של הסחורה וסידורה במדפים ביצעה התובעת פעולות נוספות של הוצאת חשבוניות , ספירת מוצרים . מעבר לאמור, מדובר במוצרים בעלי משקל שונה ובמדפים בגבהים שונים  וכן לעיתים עזרו לתובעת בפעולות אלו, כך שלא הוכח כי כל  פעולה  היתה זהה</w:t>
      </w:r>
      <w:r w:rsidR="00494807">
        <w:rPr>
          <w:rFonts w:hint="cs"/>
          <w:noProof w:val="0"/>
          <w:sz w:val="28"/>
          <w:szCs w:val="28"/>
          <w:rtl/>
        </w:rPr>
        <w:t xml:space="preserve"> ונעשתה ברציפות</w:t>
      </w:r>
      <w:r w:rsidRPr="00D857BD">
        <w:rPr>
          <w:rFonts w:hint="cs"/>
          <w:noProof w:val="0"/>
          <w:sz w:val="28"/>
          <w:szCs w:val="28"/>
          <w:rtl/>
        </w:rPr>
        <w:t xml:space="preserve">, גם אם היינו מבודדים את פעולת הפירוק של הארגזים וסידורה על המדפים. </w:t>
      </w:r>
    </w:p>
    <w:p w:rsidR="00494807" w:rsidP="00D857BD" w:rsidRDefault="00D857BD">
      <w:pPr>
        <w:numPr>
          <w:ilvl w:val="0"/>
          <w:numId w:val="1"/>
        </w:numPr>
        <w:spacing w:after="160" w:line="360" w:lineRule="auto"/>
        <w:contextualSpacing/>
        <w:jc w:val="both"/>
        <w:rPr>
          <w:rFonts w:ascii="Calibri" w:hAnsi="Calibri" w:eastAsia="Calibri"/>
          <w:noProof w:val="0"/>
          <w:sz w:val="28"/>
          <w:szCs w:val="28"/>
        </w:rPr>
      </w:pPr>
      <w:r w:rsidRPr="00D857BD">
        <w:rPr>
          <w:rFonts w:hint="cs" w:ascii="Calibri" w:hAnsi="Calibri" w:eastAsia="Calibri"/>
          <w:noProof w:val="0"/>
          <w:sz w:val="28"/>
          <w:szCs w:val="28"/>
          <w:rtl/>
        </w:rPr>
        <w:t>ערים אנו לכך שעבודתה של התובעת היתה קשה ביותר. אולם לא  כל עבודה פיזית ממושכת נכנסת ל</w:t>
      </w:r>
      <w:r w:rsidR="00494807">
        <w:rPr>
          <w:rFonts w:hint="cs" w:ascii="Calibri" w:hAnsi="Calibri" w:eastAsia="Calibri"/>
          <w:noProof w:val="0"/>
          <w:sz w:val="28"/>
          <w:szCs w:val="28"/>
          <w:rtl/>
        </w:rPr>
        <w:t xml:space="preserve">הגדרת </w:t>
      </w:r>
      <w:r w:rsidRPr="00D857BD">
        <w:rPr>
          <w:rFonts w:hint="cs" w:ascii="Calibri" w:hAnsi="Calibri" w:eastAsia="Calibri"/>
          <w:noProof w:val="0"/>
          <w:sz w:val="28"/>
          <w:szCs w:val="28"/>
          <w:rtl/>
        </w:rPr>
        <w:t xml:space="preserve">מיקרוטראומה. שכן נפסק זה מכבר כי </w:t>
      </w:r>
    </w:p>
    <w:p w:rsidRPr="00D857BD" w:rsidR="00D857BD" w:rsidP="00494807" w:rsidRDefault="00D857BD">
      <w:pPr>
        <w:spacing w:after="160" w:line="360" w:lineRule="auto"/>
        <w:ind w:left="644"/>
        <w:contextualSpacing/>
        <w:jc w:val="both"/>
        <w:rPr>
          <w:rFonts w:ascii="Calibri" w:hAnsi="Calibri" w:eastAsia="Calibri"/>
          <w:noProof w:val="0"/>
          <w:sz w:val="28"/>
          <w:szCs w:val="28"/>
        </w:rPr>
      </w:pPr>
      <w:r w:rsidRPr="00D857BD">
        <w:rPr>
          <w:rFonts w:hint="cs" w:ascii="Calibri" w:hAnsi="Calibri" w:eastAsia="Calibri"/>
          <w:noProof w:val="0"/>
          <w:sz w:val="28"/>
          <w:szCs w:val="28"/>
          <w:rtl/>
        </w:rPr>
        <w:t>"</w:t>
      </w:r>
      <w:r w:rsidRPr="00D857BD">
        <w:rPr>
          <w:rFonts w:hint="cs" w:ascii="Calibri" w:hAnsi="Calibri" w:eastAsia="Calibri"/>
          <w:b/>
          <w:bCs/>
          <w:noProof w:val="0"/>
          <w:sz w:val="28"/>
          <w:szCs w:val="28"/>
          <w:rtl/>
        </w:rPr>
        <w:t>השימוש במונח מיקרוטראומה אינו יכול להפוך, כבמטה קסם, 'מאמצים קשים' לסדרת פגיעות זעירות מוגדרות החוזרות ונשנות אין ספור פעמים</w:t>
      </w:r>
      <w:r w:rsidRPr="00D857BD">
        <w:rPr>
          <w:rFonts w:hint="cs" w:ascii="Calibri" w:hAnsi="Calibri" w:eastAsia="Calibri"/>
          <w:noProof w:val="0"/>
          <w:sz w:val="28"/>
          <w:szCs w:val="28"/>
          <w:rtl/>
        </w:rPr>
        <w:t xml:space="preserve">" (ר' </w:t>
      </w:r>
      <w:r w:rsidRPr="00D857BD">
        <w:rPr>
          <w:rFonts w:hint="cs" w:ascii="Calibri" w:hAnsi="Calibri" w:eastAsia="Calibri"/>
          <w:noProof w:val="0"/>
          <w:sz w:val="28"/>
          <w:szCs w:val="28"/>
          <w:u w:val="single"/>
          <w:rtl/>
        </w:rPr>
        <w:t xml:space="preserve">דב"ע מח/0-77 </w:t>
      </w:r>
      <w:r w:rsidRPr="00D857BD">
        <w:rPr>
          <w:rFonts w:hint="cs" w:ascii="Calibri" w:hAnsi="Calibri" w:eastAsia="Calibri"/>
          <w:b/>
          <w:bCs/>
          <w:noProof w:val="0"/>
          <w:sz w:val="28"/>
          <w:szCs w:val="28"/>
          <w:rtl/>
        </w:rPr>
        <w:t>אליעזר מזרחי  נ' המוסד לביטוח לאומי</w:t>
      </w:r>
      <w:r w:rsidRPr="00D857BD">
        <w:rPr>
          <w:rFonts w:hint="cs" w:ascii="Calibri" w:hAnsi="Calibri" w:eastAsia="Calibri"/>
          <w:noProof w:val="0"/>
          <w:sz w:val="28"/>
          <w:szCs w:val="28"/>
          <w:rtl/>
        </w:rPr>
        <w:t>, פד"ע יט' 538).</w:t>
      </w:r>
    </w:p>
    <w:p w:rsidRPr="00D857BD" w:rsidR="00D857BD" w:rsidP="00D857BD" w:rsidRDefault="00D857BD">
      <w:pPr>
        <w:numPr>
          <w:ilvl w:val="0"/>
          <w:numId w:val="1"/>
        </w:numPr>
        <w:spacing w:after="160" w:line="360" w:lineRule="auto"/>
        <w:contextualSpacing/>
        <w:jc w:val="both"/>
        <w:rPr>
          <w:rFonts w:ascii="Calibri" w:hAnsi="Calibri" w:eastAsia="Calibri"/>
          <w:noProof w:val="0"/>
          <w:sz w:val="28"/>
          <w:szCs w:val="28"/>
        </w:rPr>
      </w:pPr>
      <w:r w:rsidRPr="00D857BD">
        <w:rPr>
          <w:rFonts w:hint="cs" w:ascii="Calibri" w:hAnsi="Calibri" w:eastAsia="Calibri"/>
          <w:noProof w:val="0"/>
          <w:sz w:val="28"/>
          <w:szCs w:val="28"/>
          <w:rtl/>
        </w:rPr>
        <w:t>מכלל האמור לעיל עולה כי התובעת לא הרימה את הנטל הנדרש להוכיח תשתית עובדתית למיקרוטראומה ולא הוכח כי קיימת בעבודתה של התובעת פעולת חוזרת ונשנית או פעולה ספציפית במהלך עבודתה שניתן לבודד אותה, וכן לא הוכח כי מדובר בפעולה חוזרת ונשנית בתדירות קבועה החוזרת על עצמה באופן יומיומי. משכך דין התביעה להידחות.</w:t>
      </w:r>
    </w:p>
    <w:p w:rsidRPr="00D857BD" w:rsidR="00D857BD" w:rsidP="00D857BD" w:rsidRDefault="00D857BD">
      <w:pPr>
        <w:numPr>
          <w:ilvl w:val="0"/>
          <w:numId w:val="1"/>
        </w:numPr>
        <w:spacing w:after="160" w:line="360" w:lineRule="auto"/>
        <w:contextualSpacing/>
        <w:jc w:val="both"/>
        <w:rPr>
          <w:rFonts w:ascii="Calibri" w:hAnsi="Calibri" w:eastAsia="Calibri"/>
          <w:noProof w:val="0"/>
          <w:sz w:val="28"/>
          <w:szCs w:val="28"/>
        </w:rPr>
      </w:pPr>
      <w:r w:rsidRPr="00D857BD">
        <w:rPr>
          <w:rFonts w:hint="cs" w:ascii="Calibri" w:hAnsi="Calibri" w:eastAsia="Calibri"/>
          <w:noProof w:val="0"/>
          <w:sz w:val="28"/>
          <w:szCs w:val="28"/>
          <w:rtl/>
        </w:rPr>
        <w:t>סוף דבר – התביעה נדחית.</w:t>
      </w:r>
    </w:p>
    <w:p w:rsidRPr="00D857BD" w:rsidR="00D857BD" w:rsidP="00D857BD" w:rsidRDefault="00D857BD">
      <w:pPr>
        <w:numPr>
          <w:ilvl w:val="0"/>
          <w:numId w:val="1"/>
        </w:numPr>
        <w:spacing w:after="160" w:line="360" w:lineRule="auto"/>
        <w:contextualSpacing/>
        <w:jc w:val="both"/>
        <w:rPr>
          <w:rFonts w:ascii="Calibri" w:hAnsi="Calibri" w:eastAsia="Calibri"/>
          <w:noProof w:val="0"/>
          <w:sz w:val="28"/>
          <w:szCs w:val="28"/>
        </w:rPr>
      </w:pPr>
      <w:r w:rsidRPr="00D857BD">
        <w:rPr>
          <w:rFonts w:hint="cs" w:ascii="Calibri" w:hAnsi="Calibri" w:eastAsia="Calibri"/>
          <w:noProof w:val="0"/>
          <w:sz w:val="28"/>
          <w:szCs w:val="28"/>
          <w:rtl/>
        </w:rPr>
        <w:lastRenderedPageBreak/>
        <w:t>משמדובר בתביעה בתחום הביטחון הסוציאלי – אין צו להוצאות.</w:t>
      </w:r>
    </w:p>
    <w:p w:rsidRPr="00D857BD" w:rsidR="00D857BD" w:rsidP="00D857BD" w:rsidRDefault="00D857BD">
      <w:pPr>
        <w:numPr>
          <w:ilvl w:val="0"/>
          <w:numId w:val="1"/>
        </w:numPr>
        <w:spacing w:after="160" w:line="360" w:lineRule="auto"/>
        <w:contextualSpacing/>
        <w:jc w:val="both"/>
        <w:rPr>
          <w:rFonts w:ascii="Calibri" w:hAnsi="Calibri" w:eastAsia="Calibri"/>
          <w:noProof w:val="0"/>
          <w:sz w:val="28"/>
          <w:szCs w:val="28"/>
        </w:rPr>
      </w:pPr>
      <w:r w:rsidRPr="00D857BD">
        <w:rPr>
          <w:rFonts w:hint="cs" w:ascii="Calibri" w:hAnsi="Calibri" w:eastAsia="Calibri"/>
          <w:noProof w:val="0"/>
          <w:sz w:val="28"/>
          <w:szCs w:val="28"/>
          <w:rtl/>
        </w:rPr>
        <w:t>זכות ערעור לבית הדין הארצי בירושלים תוך 30 ימים מיום קבלת פסק הדין.</w:t>
      </w:r>
    </w:p>
    <w:p w:rsidRPr="00D857BD" w:rsidR="00D857BD" w:rsidP="00D857BD" w:rsidRDefault="00D857BD">
      <w:pPr>
        <w:spacing w:before="120" w:line="360" w:lineRule="auto"/>
        <w:ind w:left="644"/>
        <w:jc w:val="both"/>
        <w:rPr>
          <w:rFonts w:hint="cs"/>
          <w:noProof w:val="0"/>
          <w:sz w:val="28"/>
          <w:szCs w:val="28"/>
          <w:rtl/>
        </w:rPr>
      </w:pPr>
    </w:p>
    <w:p w:rsidRPr="00D857BD" w:rsidR="00D857BD" w:rsidP="00D857BD" w:rsidRDefault="00D857BD">
      <w:pPr>
        <w:rPr>
          <w:rFonts w:hint="cs"/>
          <w:noProof w:val="0"/>
          <w:sz w:val="28"/>
          <w:szCs w:val="28"/>
          <w:rtl/>
        </w:rPr>
      </w:pPr>
      <w:bookmarkStart w:name="LastJudge" w:id="0"/>
    </w:p>
    <w:p w:rsidRPr="00D857BD" w:rsidR="00D857BD" w:rsidP="00D857BD" w:rsidRDefault="00D857BD">
      <w:pPr>
        <w:rPr>
          <w:rFonts w:hint="cs"/>
          <w:noProof w:val="0"/>
          <w:sz w:val="28"/>
          <w:szCs w:val="28"/>
          <w:rtl/>
        </w:rPr>
      </w:pPr>
    </w:p>
    <w:p w:rsidRPr="00D857BD" w:rsidR="00D857BD" w:rsidP="00D857BD" w:rsidRDefault="00D857BD">
      <w:pPr>
        <w:rPr>
          <w:rFonts w:hint="cs"/>
          <w:noProof w:val="0"/>
          <w:sz w:val="28"/>
          <w:szCs w:val="28"/>
          <w:rtl/>
        </w:rPr>
      </w:pPr>
    </w:p>
    <w:bookmarkEnd w:id="0"/>
    <w:p w:rsidRPr="00150BF3" w:rsidR="00494807" w:rsidP="00364014" w:rsidRDefault="00494807">
      <w:pPr>
        <w:rPr>
          <w:rtl/>
        </w:rPr>
      </w:pPr>
    </w:p>
    <w:p w:rsidRPr="00150BF3" w:rsidR="00494807" w:rsidP="00364014" w:rsidRDefault="00494807">
      <w:pPr>
        <w:rPr>
          <w:rtl/>
        </w:rPr>
      </w:pPr>
    </w:p>
    <w:tbl>
      <w:tblPr>
        <w:tblStyle w:val="a9"/>
        <w:bidiVisual/>
        <w:tblW w:w="8594"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2556"/>
        <w:gridCol w:w="235"/>
        <w:gridCol w:w="2938"/>
        <w:gridCol w:w="235"/>
        <w:gridCol w:w="2630"/>
      </w:tblGrid>
      <w:tr w:rsidRPr="00150BF3" w:rsidR="00494807" w:rsidTr="00405E99">
        <w:tc>
          <w:tcPr>
            <w:tcW w:w="2474" w:type="dxa"/>
            <w:tcBorders>
              <w:top w:val="nil"/>
              <w:left w:val="nil"/>
              <w:bottom w:val="single" w:color="auto" w:sz="4" w:space="0"/>
              <w:right w:val="nil"/>
            </w:tcBorders>
          </w:tcPr>
          <w:p w:rsidR="00494807" w:rsidRDefault="00494807">
            <w:r>
              <w:drawing>
                <wp:anchor distT="0" distB="0" distL="114300" distR="114300" simplePos="0" relativeHeight="251659264" behindDoc="1" locked="0" layoutInCell="1" allowOverlap="1">
                  <wp:simplePos x="0" y="0"/>
                  <wp:positionH relativeFrom="column">
                    <wp:posOffset>4686300</wp:posOffset>
                  </wp:positionH>
                  <wp:positionV relativeFrom="paragraph">
                    <wp:posOffset>-800100</wp:posOffset>
                  </wp:positionV>
                  <wp:extent cx="1480820" cy="974090"/>
                  <wp:effectExtent l="0" t="0" r="5080" b="0"/>
                  <wp:wrapTight wrapText="bothSides">
                    <wp:wrapPolygon edited="0">
                      <wp:start x="0" y="0"/>
                      <wp:lineTo x="0" y="21121"/>
                      <wp:lineTo x="21396" y="21121"/>
                      <wp:lineTo x="21396" y="0"/>
                      <wp:lineTo x="0" y="0"/>
                    </wp:wrapPolygon>
                  </wp:wrapTight>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l="43945" t="49486" r="43562" b="43213"/>
                          <a:stretch>
                            <a:fillRect/>
                          </a:stretch>
                        </pic:blipFill>
                        <pic:spPr bwMode="auto">
                          <a:xfrm>
                            <a:off x="0" y="0"/>
                            <a:ext cx="1480820" cy="974090"/>
                          </a:xfrm>
                          <a:prstGeom prst="rect">
                            <a:avLst/>
                          </a:prstGeom>
                          <a:noFill/>
                        </pic:spPr>
                      </pic:pic>
                    </a:graphicData>
                  </a:graphic>
                  <wp14:sizeRelH relativeFrom="page">
                    <wp14:pctWidth>0</wp14:pctWidth>
                  </wp14:sizeRelH>
                  <wp14:sizeRelV relativeFrom="page">
                    <wp14:pctHeight>0</wp14:pctHeight>
                  </wp14:sizeRelV>
                </wp:anchor>
              </w:drawing>
            </w:r>
          </w:p>
          <w:p w:rsidRPr="00150BF3" w:rsidR="00494807" w:rsidP="00405E99" w:rsidRDefault="00494807">
            <w:pPr>
              <w:jc w:val="center"/>
              <w:rPr>
                <w:b/>
                <w:bCs/>
              </w:rPr>
            </w:pPr>
          </w:p>
        </w:tc>
        <w:tc>
          <w:tcPr>
            <w:tcW w:w="236" w:type="dxa"/>
          </w:tcPr>
          <w:p w:rsidRPr="00150BF3" w:rsidR="00494807" w:rsidP="00405E99" w:rsidRDefault="00494807">
            <w:pPr>
              <w:jc w:val="center"/>
              <w:rPr>
                <w:b/>
                <w:bCs/>
              </w:rPr>
            </w:pPr>
          </w:p>
        </w:tc>
        <w:tc>
          <w:tcPr>
            <w:tcW w:w="2948" w:type="dxa"/>
            <w:tcBorders>
              <w:top w:val="nil"/>
              <w:left w:val="nil"/>
              <w:bottom w:val="single" w:color="auto" w:sz="4" w:space="0"/>
              <w:right w:val="nil"/>
            </w:tcBorders>
          </w:tcPr>
          <w:p w:rsidRPr="00150BF3" w:rsidR="00494807" w:rsidP="00405E99" w:rsidRDefault="00494807">
            <w:pPr>
              <w:jc w:val="center"/>
              <w:rPr>
                <w:b/>
                <w:bCs/>
              </w:rPr>
            </w:pPr>
            <w:r w:rsidRPr="00150BF3">
              <w:drawing>
                <wp:inline distT="0" distB="0" distL="0" distR="0" wp14:anchorId="06D75542" wp14:editId="0DEE6F9D">
                  <wp:extent cx="1630045" cy="381635"/>
                  <wp:effectExtent l="0" t="0" r="825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l="44666" t="53012" r="24413" b="37349"/>
                          <a:stretch>
                            <a:fillRect/>
                          </a:stretch>
                        </pic:blipFill>
                        <pic:spPr bwMode="auto">
                          <a:xfrm>
                            <a:off x="0" y="0"/>
                            <a:ext cx="1630045" cy="381635"/>
                          </a:xfrm>
                          <a:prstGeom prst="rect">
                            <a:avLst/>
                          </a:prstGeom>
                          <a:noFill/>
                          <a:ln>
                            <a:noFill/>
                          </a:ln>
                        </pic:spPr>
                      </pic:pic>
                    </a:graphicData>
                  </a:graphic>
                </wp:inline>
              </w:drawing>
            </w:r>
          </w:p>
        </w:tc>
        <w:tc>
          <w:tcPr>
            <w:tcW w:w="236" w:type="dxa"/>
            <w:tcBorders>
              <w:top w:val="nil"/>
              <w:left w:val="nil"/>
              <w:bottom w:val="single" w:color="auto" w:sz="4" w:space="0"/>
              <w:right w:val="nil"/>
            </w:tcBorders>
          </w:tcPr>
          <w:p w:rsidRPr="00150BF3" w:rsidR="00494807" w:rsidP="00405E99" w:rsidRDefault="00494807">
            <w:pPr>
              <w:jc w:val="center"/>
              <w:rPr>
                <w:b/>
                <w:bCs/>
              </w:rPr>
            </w:pPr>
          </w:p>
        </w:tc>
        <w:tc>
          <w:tcPr>
            <w:tcW w:w="2700" w:type="dxa"/>
            <w:tcBorders>
              <w:top w:val="nil"/>
              <w:left w:val="nil"/>
              <w:bottom w:val="single" w:color="auto" w:sz="4" w:space="0"/>
              <w:right w:val="nil"/>
            </w:tcBorders>
          </w:tcPr>
          <w:p w:rsidR="00494807" w:rsidRDefault="00494807">
            <w:r>
              <w:drawing>
                <wp:inline distT="0" distB="0" distL="0" distR="0" wp14:anchorId="56817E40" wp14:editId="6B4C8B1A">
                  <wp:extent cx="927100" cy="457200"/>
                  <wp:effectExtent l="0" t="0" r="6350" b="0"/>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44065" t="44470" r="42752" b="47404"/>
                          <a:stretch/>
                        </pic:blipFill>
                        <pic:spPr bwMode="auto">
                          <a:xfrm>
                            <a:off x="0" y="0"/>
                            <a:ext cx="927589" cy="457441"/>
                          </a:xfrm>
                          <a:prstGeom prst="rect">
                            <a:avLst/>
                          </a:prstGeom>
                          <a:ln>
                            <a:noFill/>
                          </a:ln>
                          <a:extLst>
                            <a:ext uri="{53640926-AAD7-44D8-BBD7-CCE9431645EC}">
                              <a14:shadowObscured xmlns:a14="http://schemas.microsoft.com/office/drawing/2010/main"/>
                            </a:ext>
                          </a:extLst>
                        </pic:spPr>
                      </pic:pic>
                    </a:graphicData>
                  </a:graphic>
                </wp:inline>
              </w:drawing>
            </w:r>
          </w:p>
          <w:p w:rsidRPr="00150BF3" w:rsidR="00494807" w:rsidP="00405E99" w:rsidRDefault="00494807">
            <w:pPr>
              <w:jc w:val="center"/>
              <w:rPr>
                <w:b/>
                <w:bCs/>
              </w:rPr>
            </w:pPr>
            <w:bookmarkStart w:name="_GoBack" w:id="1"/>
            <w:bookmarkEnd w:id="1"/>
          </w:p>
        </w:tc>
      </w:tr>
      <w:tr w:rsidRPr="00150BF3" w:rsidR="00494807" w:rsidTr="00405E99">
        <w:tc>
          <w:tcPr>
            <w:tcW w:w="2474" w:type="dxa"/>
            <w:tcBorders>
              <w:top w:val="single" w:color="auto" w:sz="4" w:space="0"/>
              <w:left w:val="nil"/>
              <w:bottom w:val="nil"/>
              <w:right w:val="nil"/>
            </w:tcBorders>
          </w:tcPr>
          <w:p w:rsidRPr="00150BF3" w:rsidR="00494807" w:rsidP="00405E99" w:rsidRDefault="00494807">
            <w:pPr>
              <w:jc w:val="center"/>
              <w:rPr>
                <w:b/>
                <w:bCs/>
              </w:rPr>
            </w:pPr>
            <w:r w:rsidRPr="00150BF3">
              <w:rPr>
                <w:rFonts w:hint="cs"/>
                <w:b/>
                <w:bCs/>
                <w:rtl/>
              </w:rPr>
              <w:t>נציג</w:t>
            </w:r>
            <w:r>
              <w:rPr>
                <w:rFonts w:hint="cs"/>
                <w:b/>
                <w:bCs/>
                <w:rtl/>
              </w:rPr>
              <w:t>ת</w:t>
            </w:r>
            <w:r w:rsidRPr="00150BF3">
              <w:rPr>
                <w:rFonts w:hint="cs"/>
                <w:b/>
                <w:bCs/>
                <w:rtl/>
              </w:rPr>
              <w:t xml:space="preserve"> ציבור עובדים,</w:t>
            </w:r>
            <w:r>
              <w:rPr>
                <w:rFonts w:hint="cs"/>
                <w:b/>
                <w:bCs/>
                <w:rtl/>
              </w:rPr>
              <w:t xml:space="preserve"> גב' חנה קפלניקוב</w:t>
            </w:r>
          </w:p>
        </w:tc>
        <w:tc>
          <w:tcPr>
            <w:tcW w:w="236" w:type="dxa"/>
          </w:tcPr>
          <w:p w:rsidRPr="00150BF3" w:rsidR="00494807" w:rsidP="00405E99" w:rsidRDefault="00494807">
            <w:pPr>
              <w:jc w:val="center"/>
              <w:rPr>
                <w:b/>
                <w:bCs/>
              </w:rPr>
            </w:pPr>
          </w:p>
        </w:tc>
        <w:tc>
          <w:tcPr>
            <w:tcW w:w="2948" w:type="dxa"/>
            <w:tcBorders>
              <w:top w:val="single" w:color="auto" w:sz="4" w:space="0"/>
              <w:left w:val="nil"/>
              <w:bottom w:val="nil"/>
              <w:right w:val="nil"/>
            </w:tcBorders>
          </w:tcPr>
          <w:p w:rsidRPr="00150BF3" w:rsidR="00494807" w:rsidP="00405E99" w:rsidRDefault="00494807">
            <w:pPr>
              <w:jc w:val="center"/>
              <w:rPr>
                <w:b/>
                <w:bCs/>
              </w:rPr>
            </w:pPr>
            <w:r w:rsidRPr="00150BF3">
              <w:rPr>
                <w:rFonts w:hint="cs"/>
                <w:b/>
                <w:bCs/>
                <w:rtl/>
              </w:rPr>
              <w:t>אסנת רובוביץ - ברכש, שופטת</w:t>
            </w:r>
          </w:p>
        </w:tc>
        <w:tc>
          <w:tcPr>
            <w:tcW w:w="236" w:type="dxa"/>
            <w:tcBorders>
              <w:top w:val="single" w:color="auto" w:sz="4" w:space="0"/>
              <w:left w:val="nil"/>
              <w:bottom w:val="nil"/>
              <w:right w:val="nil"/>
            </w:tcBorders>
          </w:tcPr>
          <w:p w:rsidRPr="00150BF3" w:rsidR="00494807" w:rsidP="00405E99" w:rsidRDefault="00494807">
            <w:pPr>
              <w:jc w:val="center"/>
              <w:rPr>
                <w:b/>
                <w:bCs/>
              </w:rPr>
            </w:pPr>
          </w:p>
        </w:tc>
        <w:tc>
          <w:tcPr>
            <w:tcW w:w="2700" w:type="dxa"/>
            <w:tcBorders>
              <w:top w:val="single" w:color="auto" w:sz="4" w:space="0"/>
              <w:left w:val="nil"/>
              <w:bottom w:val="nil"/>
              <w:right w:val="nil"/>
            </w:tcBorders>
          </w:tcPr>
          <w:p w:rsidRPr="00150BF3" w:rsidR="00494807" w:rsidP="00E93571" w:rsidRDefault="00494807">
            <w:pPr>
              <w:jc w:val="center"/>
              <w:rPr>
                <w:b/>
                <w:bCs/>
              </w:rPr>
            </w:pPr>
            <w:r w:rsidRPr="00150BF3">
              <w:rPr>
                <w:rFonts w:hint="cs"/>
                <w:b/>
                <w:bCs/>
                <w:rtl/>
              </w:rPr>
              <w:t>נציג ציבור מע</w:t>
            </w:r>
            <w:r>
              <w:rPr>
                <w:rFonts w:hint="cs"/>
                <w:b/>
                <w:bCs/>
                <w:rtl/>
              </w:rPr>
              <w:t>סיק</w:t>
            </w:r>
            <w:r w:rsidRPr="00150BF3">
              <w:rPr>
                <w:rFonts w:hint="cs"/>
                <w:b/>
                <w:bCs/>
                <w:rtl/>
              </w:rPr>
              <w:t>ים,</w:t>
            </w:r>
            <w:r>
              <w:rPr>
                <w:rFonts w:hint="cs"/>
                <w:b/>
                <w:bCs/>
                <w:rtl/>
              </w:rPr>
              <w:t xml:space="preserve"> מר מאיר ליברמן</w:t>
            </w:r>
          </w:p>
        </w:tc>
      </w:tr>
    </w:tbl>
    <w:p w:rsidRPr="00150BF3" w:rsidR="00494807" w:rsidP="00364014" w:rsidRDefault="00494807">
      <w:pPr>
        <w:rPr>
          <w:rtl/>
        </w:rPr>
      </w:pPr>
    </w:p>
    <w:p w:rsidRPr="00621052" w:rsidR="00694556" w:rsidRDefault="00694556">
      <w:pPr>
        <w:spacing w:line="360" w:lineRule="auto"/>
        <w:jc w:val="both"/>
        <w:rPr>
          <w:rFonts w:ascii="Arial" w:hAnsi="Arial"/>
          <w:noProof w:val="0"/>
          <w:sz w:val="28"/>
          <w:szCs w:val="28"/>
          <w:rtl/>
        </w:rPr>
      </w:pPr>
    </w:p>
    <w:p w:rsidRPr="0032390E" w:rsidR="00694556" w:rsidP="00494807" w:rsidRDefault="00005C8B">
      <w:pPr>
        <w:spacing w:line="360" w:lineRule="auto"/>
        <w:jc w:val="both"/>
        <w:rPr>
          <w:rFonts w:ascii="Arial" w:hAnsi="Arial"/>
          <w:b/>
          <w:bCs/>
          <w:noProof w:val="0"/>
          <w:sz w:val="28"/>
          <w:szCs w:val="28"/>
          <w:rtl/>
        </w:rPr>
      </w:pPr>
      <w:r w:rsidRPr="0032390E">
        <w:rPr>
          <w:rFonts w:ascii="Arial" w:hAnsi="Arial"/>
          <w:b/>
          <w:bCs/>
          <w:noProof w:val="0"/>
          <w:sz w:val="28"/>
          <w:szCs w:val="28"/>
          <w:rtl/>
        </w:rPr>
        <w:t xml:space="preserve">ניתן היום, </w:t>
      </w:r>
      <w:sdt>
        <w:sdtPr>
          <w:rPr>
            <w:b/>
            <w:bCs/>
            <w:sz w:val="28"/>
            <w:szCs w:val="28"/>
            <w:rtl/>
          </w:rPr>
          <w:alias w:val="1455"/>
          <w:tag w:val="1455"/>
          <w:id w:val="-783730955"/>
          <w:text w:multiLine="1"/>
        </w:sdtPr>
        <w:sdtEndPr/>
        <w:sdtContent>
          <w:r>
            <w:rPr>
              <w:rFonts w:ascii="Arial" w:hAnsi="Arial"/>
              <w:b/>
              <w:bCs/>
              <w:noProof w:val="0"/>
              <w:sz w:val="28"/>
              <w:szCs w:val="28"/>
              <w:rtl/>
            </w:rPr>
            <w:t>כ' ניסן תשע"ח</w:t>
          </w:r>
        </w:sdtContent>
      </w:sdt>
      <w:r w:rsidRPr="0032390E">
        <w:rPr>
          <w:rFonts w:ascii="Arial" w:hAnsi="Arial"/>
          <w:b/>
          <w:bCs/>
          <w:noProof w:val="0"/>
          <w:sz w:val="28"/>
          <w:szCs w:val="28"/>
          <w:rtl/>
        </w:rPr>
        <w:t xml:space="preserve">, </w:t>
      </w:r>
      <w:r w:rsidRPr="0032390E" w:rsidR="00621052">
        <w:rPr>
          <w:rFonts w:hint="cs" w:ascii="Arial" w:hAnsi="Arial"/>
          <w:b/>
          <w:bCs/>
          <w:noProof w:val="0"/>
          <w:sz w:val="28"/>
          <w:szCs w:val="28"/>
          <w:rtl/>
        </w:rPr>
        <w:t>(</w:t>
      </w:r>
      <w:sdt>
        <w:sdtPr>
          <w:rPr>
            <w:b/>
            <w:bCs/>
            <w:sz w:val="28"/>
            <w:szCs w:val="28"/>
            <w:rtl/>
          </w:rPr>
          <w:alias w:val="1456"/>
          <w:tag w:val="1456"/>
          <w:id w:val="-1707169306"/>
          <w:text w:multiLine="1"/>
        </w:sdtPr>
        <w:sdtEndPr/>
        <w:sdtContent>
          <w:r>
            <w:rPr>
              <w:rFonts w:ascii="Arial" w:hAnsi="Arial"/>
              <w:b/>
              <w:bCs/>
              <w:noProof w:val="0"/>
              <w:sz w:val="28"/>
              <w:szCs w:val="28"/>
              <w:rtl/>
            </w:rPr>
            <w:t>05 אפריל 2018</w:t>
          </w:r>
        </w:sdtContent>
      </w:sdt>
      <w:r w:rsidRPr="0032390E" w:rsidR="00621052">
        <w:rPr>
          <w:rFonts w:hint="cs"/>
          <w:b/>
          <w:bCs/>
          <w:sz w:val="28"/>
          <w:szCs w:val="28"/>
          <w:rtl/>
        </w:rPr>
        <w:t>)</w:t>
      </w:r>
      <w:r w:rsidRPr="0032390E">
        <w:rPr>
          <w:rFonts w:ascii="Arial" w:hAnsi="Arial"/>
          <w:b/>
          <w:bCs/>
          <w:noProof w:val="0"/>
          <w:sz w:val="28"/>
          <w:szCs w:val="28"/>
          <w:rtl/>
        </w:rPr>
        <w:t xml:space="preserve">, </w:t>
      </w:r>
      <w:r w:rsidRPr="0032390E" w:rsidR="00621052">
        <w:rPr>
          <w:rFonts w:hint="cs" w:ascii="Arial" w:hAnsi="Arial"/>
          <w:b/>
          <w:bCs/>
          <w:noProof w:val="0"/>
          <w:sz w:val="28"/>
          <w:szCs w:val="28"/>
          <w:rtl/>
        </w:rPr>
        <w:t xml:space="preserve"> </w:t>
      </w:r>
      <w:r w:rsidRPr="0032390E">
        <w:rPr>
          <w:rFonts w:ascii="Arial" w:hAnsi="Arial"/>
          <w:b/>
          <w:bCs/>
          <w:noProof w:val="0"/>
          <w:sz w:val="28"/>
          <w:szCs w:val="28"/>
          <w:rtl/>
        </w:rPr>
        <w:t>בהעדר הצדדים</w:t>
      </w:r>
      <w:r w:rsidRPr="0032390E" w:rsidR="00621052">
        <w:rPr>
          <w:rFonts w:hint="cs" w:ascii="Arial" w:hAnsi="Arial"/>
          <w:b/>
          <w:bCs/>
          <w:noProof w:val="0"/>
          <w:sz w:val="28"/>
          <w:szCs w:val="28"/>
          <w:rtl/>
        </w:rPr>
        <w:t xml:space="preserve"> ויישלח אליהם</w:t>
      </w:r>
      <w:r w:rsidRPr="0032390E">
        <w:rPr>
          <w:rFonts w:ascii="Arial" w:hAnsi="Arial"/>
          <w:b/>
          <w:bCs/>
          <w:noProof w:val="0"/>
          <w:sz w:val="28"/>
          <w:szCs w:val="28"/>
          <w:rtl/>
        </w:rPr>
        <w:t>.</w:t>
      </w:r>
    </w:p>
    <w:p w:rsidR="00694556" w:rsidRDefault="00694556">
      <w:pPr>
        <w:spacing w:line="360" w:lineRule="auto"/>
        <w:jc w:val="both"/>
        <w:rPr>
          <w:rFonts w:ascii="Arial" w:hAnsi="Arial"/>
          <w:noProof w:val="0"/>
          <w:rtl/>
        </w:rPr>
      </w:pPr>
    </w:p>
    <w:p w:rsidR="00694556" w:rsidP="00494807" w:rsidRDefault="00694556">
      <w:pPr>
        <w:spacing w:line="360" w:lineRule="auto"/>
        <w:ind w:left="3600" w:firstLine="720"/>
        <w:jc w:val="both"/>
        <w:rPr>
          <w:rFonts w:ascii="Arial" w:hAnsi="Arial"/>
          <w:noProof w:val="0"/>
          <w:rtl/>
        </w:rPr>
      </w:pPr>
    </w:p>
    <w:p w:rsidR="00694556" w:rsidRDefault="00694556">
      <w:pPr>
        <w:spacing w:line="360" w:lineRule="auto"/>
        <w:jc w:val="both"/>
        <w:rPr>
          <w:rFonts w:ascii="Arial" w:hAnsi="Arial"/>
          <w:noProof w:val="0"/>
          <w:rtl/>
        </w:rPr>
      </w:pPr>
    </w:p>
    <w:p w:rsidR="00694556" w:rsidRDefault="00694556">
      <w:pPr>
        <w:spacing w:line="360" w:lineRule="auto"/>
        <w:jc w:val="both"/>
        <w:rPr>
          <w:rFonts w:ascii="Arial" w:hAnsi="Arial"/>
          <w:noProof w:val="0"/>
          <w:rtl/>
        </w:rPr>
      </w:pPr>
    </w:p>
    <w:p w:rsidR="00694556" w:rsidRDefault="00694556">
      <w:pPr>
        <w:spacing w:line="360" w:lineRule="auto"/>
        <w:jc w:val="both"/>
        <w:rPr>
          <w:rFonts w:ascii="Arial" w:hAnsi="Arial"/>
          <w:noProof w:val="0"/>
          <w:rtl/>
        </w:rPr>
      </w:pPr>
    </w:p>
    <w:p w:rsidR="00694556" w:rsidRDefault="00694556">
      <w:pPr>
        <w:spacing w:line="360" w:lineRule="auto"/>
        <w:jc w:val="both"/>
        <w:rPr>
          <w:rFonts w:ascii="Arial" w:hAnsi="Arial"/>
          <w:noProof w:val="0"/>
          <w:rtl/>
        </w:rPr>
      </w:pPr>
    </w:p>
    <w:p w:rsidR="00694556" w:rsidRDefault="00694556">
      <w:pPr>
        <w:spacing w:line="360" w:lineRule="auto"/>
        <w:jc w:val="both"/>
        <w:rPr>
          <w:rFonts w:ascii="Arial" w:hAnsi="Arial"/>
          <w:noProof w:val="0"/>
          <w:rtl/>
        </w:rPr>
      </w:pPr>
    </w:p>
    <w:sectPr w:rsidR="00694556" w:rsidSect="00903896">
      <w:headerReference w:type="even" r:id="rId19"/>
      <w:headerReference w:type="default" r:id="rId20"/>
      <w:footerReference w:type="even" r:id="rId21"/>
      <w:footerReference w:type="default" r:id="rId22"/>
      <w:headerReference w:type="first" r:id="rId23"/>
      <w:footerReference w:type="first" r:id="rId24"/>
      <w:pgSz w:w="11907" w:h="16840" w:code="9"/>
      <w:pgMar w:top="720" w:right="1701" w:bottom="1134" w:left="1701" w:header="720" w:footer="737"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w:altName w:val="Courier New"/>
    <w:panose1 w:val="02070409020205020404"/>
    <w:charset w:val="00"/>
    <w:family w:val="modern"/>
    <w:pitch w:val="fixed"/>
    <w:sig w:usb0="00000003" w:usb1="00000000" w:usb2="00000000" w:usb3="00000000" w:csb0="00000001"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57BD" w:rsidRDefault="00D857BD">
    <w:pPr>
      <w:pStyle w:val="a4"/>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7C4F95">
    <w:pPr>
      <w:pStyle w:val="a4"/>
      <w:jc w:val="center"/>
      <w:rPr>
        <w:rStyle w:val="ab"/>
      </w:rPr>
    </w:pPr>
    <w:r w:rsidRPr="004E6E3C">
      <w:rPr>
        <w:rStyle w:val="ab"/>
        <w:rFonts w:cs="Times New Roman"/>
      </w:rPr>
      <w:fldChar w:fldCharType="begin"/>
    </w:r>
    <w:r w:rsidRPr="004E6E3C" w:rsidR="00005C8B">
      <w:rPr>
        <w:rStyle w:val="ab"/>
        <w:rFonts w:cs="Times New Roman"/>
      </w:rPr>
      <w:instrText xml:space="preserve"> PAGE </w:instrText>
    </w:r>
    <w:r w:rsidRPr="004E6E3C">
      <w:rPr>
        <w:rStyle w:val="ab"/>
        <w:rFonts w:cs="Times New Roman"/>
      </w:rPr>
      <w:fldChar w:fldCharType="separate"/>
    </w:r>
    <w:r w:rsidR="00623757">
      <w:rPr>
        <w:rStyle w:val="ab"/>
        <w:rFonts w:cs="Times New Roman"/>
        <w:rtl/>
      </w:rPr>
      <w:t>9</w:t>
    </w:r>
    <w:r w:rsidRPr="004E6E3C">
      <w:rPr>
        <w:rStyle w:val="ab"/>
        <w:rFonts w:cs="Times New Roman"/>
      </w:rPr>
      <w:fldChar w:fldCharType="end"/>
    </w:r>
    <w:r w:rsidRPr="004E6E3C" w:rsidR="00005C8B">
      <w:rPr>
        <w:rStyle w:val="ab"/>
        <w:rFonts w:hint="cs"/>
        <w:rtl/>
      </w:rPr>
      <w:t xml:space="preserve"> מתוך </w:t>
    </w:r>
    <w:r w:rsidRPr="004E6E3C">
      <w:rPr>
        <w:rStyle w:val="ab"/>
      </w:rPr>
      <w:fldChar w:fldCharType="begin"/>
    </w:r>
    <w:r w:rsidRPr="004E6E3C" w:rsidR="00005C8B">
      <w:rPr>
        <w:rStyle w:val="ab"/>
      </w:rPr>
      <w:instrText xml:space="preserve"> NUMPAGES </w:instrText>
    </w:r>
    <w:r w:rsidRPr="004E6E3C">
      <w:rPr>
        <w:rStyle w:val="ab"/>
      </w:rPr>
      <w:fldChar w:fldCharType="separate"/>
    </w:r>
    <w:r w:rsidR="00623757">
      <w:rPr>
        <w:rStyle w:val="ab"/>
        <w:rtl/>
      </w:rPr>
      <w:t>9</w:t>
    </w:r>
    <w:r w:rsidRPr="004E6E3C">
      <w:rPr>
        <w:rStyle w:val="ab"/>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57BD" w:rsidRDefault="00D857BD">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57BD" w:rsidRDefault="00D857BD">
    <w:pPr>
      <w:pStyle w:val="a3"/>
    </w:pPr>
  </w:p>
</w:hdr>
</file>

<file path=word/header2.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D857BD">
    <w:pPr>
      <w:pStyle w:val="a3"/>
      <w:jc w:val="center"/>
      <w:rPr>
        <w:rFonts w:cs="FrankRuehl"/>
        <w:noProof w:val="0"/>
        <w:sz w:val="28"/>
        <w:szCs w:val="28"/>
        <w:rtl/>
      </w:rPr>
    </w:pPr>
    <w:r>
      <w:rPr>
        <w:rFonts w:cs="FrankRuehl"/>
        <w:sz w:val="28"/>
        <w:szCs w:val="28"/>
      </w:rPr>
    </w:r>
    <w:r w:rsidR="004121E7">
      <w:rPr>
        <w:rFonts w:cs="FrankRuehl"/>
        <w:sz w:val="28"/>
        <w:szCs w:val="28"/>
      </w:rPr>
      <w:drawing>
        <wp:inline distT="0" distB="0" distL="0" distR="0" wp14:anchorId="430CD3A7" wp14:editId="5E208AF4">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09"/>
      <w:gridCol w:w="3596"/>
    </w:tblGrid>
    <w:tr w:rsidR="00694556" w:rsidTr="001439B0">
      <w:trPr>
        <w:trHeight w:val="418" w:hRule="exact"/>
        <w:jc w:val="center"/>
      </w:trPr>
      <w:sdt>
        <w:sdtPr>
          <w:rPr>
            <w:sz w:val="30"/>
            <w:szCs w:val="30"/>
            <w:rtl/>
          </w:rPr>
          <w:alias w:val="1174"/>
          <w:tag w:val="1174"/>
          <w:id w:val="-755980567"/>
          <w:text/>
        </w:sdtPr>
        <w:sdtEndPr/>
        <w:sdtContent>
          <w:tc>
            <w:tcPr>
              <w:tcW w:w="8721" w:type="dxa"/>
              <w:gridSpan w:val="2"/>
            </w:tcPr>
            <w:p w:rsidRPr="00621052" w:rsidR="00694556" w:rsidRDefault="00005C8B">
              <w:pPr>
                <w:pStyle w:val="a3"/>
                <w:jc w:val="center"/>
                <w:rPr>
                  <w:rFonts w:ascii="Tahoma" w:hAnsi="Tahoma"/>
                  <w:noProof w:val="0"/>
                  <w:color w:val="000080"/>
                  <w:sz w:val="30"/>
                  <w:szCs w:val="30"/>
                  <w:rtl/>
                </w:rPr>
              </w:pPr>
              <w:r w:rsidRPr="00621052">
                <w:rPr>
                  <w:rFonts w:ascii="Tahoma" w:hAnsi="Tahoma"/>
                  <w:b/>
                  <w:bCs/>
                  <w:noProof w:val="0"/>
                  <w:color w:val="000080"/>
                  <w:sz w:val="30"/>
                  <w:szCs w:val="30"/>
                  <w:rtl/>
                </w:rPr>
                <w:t>בית דין אזורי לעבודה בתל אביב - יפו</w:t>
              </w:r>
            </w:p>
          </w:tc>
        </w:sdtContent>
      </w:sdt>
    </w:tr>
    <w:tr w:rsidRPr="001439B0" w:rsidR="00694556" w:rsidTr="001067E3">
      <w:trPr>
        <w:trHeight w:val="959"/>
        <w:jc w:val="center"/>
      </w:trPr>
      <w:tc>
        <w:tcPr>
          <w:tcW w:w="5047" w:type="dxa"/>
        </w:tcPr>
        <w:p w:rsidR="00694556" w:rsidRDefault="00694556">
          <w:pPr>
            <w:rPr>
              <w:b/>
              <w:bCs/>
              <w:noProof w:val="0"/>
              <w:sz w:val="26"/>
              <w:szCs w:val="26"/>
              <w:rtl/>
            </w:rPr>
          </w:pPr>
        </w:p>
      </w:tc>
      <w:tc>
        <w:tcPr>
          <w:tcW w:w="3674" w:type="dxa"/>
        </w:tcPr>
        <w:p w:rsidRPr="001067E3" w:rsidR="00694556" w:rsidP="001067E3" w:rsidRDefault="00623757">
          <w:pPr>
            <w:jc w:val="right"/>
            <w:rPr>
              <w:sz w:val="28"/>
              <w:szCs w:val="28"/>
              <w:rtl/>
            </w:rPr>
          </w:pPr>
          <w:sdt>
            <w:sdtPr>
              <w:rPr>
                <w:sz w:val="28"/>
                <w:szCs w:val="28"/>
                <w:rtl/>
              </w:rPr>
              <w:alias w:val="1170"/>
              <w:tag w:val="1170"/>
              <w:id w:val="1147020335"/>
              <w:text w:multiLine="1"/>
            </w:sdtPr>
            <w:sdtEndPr/>
            <w:sdtContent>
              <w:r w:rsidR="00D569A5">
                <w:rPr>
                  <w:b/>
                  <w:bCs/>
                  <w:noProof w:val="0"/>
                  <w:sz w:val="28"/>
                  <w:szCs w:val="28"/>
                  <w:rtl/>
                </w:rPr>
                <w:t>ב"ל</w:t>
              </w:r>
            </w:sdtContent>
          </w:sdt>
          <w:r w:rsidRPr="0032390E" w:rsidR="00621052">
            <w:rPr>
              <w:b/>
              <w:bCs/>
              <w:noProof w:val="0"/>
              <w:sz w:val="28"/>
              <w:szCs w:val="28"/>
              <w:rtl/>
            </w:rPr>
            <w:t xml:space="preserve"> </w:t>
          </w:r>
          <w:sdt>
            <w:sdtPr>
              <w:rPr>
                <w:sz w:val="28"/>
                <w:szCs w:val="28"/>
                <w:rtl/>
              </w:rPr>
              <w:alias w:val="1171"/>
              <w:tag w:val="1171"/>
              <w:id w:val="2066985782"/>
              <w:text w:multiLine="1"/>
            </w:sdtPr>
            <w:sdtEndPr/>
            <w:sdtContent>
              <w:r w:rsidR="00D569A5">
                <w:rPr>
                  <w:b/>
                  <w:bCs/>
                  <w:noProof w:val="0"/>
                  <w:sz w:val="28"/>
                  <w:szCs w:val="28"/>
                  <w:rtl/>
                </w:rPr>
                <w:t>39718-09-16</w:t>
              </w:r>
            </w:sdtContent>
          </w:sdt>
        </w:p>
      </w:tc>
    </w:tr>
  </w:tbl>
  <w:p w:rsidR="00694556" w:rsidRDefault="00005C8B">
    <w:pPr>
      <w:pStyle w:val="a3"/>
      <w:rPr>
        <w:noProof w:val="0"/>
        <w:rtl/>
      </w:rPr>
    </w:pPr>
    <w:r>
      <w:rPr>
        <w:noProof w:val="0"/>
        <w:rtl/>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57BD" w:rsidRDefault="00D857BD">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AD460A7"/>
    <w:multiLevelType w:val="hybridMultilevel"/>
    <w:tmpl w:val="E870C4EE"/>
    <w:lvl w:ilvl="0" w:tplc="C3448402">
      <w:start w:val="1"/>
      <w:numFmt w:val="decimal"/>
      <w:lvlText w:val="%1."/>
      <w:lvlJc w:val="left"/>
      <w:pPr>
        <w:tabs>
          <w:tab w:val="num" w:pos="644"/>
        </w:tabs>
        <w:ind w:left="644" w:hanging="360"/>
      </w:pPr>
      <w:rPr>
        <w:rFonts w:cs="David"/>
        <w:sz w:val="28"/>
        <w:szCs w:val="28"/>
      </w:rPr>
    </w:lvl>
    <w:lvl w:ilvl="1" w:tplc="04090019">
      <w:start w:val="1"/>
      <w:numFmt w:val="lowerLetter"/>
      <w:lvlText w:val="%2."/>
      <w:lvlJc w:val="left"/>
      <w:pPr>
        <w:tabs>
          <w:tab w:val="num" w:pos="1437"/>
        </w:tabs>
        <w:ind w:left="1437" w:hanging="360"/>
      </w:pPr>
      <w:rPr>
        <w:rFonts w:cs="Times New Roman"/>
      </w:rPr>
    </w:lvl>
    <w:lvl w:ilvl="2" w:tplc="0409001B">
      <w:start w:val="1"/>
      <w:numFmt w:val="lowerRoman"/>
      <w:lvlText w:val="%3."/>
      <w:lvlJc w:val="right"/>
      <w:pPr>
        <w:tabs>
          <w:tab w:val="num" w:pos="2157"/>
        </w:tabs>
        <w:ind w:left="2157" w:hanging="180"/>
      </w:pPr>
      <w:rPr>
        <w:rFonts w:cs="Times New Roman"/>
      </w:rPr>
    </w:lvl>
    <w:lvl w:ilvl="3" w:tplc="0409000F">
      <w:start w:val="1"/>
      <w:numFmt w:val="decimal"/>
      <w:lvlText w:val="%4."/>
      <w:lvlJc w:val="left"/>
      <w:pPr>
        <w:tabs>
          <w:tab w:val="num" w:pos="2877"/>
        </w:tabs>
        <w:ind w:left="2877" w:hanging="360"/>
      </w:pPr>
      <w:rPr>
        <w:rFonts w:cs="Times New Roman"/>
      </w:rPr>
    </w:lvl>
    <w:lvl w:ilvl="4" w:tplc="04090019">
      <w:start w:val="1"/>
      <w:numFmt w:val="lowerLetter"/>
      <w:lvlText w:val="%5."/>
      <w:lvlJc w:val="left"/>
      <w:pPr>
        <w:tabs>
          <w:tab w:val="num" w:pos="3597"/>
        </w:tabs>
        <w:ind w:left="3597" w:hanging="360"/>
      </w:pPr>
      <w:rPr>
        <w:rFonts w:cs="Times New Roman"/>
      </w:rPr>
    </w:lvl>
    <w:lvl w:ilvl="5" w:tplc="0409001B">
      <w:start w:val="1"/>
      <w:numFmt w:val="lowerRoman"/>
      <w:lvlText w:val="%6."/>
      <w:lvlJc w:val="right"/>
      <w:pPr>
        <w:tabs>
          <w:tab w:val="num" w:pos="4317"/>
        </w:tabs>
        <w:ind w:left="4317" w:hanging="180"/>
      </w:pPr>
      <w:rPr>
        <w:rFonts w:cs="Times New Roman"/>
      </w:rPr>
    </w:lvl>
    <w:lvl w:ilvl="6" w:tplc="0409000F">
      <w:start w:val="1"/>
      <w:numFmt w:val="decimal"/>
      <w:lvlText w:val="%7."/>
      <w:lvlJc w:val="left"/>
      <w:pPr>
        <w:tabs>
          <w:tab w:val="num" w:pos="5037"/>
        </w:tabs>
        <w:ind w:left="5037" w:hanging="360"/>
      </w:pPr>
      <w:rPr>
        <w:rFonts w:cs="Times New Roman"/>
      </w:rPr>
    </w:lvl>
    <w:lvl w:ilvl="7" w:tplc="04090019">
      <w:start w:val="1"/>
      <w:numFmt w:val="lowerLetter"/>
      <w:lvlText w:val="%8."/>
      <w:lvlJc w:val="left"/>
      <w:pPr>
        <w:tabs>
          <w:tab w:val="num" w:pos="5757"/>
        </w:tabs>
        <w:ind w:left="5757" w:hanging="360"/>
      </w:pPr>
      <w:rPr>
        <w:rFonts w:cs="Times New Roman"/>
      </w:rPr>
    </w:lvl>
    <w:lvl w:ilvl="8" w:tplc="0409001B">
      <w:start w:val="1"/>
      <w:numFmt w:val="lowerRoman"/>
      <w:lvlText w:val="%9."/>
      <w:lvlJc w:val="right"/>
      <w:pPr>
        <w:tabs>
          <w:tab w:val="num" w:pos="6477"/>
        </w:tabs>
        <w:ind w:left="6477" w:hanging="180"/>
      </w:pPr>
      <w:rPr>
        <w:rFonts w:cs="Times New Roman"/>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98306"/>
    <o:shapelayout v:ext="edit">
      <o:idmap v:ext="edit" data="96"/>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5C8B"/>
    <w:rsid w:val="000564AB"/>
    <w:rsid w:val="001067E3"/>
    <w:rsid w:val="0014234E"/>
    <w:rsid w:val="001439B0"/>
    <w:rsid w:val="001C4003"/>
    <w:rsid w:val="00211F76"/>
    <w:rsid w:val="0025187E"/>
    <w:rsid w:val="0032390E"/>
    <w:rsid w:val="004121E7"/>
    <w:rsid w:val="00494807"/>
    <w:rsid w:val="004E6E3C"/>
    <w:rsid w:val="00547DB7"/>
    <w:rsid w:val="00621052"/>
    <w:rsid w:val="00622BAA"/>
    <w:rsid w:val="00623757"/>
    <w:rsid w:val="00670EC2"/>
    <w:rsid w:val="00671BD5"/>
    <w:rsid w:val="006805C1"/>
    <w:rsid w:val="00694556"/>
    <w:rsid w:val="006C53E1"/>
    <w:rsid w:val="006E1A53"/>
    <w:rsid w:val="007C4F95"/>
    <w:rsid w:val="00820005"/>
    <w:rsid w:val="008A58D0"/>
    <w:rsid w:val="00903896"/>
    <w:rsid w:val="009754C8"/>
    <w:rsid w:val="00B80CBD"/>
    <w:rsid w:val="00BB3F04"/>
    <w:rsid w:val="00C2257A"/>
    <w:rsid w:val="00D23AEF"/>
    <w:rsid w:val="00D53924"/>
    <w:rsid w:val="00D569A5"/>
    <w:rsid w:val="00D857BD"/>
    <w:rsid w:val="00D96D8C"/>
    <w:rsid w:val="00E522BC"/>
    <w:rsid w:val="00E54642"/>
    <w:rsid w:val="00E97908"/>
    <w:rsid w:val="00ED3C65"/>
    <w:rsid w:val="00F642FD"/>
    <w:rsid w:val="00FE735B"/>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98306"/>
    <o:shapelayout v:ext="edit">
      <o:idmap v:ext="edit" data="1"/>
    </o:shapelayout>
  </w:shapeDefaults>
  <w:decimalSymbol w:val="."/>
  <w:listSeparator w:val=","/>
  <w14:docId w14:val="38784593"/>
  <w15:docId w15:val="{F12583EC-7E4F-4B68-96DA-6AB206F2B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873759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hyperlink" Target="http://www.nevo.co.il/case/5217001" TargetMode="External" Id="rId13" /><Relationship Type="http://schemas.openxmlformats.org/officeDocument/2006/relationships/image" Target="media/image3.png" Id="rId18" /><Relationship Type="http://schemas.openxmlformats.org/officeDocument/2006/relationships/theme" Target="theme/theme1.xml" Id="rId26" /><Relationship Type="http://schemas.openxmlformats.org/officeDocument/2006/relationships/numbering" Target="numbering.xml" Id="rId3" /><Relationship Type="http://schemas.openxmlformats.org/officeDocument/2006/relationships/footer" Target="footer1.xml" Id="rId21" /><Relationship Type="http://schemas.openxmlformats.org/officeDocument/2006/relationships/footnotes" Target="footnotes.xml" Id="rId7" /><Relationship Type="http://schemas.openxmlformats.org/officeDocument/2006/relationships/hyperlink" Target="http://www.nevo.co.il/case/3965711" TargetMode="External" Id="rId12" /><Relationship Type="http://schemas.openxmlformats.org/officeDocument/2006/relationships/image" Target="media/image2.png" Id="rId17" /><Relationship Type="http://schemas.openxmlformats.org/officeDocument/2006/relationships/fontTable" Target="fontTable.xml" Id="rId25" /><Relationship Type="http://schemas.openxmlformats.org/officeDocument/2006/relationships/image" Target="media/image1.png" Id="rId16" /><Relationship Type="http://schemas.openxmlformats.org/officeDocument/2006/relationships/header" Target="header2.xml" Id="rId20" /><Relationship Type="http://schemas.microsoft.com/office/2006/relationships/keyMapCustomizations" Target="customizations.xml" Id="rId1" /><Relationship Type="http://schemas.openxmlformats.org/officeDocument/2006/relationships/webSettings" Target="webSettings.xml" Id="rId6" /><Relationship Type="http://schemas.openxmlformats.org/officeDocument/2006/relationships/hyperlink" Target="http://www.nevo.co.il/case/32412" TargetMode="External" Id="rId11" /><Relationship Type="http://schemas.openxmlformats.org/officeDocument/2006/relationships/footer" Target="footer3.xml" Id="rId24" /><Relationship Type="http://schemas.openxmlformats.org/officeDocument/2006/relationships/settings" Target="settings.xml" Id="rId5" /><Relationship Type="http://schemas.openxmlformats.org/officeDocument/2006/relationships/hyperlink" Target="http://www.nevo.co.il/case/28107" TargetMode="External" Id="rId15" /><Relationship Type="http://schemas.openxmlformats.org/officeDocument/2006/relationships/header" Target="header3.xml" Id="rId23" /><Relationship Type="http://schemas.openxmlformats.org/officeDocument/2006/relationships/hyperlink" Target="http://www.nevo.co.il/case/17610" TargetMode="External" Id="rId10" /><Relationship Type="http://schemas.openxmlformats.org/officeDocument/2006/relationships/header" Target="header1.xml" Id="rId19" /><Relationship Type="http://schemas.openxmlformats.org/officeDocument/2006/relationships/styles" Target="styles.xml" Id="rId4" /><Relationship Type="http://schemas.openxmlformats.org/officeDocument/2006/relationships/hyperlink" Target="http://www.nevo.co.il/case/11317095" TargetMode="External" Id="rId9" /><Relationship Type="http://schemas.openxmlformats.org/officeDocument/2006/relationships/hyperlink" Target="http://www.nevo.co.il/case/4245571" TargetMode="External" Id="rId14" /><Relationship Type="http://schemas.openxmlformats.org/officeDocument/2006/relationships/footer" Target="footer2.xml" Id="rId22" /></Relationships>
</file>

<file path=word/_rels/header2.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9</Pages>
  <Words>2316</Words>
  <Characters>11580</Characters>
  <Application>Microsoft Office Word</Application>
  <DocSecurity>0</DocSecurity>
  <Lines>96</Lines>
  <Paragraphs>27</Paragraphs>
  <ScaleCrop>false</ScaleCrop>
  <HeadingPairs>
    <vt:vector size="2" baseType="variant">
      <vt:variant>
        <vt:lpstr>שם</vt:lpstr>
      </vt:variant>
      <vt:variant>
        <vt:i4>1</vt:i4>
      </vt:variant>
    </vt:vector>
  </HeadingPairs>
  <TitlesOfParts>
    <vt:vector size="1" baseType="lpstr">
      <vt:lpstr/>
    </vt:vector>
  </TitlesOfParts>
  <Company>Microsoft Corporation</Company>
  <LinksUpToDate>false</LinksUpToDate>
  <CharactersWithSpaces>13869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אסנת רובוביץ - ברכש</cp:lastModifiedBy>
  <cp:revision>19</cp:revision>
  <dcterms:created xsi:type="dcterms:W3CDTF">2012-08-06T01:26:00Z</dcterms:created>
  <dcterms:modified xsi:type="dcterms:W3CDTF">2018-04-05T05:39:00Z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