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bidiVisual/>
        <w:tblW w:w="8820" w:type="dxa"/>
        <w:jc w:val="center"/>
        <w:tblLook w:val="01E0" w:firstRow="1" w:lastRow="1" w:firstColumn="1" w:lastColumn="1" w:noHBand="0" w:noVBand="0"/>
      </w:tblPr>
      <w:tblGrid>
        <w:gridCol w:w="743"/>
        <w:gridCol w:w="2452"/>
        <w:gridCol w:w="5625"/>
      </w:tblGrid>
      <w:tr w:rsidR="00337BC0" w:rsidTr="00337BC0">
        <w:trPr>
          <w:jc w:val="center"/>
        </w:trPr>
        <w:tc>
          <w:tcPr>
            <w:tcW w:w="743" w:type="dxa"/>
            <w:hideMark/>
          </w:tcPr>
          <w:p w:rsidR="00337BC0" w:rsidRDefault="00CE44AF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  <w:bookmarkStart w:name="_GoBack" w:id="0"/>
            <w:bookmarkEnd w:id="0"/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</w:tcPr>
          <w:p w:rsidR="00337BC0" w:rsidP="005B1298" w:rsidRDefault="00CE44AF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כב' השופטת </w:t>
            </w:r>
            <w:r w:rsidR="005B1298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גלית ציגלר</w:t>
            </w:r>
          </w:p>
          <w:p w:rsidR="00337BC0" w:rsidRDefault="00B7673A">
            <w:pPr>
              <w:rPr>
                <w:rFonts w:ascii="Arial" w:hAnsi="Arial" w:cs="FrankRuehl"/>
                <w:sz w:val="26"/>
                <w:szCs w:val="26"/>
                <w:highlight w:val="yellow"/>
                <w:rtl/>
              </w:rPr>
            </w:pPr>
          </w:p>
        </w:tc>
      </w:tr>
      <w:tr w:rsidR="00337BC0" w:rsidTr="00337BC0">
        <w:trPr>
          <w:jc w:val="center"/>
        </w:trPr>
        <w:tc>
          <w:tcPr>
            <w:tcW w:w="3195" w:type="dxa"/>
            <w:gridSpan w:val="2"/>
            <w:hideMark/>
          </w:tcPr>
          <w:p w:rsidR="00337BC0" w:rsidRDefault="00CE44AF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בעניין:</w:t>
            </w:r>
          </w:p>
        </w:tc>
        <w:tc>
          <w:tcPr>
            <w:tcW w:w="5625" w:type="dxa"/>
            <w:hideMark/>
          </w:tcPr>
          <w:p w:rsidR="00337BC0" w:rsidRDefault="00CE44AF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פקודת פשיטת הרגל [נוסח חדש], התש"ם-1980 </w:t>
            </w:r>
          </w:p>
          <w:p w:rsidR="00337BC0" w:rsidRDefault="00CE44AF">
            <w:pPr>
              <w:spacing w:line="360" w:lineRule="auto"/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להלן: "הפקודה"</w:t>
            </w:r>
          </w:p>
        </w:tc>
      </w:tr>
      <w:tr w:rsidR="00337BC0" w:rsidTr="00337BC0">
        <w:trPr>
          <w:trHeight w:val="720"/>
          <w:jc w:val="center"/>
        </w:trPr>
        <w:tc>
          <w:tcPr>
            <w:tcW w:w="3195" w:type="dxa"/>
            <w:gridSpan w:val="2"/>
            <w:hideMark/>
          </w:tcPr>
          <w:p w:rsidR="00337BC0" w:rsidRDefault="00CE44AF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בעניין:                                                 </w:t>
            </w:r>
          </w:p>
        </w:tc>
        <w:tc>
          <w:tcPr>
            <w:tcW w:w="5625" w:type="dxa"/>
            <w:hideMark/>
          </w:tcPr>
          <w:p w:rsidR="00337BC0" w:rsidRDefault="00CE44AF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עוודאללה עאסלה, ת"ז 54840640</w:t>
            </w:r>
          </w:p>
          <w:p w:rsidR="00337BC0" w:rsidRDefault="00CE44AF">
            <w:pPr>
              <w:spacing w:line="360" w:lineRule="auto"/>
              <w:jc w:val="righ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להלן: "החייב"</w:t>
            </w:r>
          </w:p>
        </w:tc>
      </w:tr>
      <w:tr w:rsidR="00337BC0" w:rsidTr="00337BC0">
        <w:trPr>
          <w:jc w:val="center"/>
        </w:trPr>
        <w:tc>
          <w:tcPr>
            <w:tcW w:w="3195" w:type="dxa"/>
            <w:gridSpan w:val="2"/>
            <w:hideMark/>
          </w:tcPr>
          <w:p w:rsidR="00337BC0" w:rsidRDefault="00CE44AF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ובעניין:</w:t>
            </w:r>
          </w:p>
        </w:tc>
        <w:tc>
          <w:tcPr>
            <w:tcW w:w="5625" w:type="dxa"/>
            <w:hideMark/>
          </w:tcPr>
          <w:p w:rsidR="00337BC0" w:rsidRDefault="00CE44AF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הכונס הרשמי מחוז חיפה</w:t>
            </w:r>
          </w:p>
          <w:p w:rsidR="00337BC0" w:rsidRDefault="00CE44AF">
            <w:pPr>
              <w:spacing w:line="360" w:lineRule="auto"/>
              <w:jc w:val="righ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להלן: "הכונ"ר"</w:t>
            </w:r>
          </w:p>
        </w:tc>
      </w:tr>
      <w:tr w:rsidR="00337BC0" w:rsidTr="00337BC0">
        <w:trPr>
          <w:jc w:val="center"/>
        </w:trPr>
        <w:tc>
          <w:tcPr>
            <w:tcW w:w="3195" w:type="dxa"/>
            <w:gridSpan w:val="2"/>
            <w:hideMark/>
          </w:tcPr>
          <w:p w:rsidR="00337BC0" w:rsidRDefault="00CE44AF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ובעניין:</w:t>
            </w:r>
          </w:p>
        </w:tc>
        <w:tc>
          <w:tcPr>
            <w:tcW w:w="5625" w:type="dxa"/>
            <w:hideMark/>
          </w:tcPr>
          <w:p w:rsidR="00337BC0" w:rsidRDefault="00CE44AF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עו"ד גיא הירש</w:t>
            </w:r>
          </w:p>
          <w:p w:rsidR="00337BC0" w:rsidRDefault="00CE44AF">
            <w:pPr>
              <w:spacing w:line="360" w:lineRule="auto"/>
              <w:jc w:val="righ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להלן: "המנהל המיוחד"</w:t>
            </w:r>
          </w:p>
        </w:tc>
      </w:tr>
    </w:tbl>
    <w:p w:rsidR="00337BC0" w:rsidP="00337BC0" w:rsidRDefault="00B7673A">
      <w:pPr>
        <w:suppressLineNumbers/>
      </w:pPr>
    </w:p>
    <w:p w:rsidR="00337BC0" w:rsidP="00337BC0" w:rsidRDefault="00CE44AF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 </w:t>
      </w:r>
    </w:p>
    <w:p w:rsidR="001434F7" w:rsidRDefault="00B7673A"/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5B1298" w:rsidP="00D30779" w:rsidRDefault="005B1298">
      <w:pPr>
        <w:spacing w:line="360" w:lineRule="auto"/>
        <w:jc w:val="both"/>
        <w:rPr>
          <w:rtl/>
        </w:rPr>
      </w:pPr>
      <w:bookmarkStart w:name="NGCSBookmark" w:id="1"/>
      <w:bookmarkEnd w:id="1"/>
    </w:p>
    <w:p w:rsidRPr="00BA0307" w:rsidR="00733F45" w:rsidP="00733F45" w:rsidRDefault="00733F45">
      <w:pPr>
        <w:spacing w:before="120" w:line="360" w:lineRule="auto"/>
        <w:jc w:val="both"/>
        <w:rPr>
          <w:noProof w:val="0"/>
          <w:rtl/>
          <w:lang w:eastAsia="he-IL"/>
        </w:rPr>
      </w:pPr>
      <w:r>
        <w:rPr>
          <w:noProof w:val="0"/>
          <w:rtl/>
          <w:lang w:eastAsia="he-IL"/>
        </w:rPr>
        <w:t>לפניי בקשת חייב להכרזתו פושט</w:t>
      </w:r>
      <w:r w:rsidRPr="00BA0307">
        <w:rPr>
          <w:noProof w:val="0"/>
          <w:rtl/>
          <w:lang w:eastAsia="he-IL"/>
        </w:rPr>
        <w:t xml:space="preserve"> רגל. </w:t>
      </w:r>
    </w:p>
    <w:p w:rsidRPr="00BA0307" w:rsidR="00733F45" w:rsidP="00733F45" w:rsidRDefault="00733F45">
      <w:pPr>
        <w:spacing w:before="120" w:line="360" w:lineRule="auto"/>
        <w:jc w:val="both"/>
        <w:rPr>
          <w:noProof w:val="0"/>
          <w:rtl/>
          <w:lang w:eastAsia="he-IL"/>
        </w:rPr>
      </w:pPr>
      <w:r>
        <w:rPr>
          <w:noProof w:val="0"/>
          <w:rtl/>
          <w:lang w:eastAsia="he-IL"/>
        </w:rPr>
        <w:t>הכונ"ר אינו מתנגד לבקשת החייב</w:t>
      </w:r>
      <w:r w:rsidRPr="00BA0307">
        <w:rPr>
          <w:noProof w:val="0"/>
          <w:rtl/>
          <w:lang w:eastAsia="he-IL"/>
        </w:rPr>
        <w:t>, לאחר ששוכנע כי לא</w:t>
      </w:r>
      <w:r>
        <w:rPr>
          <w:noProof w:val="0"/>
          <w:rtl/>
          <w:lang w:eastAsia="he-IL"/>
        </w:rPr>
        <w:t xml:space="preserve"> נמצא חוסר תום לב ביצירת חובותיו ובהתנהלותו</w:t>
      </w:r>
      <w:r w:rsidRPr="00BA0307">
        <w:rPr>
          <w:noProof w:val="0"/>
          <w:rtl/>
          <w:lang w:eastAsia="he-IL"/>
        </w:rPr>
        <w:t xml:space="preserve"> בהליכי הפש"ר. </w:t>
      </w:r>
    </w:p>
    <w:p w:rsidRPr="00BA0307" w:rsidR="00733F45" w:rsidP="00C552AB" w:rsidRDefault="00733F45">
      <w:pPr>
        <w:spacing w:before="120" w:line="360" w:lineRule="auto"/>
        <w:jc w:val="both"/>
        <w:rPr>
          <w:noProof w:val="0"/>
          <w:rtl/>
          <w:lang w:eastAsia="he-IL"/>
        </w:rPr>
      </w:pPr>
      <w:r w:rsidRPr="00BA0307">
        <w:rPr>
          <w:noProof w:val="0"/>
          <w:rtl/>
          <w:lang w:eastAsia="he-IL"/>
        </w:rPr>
        <w:t xml:space="preserve">ביום </w:t>
      </w:r>
      <w:r w:rsidR="00C552AB">
        <w:rPr>
          <w:rFonts w:hint="cs"/>
          <w:noProof w:val="0"/>
          <w:rtl/>
          <w:lang w:eastAsia="he-IL"/>
        </w:rPr>
        <w:t xml:space="preserve">23.6.16 </w:t>
      </w:r>
      <w:r>
        <w:rPr>
          <w:noProof w:val="0"/>
          <w:rtl/>
          <w:lang w:eastAsia="he-IL"/>
        </w:rPr>
        <w:t>ניתן צו לכינוס נכסי החייב, על פי בקשתו</w:t>
      </w:r>
      <w:r w:rsidRPr="00BA0307">
        <w:rPr>
          <w:noProof w:val="0"/>
          <w:rtl/>
          <w:lang w:eastAsia="he-IL"/>
        </w:rPr>
        <w:t>, בגין חובות מוצהרים בסך</w:t>
      </w:r>
      <w:r>
        <w:rPr>
          <w:noProof w:val="0"/>
          <w:rtl/>
          <w:lang w:eastAsia="he-IL"/>
        </w:rPr>
        <w:t xml:space="preserve"> של</w:t>
      </w:r>
      <w:r w:rsidR="00C552AB">
        <w:rPr>
          <w:rFonts w:hint="cs"/>
          <w:noProof w:val="0"/>
          <w:rtl/>
          <w:lang w:eastAsia="he-IL"/>
        </w:rPr>
        <w:t xml:space="preserve"> 198,851</w:t>
      </w:r>
      <w:r w:rsidRPr="00BA0307">
        <w:rPr>
          <w:noProof w:val="0"/>
          <w:rtl/>
          <w:lang w:eastAsia="he-IL"/>
        </w:rPr>
        <w:t xml:space="preserve"> ₪ </w:t>
      </w:r>
      <w:r w:rsidRPr="00BA0307">
        <w:rPr>
          <w:noProof w:val="0"/>
          <w:rtl/>
          <w:lang w:eastAsia="he-IL"/>
        </w:rPr>
        <w:br/>
        <w:t>ל</w:t>
      </w:r>
      <w:r w:rsidR="00C552AB">
        <w:rPr>
          <w:rFonts w:hint="cs"/>
          <w:noProof w:val="0"/>
          <w:rtl/>
          <w:lang w:eastAsia="he-IL"/>
        </w:rPr>
        <w:t xml:space="preserve"> 5</w:t>
      </w:r>
      <w:r>
        <w:rPr>
          <w:noProof w:val="0"/>
          <w:rtl/>
          <w:lang w:eastAsia="he-IL"/>
        </w:rPr>
        <w:t xml:space="preserve"> </w:t>
      </w:r>
      <w:r w:rsidRPr="00BA0307">
        <w:rPr>
          <w:noProof w:val="0"/>
          <w:rtl/>
          <w:lang w:eastAsia="he-IL"/>
        </w:rPr>
        <w:t xml:space="preserve">נושים, כאשר מושת </w:t>
      </w:r>
      <w:r>
        <w:rPr>
          <w:noProof w:val="0"/>
          <w:rtl/>
          <w:lang w:eastAsia="he-IL"/>
        </w:rPr>
        <w:t>עליו</w:t>
      </w:r>
      <w:r w:rsidRPr="00BA0307">
        <w:rPr>
          <w:noProof w:val="0"/>
          <w:rtl/>
          <w:lang w:eastAsia="he-IL"/>
        </w:rPr>
        <w:t xml:space="preserve"> תשלום חודשי בסך </w:t>
      </w:r>
      <w:r>
        <w:rPr>
          <w:noProof w:val="0"/>
          <w:rtl/>
          <w:lang w:eastAsia="he-IL"/>
        </w:rPr>
        <w:t>של</w:t>
      </w:r>
      <w:r w:rsidR="00C91370">
        <w:rPr>
          <w:rFonts w:hint="cs"/>
          <w:noProof w:val="0"/>
          <w:rtl/>
          <w:lang w:eastAsia="he-IL"/>
        </w:rPr>
        <w:t xml:space="preserve"> 500</w:t>
      </w:r>
      <w:r>
        <w:rPr>
          <w:noProof w:val="0"/>
          <w:rtl/>
          <w:lang w:eastAsia="he-IL"/>
        </w:rPr>
        <w:t xml:space="preserve"> </w:t>
      </w:r>
      <w:r w:rsidRPr="00BA0307">
        <w:rPr>
          <w:noProof w:val="0"/>
          <w:rtl/>
          <w:lang w:eastAsia="he-IL"/>
        </w:rPr>
        <w:t>₪.</w:t>
      </w:r>
    </w:p>
    <w:p w:rsidRPr="00BA0307" w:rsidR="00733F45" w:rsidP="00733F45" w:rsidRDefault="00733F45">
      <w:pPr>
        <w:spacing w:before="120" w:line="360" w:lineRule="auto"/>
        <w:jc w:val="both"/>
        <w:rPr>
          <w:noProof w:val="0"/>
          <w:rtl/>
          <w:lang w:eastAsia="he-IL"/>
        </w:rPr>
      </w:pPr>
      <w:r w:rsidRPr="00BA0307">
        <w:rPr>
          <w:noProof w:val="0"/>
          <w:rtl/>
          <w:lang w:eastAsia="he-IL"/>
        </w:rPr>
        <w:t>עד מועד הגשתה של חוות הדעת על ידי הכונ"ר</w:t>
      </w:r>
      <w:r>
        <w:rPr>
          <w:noProof w:val="0"/>
          <w:rtl/>
          <w:lang w:eastAsia="he-IL"/>
        </w:rPr>
        <w:t>, הוגשו נגד החייב</w:t>
      </w:r>
      <w:r w:rsidRPr="00BA0307">
        <w:rPr>
          <w:noProof w:val="0"/>
          <w:rtl/>
          <w:lang w:eastAsia="he-IL"/>
        </w:rPr>
        <w:t xml:space="preserve">  </w:t>
      </w:r>
      <w:r w:rsidR="00C552AB">
        <w:rPr>
          <w:rFonts w:hint="cs"/>
          <w:noProof w:val="0"/>
          <w:rtl/>
          <w:lang w:eastAsia="he-IL"/>
        </w:rPr>
        <w:t>2 ת</w:t>
      </w:r>
      <w:r w:rsidRPr="00BA0307">
        <w:rPr>
          <w:noProof w:val="0"/>
          <w:rtl/>
          <w:lang w:eastAsia="he-IL"/>
        </w:rPr>
        <w:t>ביעות חוב בסכום כולל של</w:t>
      </w:r>
      <w:r w:rsidR="00C552AB">
        <w:rPr>
          <w:rFonts w:hint="cs"/>
          <w:noProof w:val="0"/>
          <w:rtl/>
          <w:lang w:eastAsia="he-IL"/>
        </w:rPr>
        <w:t xml:space="preserve"> 164,285</w:t>
      </w:r>
      <w:r w:rsidRPr="00BA0307">
        <w:rPr>
          <w:noProof w:val="0"/>
          <w:rtl/>
          <w:lang w:eastAsia="he-IL"/>
        </w:rPr>
        <w:t xml:space="preserve"> </w:t>
      </w:r>
      <w:r>
        <w:rPr>
          <w:noProof w:val="0"/>
          <w:rtl/>
          <w:lang w:eastAsia="he-IL"/>
        </w:rPr>
        <w:t xml:space="preserve">₪. </w:t>
      </w:r>
      <w:r w:rsidRPr="00BA0307">
        <w:rPr>
          <w:noProof w:val="0"/>
          <w:rtl/>
          <w:lang w:eastAsia="he-IL"/>
        </w:rPr>
        <w:t>לא נתבעו חובות בדין קדימה.</w:t>
      </w:r>
    </w:p>
    <w:p w:rsidRPr="00BA0307" w:rsidR="00733F45" w:rsidP="00733F45" w:rsidRDefault="00733F45">
      <w:pPr>
        <w:spacing w:before="120" w:line="360" w:lineRule="auto"/>
        <w:jc w:val="both"/>
        <w:rPr>
          <w:noProof w:val="0"/>
          <w:rtl/>
          <w:lang w:eastAsia="he-IL"/>
        </w:rPr>
      </w:pPr>
      <w:r w:rsidRPr="00BA0307">
        <w:rPr>
          <w:noProof w:val="0"/>
          <w:rtl/>
          <w:lang w:eastAsia="he-IL"/>
        </w:rPr>
        <w:t>המבחן העיק</w:t>
      </w:r>
      <w:r>
        <w:rPr>
          <w:noProof w:val="0"/>
          <w:rtl/>
          <w:lang w:eastAsia="he-IL"/>
        </w:rPr>
        <w:t xml:space="preserve">רי להכרזתו של חייב כפושט רגל, על </w:t>
      </w:r>
      <w:r w:rsidRPr="00BA0307">
        <w:rPr>
          <w:noProof w:val="0"/>
          <w:rtl/>
          <w:lang w:eastAsia="he-IL"/>
        </w:rPr>
        <w:t>פ</w:t>
      </w:r>
      <w:r>
        <w:rPr>
          <w:noProof w:val="0"/>
          <w:rtl/>
          <w:lang w:eastAsia="he-IL"/>
        </w:rPr>
        <w:t>י</w:t>
      </w:r>
      <w:r w:rsidRPr="00BA0307">
        <w:rPr>
          <w:noProof w:val="0"/>
          <w:rtl/>
          <w:lang w:eastAsia="he-IL"/>
        </w:rPr>
        <w:t xml:space="preserve"> הפקודה והכללים שהתפתחו בפסיקה, הוא אם  החייב נהג בתום לב </w:t>
      </w:r>
      <w:r>
        <w:rPr>
          <w:noProof w:val="0"/>
          <w:rtl/>
          <w:lang w:eastAsia="he-IL"/>
        </w:rPr>
        <w:t>עובר להליכי פשיטת הרגל ובמהלכם.</w:t>
      </w:r>
      <w:r w:rsidRPr="00BA0307">
        <w:rPr>
          <w:noProof w:val="0"/>
          <w:rtl/>
          <w:lang w:eastAsia="he-IL"/>
        </w:rPr>
        <w:t xml:space="preserve"> בהעדר תום לב, אין החייב </w:t>
      </w:r>
      <w:r>
        <w:rPr>
          <w:noProof w:val="0"/>
          <w:rtl/>
          <w:lang w:eastAsia="he-IL"/>
        </w:rPr>
        <w:t>זכאי לחסות בצל המטריה של הפקודה [</w:t>
      </w:r>
      <w:r w:rsidRPr="00BA0307">
        <w:rPr>
          <w:noProof w:val="0"/>
          <w:rtl/>
          <w:lang w:eastAsia="he-IL"/>
        </w:rPr>
        <w:t>שלמה לוין ואשר גר</w:t>
      </w:r>
      <w:r>
        <w:rPr>
          <w:noProof w:val="0"/>
          <w:rtl/>
          <w:lang w:eastAsia="he-IL"/>
        </w:rPr>
        <w:t>וניס</w:t>
      </w:r>
      <w:r w:rsidRPr="00BA0307">
        <w:rPr>
          <w:noProof w:val="0"/>
          <w:rtl/>
          <w:lang w:eastAsia="he-IL"/>
        </w:rPr>
        <w:t xml:space="preserve"> </w:t>
      </w:r>
      <w:r w:rsidRPr="00BA0307">
        <w:rPr>
          <w:b/>
          <w:bCs/>
          <w:noProof w:val="0"/>
          <w:rtl/>
          <w:lang w:eastAsia="he-IL"/>
        </w:rPr>
        <w:t>פשיטת רגל</w:t>
      </w:r>
      <w:r w:rsidRPr="00BA0307">
        <w:rPr>
          <w:noProof w:val="0"/>
          <w:rtl/>
          <w:lang w:eastAsia="he-IL"/>
        </w:rPr>
        <w:t xml:space="preserve"> </w:t>
      </w:r>
      <w:r>
        <w:rPr>
          <w:noProof w:val="0"/>
          <w:rtl/>
          <w:lang w:eastAsia="he-IL"/>
        </w:rPr>
        <w:t>173 (</w:t>
      </w:r>
      <w:r w:rsidRPr="00BA0307">
        <w:rPr>
          <w:noProof w:val="0"/>
          <w:rtl/>
          <w:lang w:eastAsia="he-IL"/>
        </w:rPr>
        <w:t>מהדורה שלישית</w:t>
      </w:r>
      <w:r>
        <w:rPr>
          <w:noProof w:val="0"/>
          <w:rtl/>
          <w:lang w:eastAsia="he-IL"/>
        </w:rPr>
        <w:t>, 2010)</w:t>
      </w:r>
      <w:r w:rsidRPr="00BA0307">
        <w:rPr>
          <w:noProof w:val="0"/>
          <w:rtl/>
          <w:lang w:eastAsia="he-IL"/>
        </w:rPr>
        <w:t>; כן</w:t>
      </w:r>
      <w:r>
        <w:rPr>
          <w:noProof w:val="0"/>
          <w:rtl/>
          <w:lang w:eastAsia="he-IL"/>
        </w:rPr>
        <w:t>,</w:t>
      </w:r>
      <w:r w:rsidRPr="00BA0307">
        <w:rPr>
          <w:noProof w:val="0"/>
          <w:rtl/>
          <w:lang w:eastAsia="he-IL"/>
        </w:rPr>
        <w:t xml:space="preserve"> רא</w:t>
      </w:r>
      <w:r>
        <w:rPr>
          <w:noProof w:val="0"/>
          <w:rtl/>
          <w:lang w:eastAsia="he-IL"/>
        </w:rPr>
        <w:t>ו:</w:t>
      </w:r>
      <w:r w:rsidRPr="00BA0307">
        <w:rPr>
          <w:noProof w:val="0"/>
          <w:rtl/>
          <w:lang w:eastAsia="he-IL"/>
        </w:rPr>
        <w:t xml:space="preserve"> ע"א 5503/92 </w:t>
      </w:r>
      <w:r>
        <w:rPr>
          <w:b/>
          <w:bCs/>
          <w:noProof w:val="0"/>
          <w:rtl/>
          <w:lang w:eastAsia="he-IL"/>
        </w:rPr>
        <w:t>קירצמן נ'</w:t>
      </w:r>
      <w:r w:rsidRPr="00BA0307">
        <w:rPr>
          <w:b/>
          <w:bCs/>
          <w:noProof w:val="0"/>
          <w:rtl/>
          <w:lang w:eastAsia="he-IL"/>
        </w:rPr>
        <w:t xml:space="preserve"> כונס הנכסים הרשמי</w:t>
      </w:r>
      <w:r>
        <w:rPr>
          <w:noProof w:val="0"/>
          <w:rtl/>
          <w:lang w:eastAsia="he-IL"/>
        </w:rPr>
        <w:t>, פ"ד מט(1) 749,</w:t>
      </w:r>
      <w:r w:rsidRPr="00BA0307">
        <w:rPr>
          <w:noProof w:val="0"/>
          <w:rtl/>
          <w:lang w:eastAsia="he-IL"/>
        </w:rPr>
        <w:t xml:space="preserve"> 756</w:t>
      </w:r>
      <w:r>
        <w:rPr>
          <w:noProof w:val="0"/>
          <w:rtl/>
          <w:lang w:eastAsia="he-IL"/>
        </w:rPr>
        <w:t xml:space="preserve"> (1994); וראו,</w:t>
      </w:r>
      <w:r w:rsidRPr="00BA0307">
        <w:rPr>
          <w:noProof w:val="0"/>
          <w:rtl/>
          <w:lang w:eastAsia="he-IL"/>
        </w:rPr>
        <w:t xml:space="preserve"> גם</w:t>
      </w:r>
      <w:r>
        <w:rPr>
          <w:noProof w:val="0"/>
          <w:rtl/>
          <w:lang w:eastAsia="he-IL"/>
        </w:rPr>
        <w:t>: ע"א 6021/06</w:t>
      </w:r>
      <w:r w:rsidRPr="00BA0307">
        <w:rPr>
          <w:b/>
          <w:bCs/>
          <w:noProof w:val="0"/>
          <w:rtl/>
          <w:lang w:eastAsia="he-IL"/>
        </w:rPr>
        <w:t xml:space="preserve"> פיגון נ' כונס הנכסים הרשמי</w:t>
      </w:r>
      <w:r w:rsidRPr="00BA0307">
        <w:rPr>
          <w:noProof w:val="0"/>
          <w:rtl/>
          <w:lang w:eastAsia="he-IL"/>
        </w:rPr>
        <w:t xml:space="preserve"> </w:t>
      </w:r>
      <w:r>
        <w:rPr>
          <w:noProof w:val="0"/>
          <w:rtl/>
          <w:lang w:eastAsia="he-IL"/>
        </w:rPr>
        <w:t>(פורסם בנבו, 9.8.2009</w:t>
      </w:r>
      <w:r w:rsidRPr="00BA0307">
        <w:rPr>
          <w:noProof w:val="0"/>
          <w:rtl/>
          <w:lang w:eastAsia="he-IL"/>
        </w:rPr>
        <w:t>)</w:t>
      </w:r>
      <w:r>
        <w:rPr>
          <w:noProof w:val="0"/>
          <w:rtl/>
          <w:lang w:eastAsia="he-IL"/>
        </w:rPr>
        <w:t>]</w:t>
      </w:r>
      <w:r w:rsidRPr="00BA0307">
        <w:rPr>
          <w:noProof w:val="0"/>
          <w:rtl/>
          <w:lang w:eastAsia="he-IL"/>
        </w:rPr>
        <w:t>.</w:t>
      </w:r>
    </w:p>
    <w:p w:rsidRPr="00BA0307" w:rsidR="00733F45" w:rsidP="00733F45" w:rsidRDefault="00733F45">
      <w:pPr>
        <w:spacing w:before="120" w:line="360" w:lineRule="auto"/>
        <w:jc w:val="both"/>
        <w:rPr>
          <w:noProof w:val="0"/>
          <w:rtl/>
          <w:lang w:eastAsia="he-IL"/>
        </w:rPr>
      </w:pPr>
      <w:r w:rsidRPr="00BA0307">
        <w:rPr>
          <w:noProof w:val="0"/>
          <w:rtl/>
          <w:lang w:eastAsia="he-IL"/>
        </w:rPr>
        <w:t>מנימוקי הבקשה, לאור עמדת הכונ"ר</w:t>
      </w:r>
      <w:r>
        <w:rPr>
          <w:noProof w:val="0"/>
          <w:rtl/>
          <w:lang w:eastAsia="he-IL"/>
        </w:rPr>
        <w:t>, ובהעדר התנגדות מטעם נושי החייב</w:t>
      </w:r>
      <w:r w:rsidRPr="00BA0307">
        <w:rPr>
          <w:noProof w:val="0"/>
          <w:rtl/>
          <w:lang w:eastAsia="he-IL"/>
        </w:rPr>
        <w:t xml:space="preserve"> אשר לא התייצבו</w:t>
      </w:r>
      <w:r>
        <w:rPr>
          <w:noProof w:val="0"/>
          <w:rtl/>
          <w:lang w:eastAsia="he-IL"/>
        </w:rPr>
        <w:t xml:space="preserve"> לישיבת בית המשפט שנוהלה בעניינו של החייב</w:t>
      </w:r>
      <w:r w:rsidRPr="00BA0307">
        <w:rPr>
          <w:noProof w:val="0"/>
          <w:rtl/>
          <w:lang w:eastAsia="he-IL"/>
        </w:rPr>
        <w:t>, אני מקבלת את הבקשה</w:t>
      </w:r>
      <w:r>
        <w:rPr>
          <w:noProof w:val="0"/>
          <w:rtl/>
          <w:lang w:eastAsia="he-IL"/>
        </w:rPr>
        <w:t>, ומכריזה כי החייב פושט</w:t>
      </w:r>
      <w:r w:rsidRPr="00BA0307">
        <w:rPr>
          <w:noProof w:val="0"/>
          <w:rtl/>
          <w:lang w:eastAsia="he-IL"/>
        </w:rPr>
        <w:t xml:space="preserve"> רגל. </w:t>
      </w:r>
    </w:p>
    <w:p w:rsidR="00733F45" w:rsidP="00733F45" w:rsidRDefault="00733F45">
      <w:pPr>
        <w:spacing w:before="120" w:line="360" w:lineRule="auto"/>
        <w:jc w:val="both"/>
        <w:rPr>
          <w:noProof w:val="0"/>
          <w:rtl/>
          <w:lang w:eastAsia="he-IL"/>
        </w:rPr>
      </w:pPr>
      <w:r>
        <w:rPr>
          <w:noProof w:val="0"/>
          <w:rtl/>
          <w:lang w:eastAsia="he-IL"/>
        </w:rPr>
        <w:t>כל ההגבלות שהוטלו על החייב יעמדו בעינן, והחייב י</w:t>
      </w:r>
      <w:r w:rsidRPr="00BA0307">
        <w:rPr>
          <w:noProof w:val="0"/>
          <w:rtl/>
          <w:lang w:eastAsia="he-IL"/>
        </w:rPr>
        <w:t xml:space="preserve">שלם </w:t>
      </w:r>
      <w:r>
        <w:rPr>
          <w:noProof w:val="0"/>
          <w:rtl/>
          <w:lang w:eastAsia="he-IL"/>
        </w:rPr>
        <w:t>סך של</w:t>
      </w:r>
      <w:r w:rsidR="00C91370">
        <w:rPr>
          <w:rFonts w:hint="cs"/>
          <w:noProof w:val="0"/>
          <w:rtl/>
          <w:lang w:eastAsia="he-IL"/>
        </w:rPr>
        <w:t xml:space="preserve">  850</w:t>
      </w:r>
      <w:r>
        <w:rPr>
          <w:noProof w:val="0"/>
          <w:rtl/>
          <w:lang w:eastAsia="he-IL"/>
        </w:rPr>
        <w:t xml:space="preserve"> </w:t>
      </w:r>
      <w:r w:rsidRPr="00BA0307">
        <w:rPr>
          <w:noProof w:val="0"/>
          <w:rtl/>
          <w:lang w:eastAsia="he-IL"/>
        </w:rPr>
        <w:t xml:space="preserve">₪ לקופת הפש"ר מדי חודש בחודשו. </w:t>
      </w:r>
    </w:p>
    <w:p w:rsidR="00733F45" w:rsidP="00733F45" w:rsidRDefault="00733F45">
      <w:pPr>
        <w:spacing w:before="120" w:line="360" w:lineRule="auto"/>
        <w:jc w:val="both"/>
        <w:rPr>
          <w:noProof w:val="0"/>
          <w:rtl/>
          <w:lang w:eastAsia="he-IL"/>
        </w:rPr>
      </w:pPr>
    </w:p>
    <w:p w:rsidR="00733F45" w:rsidP="00C91370" w:rsidRDefault="00733F45">
      <w:pPr>
        <w:spacing w:line="360" w:lineRule="auto"/>
        <w:jc w:val="both"/>
        <w:rPr>
          <w:noProof w:val="0"/>
          <w:rtl/>
        </w:rPr>
      </w:pPr>
      <w:r w:rsidRPr="00BA0307">
        <w:rPr>
          <w:noProof w:val="0"/>
          <w:rtl/>
        </w:rPr>
        <w:t>היה ויופקד בקופת הכינוס סך של</w:t>
      </w:r>
      <w:r w:rsidR="009E1169">
        <w:rPr>
          <w:rFonts w:hint="cs"/>
          <w:noProof w:val="0"/>
          <w:rtl/>
        </w:rPr>
        <w:t xml:space="preserve"> </w:t>
      </w:r>
      <w:r>
        <w:rPr>
          <w:rFonts w:hint="cs"/>
          <w:noProof w:val="0"/>
          <w:rtl/>
        </w:rPr>
        <w:t xml:space="preserve">48,405 </w:t>
      </w:r>
      <w:r w:rsidRPr="00BA0307">
        <w:rPr>
          <w:noProof w:val="0"/>
          <w:rtl/>
        </w:rPr>
        <w:t xml:space="preserve"> ₪ מעבר לסכ</w:t>
      </w:r>
      <w:r w:rsidR="009E1169">
        <w:rPr>
          <w:noProof w:val="0"/>
          <w:rtl/>
        </w:rPr>
        <w:t xml:space="preserve">ומים המצויים בקופה היום </w:t>
      </w:r>
      <w:r w:rsidR="00C91370">
        <w:rPr>
          <w:rFonts w:hint="cs"/>
          <w:noProof w:val="0"/>
          <w:rtl/>
        </w:rPr>
        <w:t>בתוך</w:t>
      </w:r>
      <w:r w:rsidR="009E1169">
        <w:rPr>
          <w:rFonts w:hint="cs"/>
          <w:noProof w:val="0"/>
          <w:rtl/>
        </w:rPr>
        <w:t xml:space="preserve"> 57 </w:t>
      </w:r>
      <w:r w:rsidRPr="00BA0307">
        <w:rPr>
          <w:noProof w:val="0"/>
          <w:rtl/>
        </w:rPr>
        <w:t xml:space="preserve"> חודשים</w:t>
      </w:r>
      <w:r>
        <w:rPr>
          <w:noProof w:val="0"/>
          <w:rtl/>
        </w:rPr>
        <w:t>,</w:t>
      </w:r>
      <w:r w:rsidRPr="00BA0307">
        <w:rPr>
          <w:noProof w:val="0"/>
          <w:rtl/>
        </w:rPr>
        <w:t xml:space="preserve"> תהיה הסכמה למתן הפטר</w:t>
      </w:r>
      <w:r>
        <w:rPr>
          <w:noProof w:val="0"/>
          <w:rtl/>
        </w:rPr>
        <w:t xml:space="preserve">. הסכמת הצדדים מותנית בכך כי </w:t>
      </w:r>
      <w:r w:rsidR="009E1169">
        <w:rPr>
          <w:noProof w:val="0"/>
          <w:rtl/>
        </w:rPr>
        <w:t xml:space="preserve">העתק </w:t>
      </w:r>
      <w:r w:rsidR="009E1169">
        <w:rPr>
          <w:rFonts w:hint="cs"/>
          <w:noProof w:val="0"/>
          <w:rtl/>
        </w:rPr>
        <w:t>ה</w:t>
      </w:r>
      <w:r w:rsidRPr="00BA0307">
        <w:rPr>
          <w:noProof w:val="0"/>
          <w:rtl/>
        </w:rPr>
        <w:t>החלטה הנותנת לו תוקף י</w:t>
      </w:r>
      <w:r>
        <w:rPr>
          <w:noProof w:val="0"/>
          <w:rtl/>
        </w:rPr>
        <w:t>י</w:t>
      </w:r>
      <w:r w:rsidRPr="00BA0307">
        <w:rPr>
          <w:noProof w:val="0"/>
          <w:rtl/>
        </w:rPr>
        <w:t>שלח</w:t>
      </w:r>
      <w:r>
        <w:rPr>
          <w:noProof w:val="0"/>
          <w:rtl/>
        </w:rPr>
        <w:t>ו</w:t>
      </w:r>
      <w:r w:rsidRPr="00BA0307">
        <w:rPr>
          <w:noProof w:val="0"/>
          <w:rtl/>
        </w:rPr>
        <w:t xml:space="preserve"> לכלל הנושים המוצהרים, ולא תוגש כל התנגדות מטעם מי מהנושים המוצהרים בתוך 30 יום לאחר מכן. </w:t>
      </w:r>
    </w:p>
    <w:p w:rsidR="00733F45" w:rsidP="00733F45" w:rsidRDefault="00733F45">
      <w:pPr>
        <w:spacing w:line="360" w:lineRule="auto"/>
        <w:jc w:val="both"/>
        <w:rPr>
          <w:noProof w:val="0"/>
          <w:rtl/>
        </w:rPr>
      </w:pPr>
    </w:p>
    <w:p w:rsidRPr="00BA0307" w:rsidR="00733F45" w:rsidP="00733F45" w:rsidRDefault="00733F45">
      <w:pPr>
        <w:spacing w:line="360" w:lineRule="auto"/>
        <w:jc w:val="both"/>
        <w:rPr>
          <w:noProof w:val="0"/>
          <w:rtl/>
        </w:rPr>
      </w:pPr>
      <w:r w:rsidRPr="00BA0307">
        <w:rPr>
          <w:noProof w:val="0"/>
          <w:rtl/>
        </w:rPr>
        <w:t>היה ויבוצע העניין</w:t>
      </w:r>
      <w:r>
        <w:rPr>
          <w:noProof w:val="0"/>
          <w:rtl/>
        </w:rPr>
        <w:t>,</w:t>
      </w:r>
      <w:r w:rsidRPr="00BA0307">
        <w:rPr>
          <w:noProof w:val="0"/>
          <w:rtl/>
        </w:rPr>
        <w:t xml:space="preserve"> ולא תוגש כל התנגדות מטעם מי מהנושים</w:t>
      </w:r>
      <w:r>
        <w:rPr>
          <w:noProof w:val="0"/>
          <w:rtl/>
        </w:rPr>
        <w:t>,</w:t>
      </w:r>
      <w:r w:rsidRPr="00BA0307">
        <w:rPr>
          <w:noProof w:val="0"/>
          <w:rtl/>
        </w:rPr>
        <w:t xml:space="preserve"> י</w:t>
      </w:r>
      <w:r>
        <w:rPr>
          <w:noProof w:val="0"/>
          <w:rtl/>
        </w:rPr>
        <w:t>י</w:t>
      </w:r>
      <w:r w:rsidRPr="00BA0307">
        <w:rPr>
          <w:noProof w:val="0"/>
          <w:rtl/>
        </w:rPr>
        <w:t>חשבו הנושים כמסכימים לתוכנית פ</w:t>
      </w:r>
      <w:r>
        <w:rPr>
          <w:noProof w:val="0"/>
          <w:rtl/>
        </w:rPr>
        <w:t>י</w:t>
      </w:r>
      <w:r w:rsidRPr="00BA0307">
        <w:rPr>
          <w:noProof w:val="0"/>
          <w:rtl/>
        </w:rPr>
        <w:t>רעון</w:t>
      </w:r>
      <w:r>
        <w:rPr>
          <w:noProof w:val="0"/>
          <w:rtl/>
        </w:rPr>
        <w:t>, ובמקרה כזה היה ותבוצע ת</w:t>
      </w:r>
      <w:r w:rsidRPr="00BA0307">
        <w:rPr>
          <w:noProof w:val="0"/>
          <w:rtl/>
        </w:rPr>
        <w:t>כנית הפ</w:t>
      </w:r>
      <w:r>
        <w:rPr>
          <w:noProof w:val="0"/>
          <w:rtl/>
        </w:rPr>
        <w:t>י</w:t>
      </w:r>
      <w:r w:rsidRPr="00BA0307">
        <w:rPr>
          <w:noProof w:val="0"/>
          <w:rtl/>
        </w:rPr>
        <w:t>רעון ותוגש בקשה להפטר</w:t>
      </w:r>
      <w:r>
        <w:rPr>
          <w:noProof w:val="0"/>
          <w:rtl/>
        </w:rPr>
        <w:t>,</w:t>
      </w:r>
      <w:r w:rsidRPr="00BA0307">
        <w:rPr>
          <w:noProof w:val="0"/>
          <w:rtl/>
        </w:rPr>
        <w:t xml:space="preserve"> לא יהיה צורך בדיון נוסף בהפטר. </w:t>
      </w:r>
    </w:p>
    <w:p w:rsidRPr="00BA0307" w:rsidR="00733F45" w:rsidP="00733F45" w:rsidRDefault="00733F45">
      <w:pPr>
        <w:spacing w:before="120" w:line="360" w:lineRule="auto"/>
        <w:jc w:val="both"/>
        <w:rPr>
          <w:noProof w:val="0"/>
          <w:rtl/>
          <w:lang w:eastAsia="he-IL"/>
        </w:rPr>
      </w:pPr>
      <w:r w:rsidRPr="00BA0307">
        <w:rPr>
          <w:noProof w:val="0"/>
          <w:rtl/>
          <w:lang w:eastAsia="he-IL"/>
        </w:rPr>
        <w:t>עו"ד</w:t>
      </w:r>
      <w:r w:rsidR="009E1169">
        <w:rPr>
          <w:noProof w:val="0"/>
          <w:rtl/>
          <w:lang w:eastAsia="he-IL"/>
        </w:rPr>
        <w:t xml:space="preserve"> </w:t>
      </w:r>
      <w:r w:rsidR="009E1169">
        <w:rPr>
          <w:rFonts w:hint="cs"/>
          <w:noProof w:val="0"/>
          <w:rtl/>
          <w:lang w:eastAsia="he-IL"/>
        </w:rPr>
        <w:t xml:space="preserve">גיא הירש </w:t>
      </w:r>
      <w:r>
        <w:rPr>
          <w:noProof w:val="0"/>
          <w:rtl/>
          <w:lang w:eastAsia="he-IL"/>
        </w:rPr>
        <w:t>י</w:t>
      </w:r>
      <w:r w:rsidRPr="00BA0307">
        <w:rPr>
          <w:noProof w:val="0"/>
          <w:rtl/>
          <w:lang w:eastAsia="he-IL"/>
        </w:rPr>
        <w:t xml:space="preserve">שמש כנאמן בהליך, כנגד חתימה על התחייבות עצמית על </w:t>
      </w:r>
      <w:r>
        <w:rPr>
          <w:noProof w:val="0"/>
          <w:rtl/>
          <w:lang w:eastAsia="he-IL"/>
        </w:rPr>
        <w:t>סך של 50,000 ₪, להבטחת מילוי תפקידו</w:t>
      </w:r>
      <w:r w:rsidRPr="00BA0307">
        <w:rPr>
          <w:noProof w:val="0"/>
          <w:rtl/>
          <w:lang w:eastAsia="he-IL"/>
        </w:rPr>
        <w:t>.</w:t>
      </w:r>
    </w:p>
    <w:p w:rsidR="00733F45" w:rsidP="00733F45" w:rsidRDefault="00733F45">
      <w:pPr>
        <w:spacing w:before="120" w:line="360" w:lineRule="auto"/>
        <w:jc w:val="both"/>
        <w:rPr>
          <w:noProof w:val="0"/>
          <w:rtl/>
          <w:lang w:eastAsia="he-IL"/>
        </w:rPr>
      </w:pPr>
      <w:r w:rsidRPr="000E2484">
        <w:rPr>
          <w:noProof w:val="0"/>
          <w:rtl/>
          <w:lang w:eastAsia="he-IL"/>
        </w:rPr>
        <w:t>לאור תוצאות ההלי</w:t>
      </w:r>
      <w:r>
        <w:rPr>
          <w:noProof w:val="0"/>
          <w:rtl/>
        </w:rPr>
        <w:t>ך, ישולמו הוצאות ההליך ושכר הכונ"ר</w:t>
      </w:r>
      <w:r w:rsidRPr="000E2484">
        <w:rPr>
          <w:noProof w:val="0"/>
          <w:rtl/>
          <w:lang w:eastAsia="he-IL"/>
        </w:rPr>
        <w:t xml:space="preserve"> מכספים שהצטברו בקופת הכינוס עד מועד מתן פסק דין זה. </w:t>
      </w:r>
    </w:p>
    <w:p w:rsidRPr="00E551A3" w:rsidR="00733F45" w:rsidP="00733F45" w:rsidRDefault="00733F45">
      <w:pPr>
        <w:spacing w:before="120" w:line="360" w:lineRule="auto"/>
        <w:jc w:val="both"/>
        <w:rPr>
          <w:lang w:eastAsia="he-IL"/>
        </w:rPr>
      </w:pPr>
      <w:r w:rsidRPr="00E551A3">
        <w:rPr>
          <w:noProof w:val="0"/>
          <w:rtl/>
          <w:lang w:eastAsia="he-IL"/>
        </w:rPr>
        <w:t>הוצאות ההליך ישולמו בהתאם לתקנות (הוצאות המנהל המיוחד בסך של 500 ₪ ישולמו בנוסף), ולחלופין, לפי הנחיות הכונ"ר לעניין תעריפ</w:t>
      </w:r>
      <w:r>
        <w:rPr>
          <w:noProof w:val="0"/>
          <w:rtl/>
          <w:lang w:eastAsia="he-IL"/>
        </w:rPr>
        <w:t>ים מינימאליים, לפי הגבוה מביניהן,</w:t>
      </w:r>
      <w:r w:rsidRPr="00C710EA">
        <w:rPr>
          <w:noProof w:val="0"/>
          <w:rtl/>
        </w:rPr>
        <w:t xml:space="preserve"> </w:t>
      </w:r>
      <w:r>
        <w:rPr>
          <w:noProof w:val="0"/>
          <w:rtl/>
        </w:rPr>
        <w:t>והיתרה תועבר לנושים בכפוף לכל צו תקף.</w:t>
      </w:r>
    </w:p>
    <w:p w:rsidRPr="00502432" w:rsidR="00733F45" w:rsidP="00733F45" w:rsidRDefault="00733F45">
      <w:pPr>
        <w:spacing w:before="120" w:line="360" w:lineRule="auto"/>
        <w:jc w:val="both"/>
        <w:rPr>
          <w:noProof w:val="0"/>
          <w:lang w:eastAsia="he-IL"/>
        </w:rPr>
      </w:pPr>
    </w:p>
    <w:p w:rsidRPr="00733F45" w:rsidR="005B1298" w:rsidP="00DA181E" w:rsidRDefault="005B1298">
      <w:pPr>
        <w:spacing w:line="360" w:lineRule="auto"/>
        <w:rPr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B7673A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14500" cy="1314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758db172fa14b1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B7673A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B7673A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7673A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המשפט המחוזי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B7673A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פש"ר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17473-05-16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עאסלה נ' כונס נכסים רשמי מחוז חיפה והצפון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4413A"/>
    <w:rsid w:val="000529D2"/>
    <w:rsid w:val="000564AB"/>
    <w:rsid w:val="00064FBD"/>
    <w:rsid w:val="00082AB2"/>
    <w:rsid w:val="000906FE"/>
    <w:rsid w:val="0009122D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97D45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B1298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33F45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169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7673A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552AB"/>
    <w:rsid w:val="00C642FA"/>
    <w:rsid w:val="00C91370"/>
    <w:rsid w:val="00CC7622"/>
    <w:rsid w:val="00CD608F"/>
    <w:rsid w:val="00CE44A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2758db172fa14b15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C15C1C" w:rsidP="00C15C1C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C15C1C" w:rsidP="00C15C1C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15C1C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15C1C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C15C1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C15C1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385</Words>
  <Characters>1928</Characters>
  <Application>Microsoft Office Word</Application>
  <DocSecurity>0</DocSecurity>
  <Lines>16</Lines>
  <Paragraphs>4</Paragraphs>
  <ScaleCrop>false</ScaleCrop>
  <Company>Microsoft Corporation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גלית ציגלר</cp:lastModifiedBy>
  <cp:revision>123</cp:revision>
  <dcterms:created xsi:type="dcterms:W3CDTF">2012-08-06T05:16:00Z</dcterms:created>
  <dcterms:modified xsi:type="dcterms:W3CDTF">2018-04-12T13:59:00Z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