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רננה גלפז מוקדי</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5F0F5A" w:rsidRDefault="00464A20">
                <w:pPr>
                  <w:rPr>
                    <w:rFonts w:ascii="Arial (W1)" w:hAnsi="Arial (W1)"/>
                    <w:b/>
                    <w:bCs/>
                    <w:noProof w:val="0"/>
                    <w:sz w:val="28"/>
                    <w:szCs w:val="28"/>
                  </w:rPr>
                </w:pPr>
                <w:r>
                  <w:rPr>
                    <w:rFonts w:hint="cs"/>
                    <w:b/>
                    <w:bCs/>
                    <w:noProof w:val="0"/>
                    <w:sz w:val="28"/>
                    <w:rtl/>
                  </w:rPr>
                  <w:t>מבקש</w:t>
                </w:r>
              </w:p>
            </w:sdtContent>
          </w:sdt>
        </w:tc>
        <w:tc>
          <w:tcPr>
            <w:tcW w:w="5571" w:type="dxa"/>
          </w:tcPr>
          <w:p w:rsidR="006816EC" w:rsidRDefault="006816EC">
            <w:pPr>
              <w:rPr>
                <w:rFonts w:ascii="Arial (W1)" w:hAnsi="Arial (W1)"/>
                <w:b/>
                <w:bCs/>
                <w:noProof w:val="0"/>
                <w:sz w:val="28"/>
                <w:szCs w:val="28"/>
                <w:rtl/>
              </w:rPr>
            </w:pPr>
          </w:p>
          <w:p w:rsidR="006816EC" w:rsidRDefault="00357FC7">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וליד סאלח</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357FC7">
            <w:pPr>
              <w:rPr>
                <w:rFonts w:ascii="Arial (W1)" w:hAnsi="Arial (W1)"/>
                <w:b/>
                <w:bCs/>
                <w:noProof w:val="0"/>
                <w:sz w:val="28"/>
                <w:szCs w:val="28"/>
              </w:rPr>
            </w:pPr>
            <w:sdt>
              <w:sdtPr>
                <w:rPr>
                  <w:rFonts w:hint="cs"/>
                  <w:rtl/>
                </w:rPr>
                <w:alias w:val="1184"/>
                <w:tag w:val="1184"/>
                <w:id w:val="-910234160"/>
                <w:text w:multiLine="1"/>
              </w:sdtPr>
              <w:sdtEndPr/>
              <w:sdtContent>
                <w:r w:rsidR="00464A20">
                  <w:rPr>
                    <w:rFonts w:hint="cs"/>
                    <w:b/>
                    <w:bCs/>
                    <w:noProof w:val="0"/>
                    <w:sz w:val="28"/>
                    <w:rtl/>
                  </w:rPr>
                  <w:t>משיב</w:t>
                </w:r>
              </w:sdtContent>
            </w:sdt>
          </w:p>
        </w:tc>
        <w:tc>
          <w:tcPr>
            <w:tcW w:w="5571" w:type="dxa"/>
          </w:tcPr>
          <w:p w:rsidR="006816EC" w:rsidRDefault="006816EC">
            <w:pPr>
              <w:rPr>
                <w:rFonts w:ascii="Arial (W1)" w:hAnsi="Arial (W1)"/>
                <w:b/>
                <w:bCs/>
                <w:noProof w:val="0"/>
                <w:sz w:val="28"/>
                <w:szCs w:val="28"/>
                <w:rtl/>
              </w:rPr>
            </w:pPr>
          </w:p>
          <w:p w:rsidR="006816EC" w:rsidRDefault="00357FC7">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משה גלאמין</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5F0F5A" w:rsidRDefault="005F0F5A">
            <w:pPr>
              <w:rPr>
                <w:rFonts w:ascii="David" w:hAnsi="David" w:eastAsia="David"/>
                <w:noProof w:val="0"/>
              </w:rPr>
            </w:pPr>
          </w:p>
        </w:tc>
        <w:tc>
          <w:tcPr>
            <w:tcW w:w="5571" w:type="dxa"/>
          </w:tcPr>
          <w:p w:rsidR="005F0F5A" w:rsidRDefault="005F0F5A">
            <w:pPr>
              <w:rPr>
                <w:rFonts w:cs="Times New Roman"/>
              </w:rPr>
            </w:pPr>
          </w:p>
        </w:tc>
      </w:tr>
      <w:tr w:rsidR="00694556">
        <w:trPr>
          <w:jc w:val="center"/>
        </w:trPr>
        <w:tc>
          <w:tcPr>
            <w:tcW w:w="8820" w:type="dxa"/>
            <w:gridSpan w:val="3"/>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464A20" w:rsidRDefault="00464A20">
      <w:pPr>
        <w:spacing w:line="360" w:lineRule="auto"/>
        <w:jc w:val="both"/>
        <w:rPr>
          <w:rFonts w:ascii="Arial" w:hAnsi="Arial"/>
          <w:noProof w:val="0"/>
          <w:rtl/>
        </w:rPr>
      </w:pPr>
    </w:p>
    <w:p w:rsidR="00694556" w:rsidRDefault="00445238">
      <w:pPr>
        <w:spacing w:line="360" w:lineRule="auto"/>
        <w:jc w:val="both"/>
        <w:rPr>
          <w:rFonts w:ascii="Arial" w:hAnsi="Arial"/>
          <w:noProof w:val="0"/>
          <w:rtl/>
        </w:rPr>
      </w:pPr>
      <w:r>
        <w:rPr>
          <w:rFonts w:hint="cs" w:ascii="Arial" w:hAnsi="Arial"/>
          <w:noProof w:val="0"/>
          <w:rtl/>
        </w:rPr>
        <w:t>בקשת רשות ערעור על החלטת בית מ</w:t>
      </w:r>
      <w:r w:rsidR="00464A20">
        <w:rPr>
          <w:rFonts w:hint="cs" w:ascii="Arial" w:hAnsi="Arial"/>
          <w:noProof w:val="0"/>
          <w:rtl/>
        </w:rPr>
        <w:t>שפט השלום בנצרת (כב' השופטת ש.</w:t>
      </w:r>
      <w:r>
        <w:rPr>
          <w:rFonts w:hint="cs" w:ascii="Arial" w:hAnsi="Arial"/>
          <w:noProof w:val="0"/>
          <w:rtl/>
        </w:rPr>
        <w:t xml:space="preserve"> נאשף אבו אחמד) אשר ניתנה ביום 5.4.18 במסגרת ת"א 53764-03-18.</w:t>
      </w:r>
    </w:p>
    <w:p w:rsidR="00445238" w:rsidRDefault="00445238">
      <w:pPr>
        <w:spacing w:line="360" w:lineRule="auto"/>
        <w:jc w:val="both"/>
        <w:rPr>
          <w:rFonts w:ascii="Arial" w:hAnsi="Arial"/>
          <w:noProof w:val="0"/>
          <w:rtl/>
        </w:rPr>
      </w:pPr>
    </w:p>
    <w:p w:rsidR="009D7745" w:rsidRDefault="009D7745">
      <w:pPr>
        <w:spacing w:line="360" w:lineRule="auto"/>
        <w:jc w:val="both"/>
        <w:rPr>
          <w:rFonts w:ascii="Arial" w:hAnsi="Arial"/>
          <w:b/>
          <w:bCs/>
          <w:noProof w:val="0"/>
          <w:u w:val="single"/>
          <w:rtl/>
        </w:rPr>
      </w:pPr>
      <w:r w:rsidRPr="009D7745">
        <w:rPr>
          <w:rFonts w:hint="cs" w:ascii="Arial" w:hAnsi="Arial"/>
          <w:b/>
          <w:bCs/>
          <w:noProof w:val="0"/>
          <w:u w:val="single"/>
          <w:rtl/>
        </w:rPr>
        <w:t>רקע</w:t>
      </w:r>
    </w:p>
    <w:p w:rsidRPr="009D7745" w:rsidR="009D7745" w:rsidRDefault="009D7745">
      <w:pPr>
        <w:spacing w:line="360" w:lineRule="auto"/>
        <w:jc w:val="both"/>
        <w:rPr>
          <w:rFonts w:ascii="Arial" w:hAnsi="Arial"/>
          <w:b/>
          <w:bCs/>
          <w:noProof w:val="0"/>
          <w:u w:val="single"/>
          <w:rtl/>
        </w:rPr>
      </w:pPr>
    </w:p>
    <w:p w:rsidR="00694556" w:rsidP="00464A20" w:rsidRDefault="00445238">
      <w:pPr>
        <w:spacing w:line="360" w:lineRule="auto"/>
        <w:jc w:val="both"/>
        <w:rPr>
          <w:rFonts w:ascii="Arial" w:hAnsi="Arial"/>
          <w:noProof w:val="0"/>
          <w:rtl/>
        </w:rPr>
      </w:pPr>
      <w:r>
        <w:rPr>
          <w:rFonts w:hint="cs" w:ascii="Arial" w:hAnsi="Arial"/>
          <w:noProof w:val="0"/>
          <w:rtl/>
        </w:rPr>
        <w:t>עניינו של התיק קמא בבקשה למתן צו מניעה זמני,</w:t>
      </w:r>
      <w:r w:rsidR="00464A20">
        <w:rPr>
          <w:rFonts w:hint="cs" w:ascii="Arial" w:hAnsi="Arial"/>
          <w:noProof w:val="0"/>
          <w:rtl/>
        </w:rPr>
        <w:t xml:space="preserve"> בה עתר המשיב כי בית המשפט קמא יורה </w:t>
      </w:r>
      <w:r>
        <w:rPr>
          <w:rFonts w:hint="cs" w:ascii="Arial" w:hAnsi="Arial"/>
          <w:noProof w:val="0"/>
          <w:rtl/>
        </w:rPr>
        <w:t>על עיכוב מכירת רכב מסוג א</w:t>
      </w:r>
      <w:r w:rsidR="00464A20">
        <w:rPr>
          <w:rFonts w:hint="cs" w:ascii="Arial" w:hAnsi="Arial"/>
          <w:noProof w:val="0"/>
          <w:rtl/>
        </w:rPr>
        <w:t>א</w:t>
      </w:r>
      <w:r>
        <w:rPr>
          <w:rFonts w:hint="cs" w:ascii="Arial" w:hAnsi="Arial"/>
          <w:noProof w:val="0"/>
          <w:rtl/>
        </w:rPr>
        <w:t>ודי מ"ר 64-575-76 (להלן: "</w:t>
      </w:r>
      <w:r w:rsidRPr="00445238">
        <w:rPr>
          <w:rFonts w:hint="cs" w:ascii="Arial" w:hAnsi="Arial"/>
          <w:b/>
          <w:bCs/>
          <w:noProof w:val="0"/>
          <w:rtl/>
        </w:rPr>
        <w:t>הרכב</w:t>
      </w:r>
      <w:r>
        <w:rPr>
          <w:rFonts w:hint="cs" w:ascii="Arial" w:hAnsi="Arial"/>
          <w:noProof w:val="0"/>
          <w:rtl/>
        </w:rPr>
        <w:t>"), אשר</w:t>
      </w:r>
      <w:r w:rsidR="00BC0556">
        <w:rPr>
          <w:rFonts w:hint="cs" w:ascii="Arial" w:hAnsi="Arial"/>
          <w:noProof w:val="0"/>
          <w:rtl/>
        </w:rPr>
        <w:t xml:space="preserve"> </w:t>
      </w:r>
      <w:r>
        <w:rPr>
          <w:rFonts w:hint="cs" w:ascii="Arial" w:hAnsi="Arial"/>
          <w:noProof w:val="0"/>
          <w:rtl/>
        </w:rPr>
        <w:t xml:space="preserve">נתפס והוצא מחזקת המשיב ביום 8.3.18, זאת בהתאם </w:t>
      </w:r>
      <w:r w:rsidR="00464A20">
        <w:rPr>
          <w:rFonts w:hint="cs" w:ascii="Arial" w:hAnsi="Arial"/>
          <w:noProof w:val="0"/>
          <w:rtl/>
        </w:rPr>
        <w:t>ל</w:t>
      </w:r>
      <w:r>
        <w:rPr>
          <w:rFonts w:hint="cs" w:ascii="Arial" w:hAnsi="Arial"/>
          <w:noProof w:val="0"/>
          <w:rtl/>
        </w:rPr>
        <w:t>צו של רשם ההוצאה לפועל מיום 7.3.18 אשר ניתן במסגרת תיק הוצל"פ 505633-09-16.</w:t>
      </w:r>
    </w:p>
    <w:p w:rsidR="00694556" w:rsidP="002243A5" w:rsidRDefault="00445238">
      <w:pPr>
        <w:spacing w:line="360" w:lineRule="auto"/>
        <w:jc w:val="both"/>
        <w:rPr>
          <w:rFonts w:ascii="Arial" w:hAnsi="Arial"/>
          <w:noProof w:val="0"/>
          <w:rtl/>
        </w:rPr>
      </w:pPr>
      <w:r>
        <w:rPr>
          <w:rFonts w:hint="cs" w:ascii="Arial" w:hAnsi="Arial"/>
          <w:noProof w:val="0"/>
          <w:rtl/>
        </w:rPr>
        <w:t xml:space="preserve">תיק ההוצל"פ נפתח על ידי המבקש דכאן, לשם מימוש משכון אשר נרשם על הרכב, להבטחת חוב נטען של </w:t>
      </w:r>
      <w:r w:rsidR="00A70D53">
        <w:rPr>
          <w:rFonts w:hint="cs" w:ascii="Arial" w:hAnsi="Arial"/>
          <w:noProof w:val="0"/>
          <w:rtl/>
        </w:rPr>
        <w:t xml:space="preserve">אחד, </w:t>
      </w:r>
      <w:r w:rsidR="002243A5">
        <w:rPr>
          <w:rFonts w:hint="cs" w:ascii="Arial" w:hAnsi="Arial"/>
          <w:noProof w:val="0"/>
          <w:rtl/>
        </w:rPr>
        <w:t>יעקב מור,</w:t>
      </w:r>
      <w:r>
        <w:rPr>
          <w:rFonts w:hint="cs" w:ascii="Arial" w:hAnsi="Arial"/>
          <w:noProof w:val="0"/>
          <w:rtl/>
        </w:rPr>
        <w:t xml:space="preserve"> הוא החייב, כלפי המבקש, הוא הזוכה. </w:t>
      </w:r>
    </w:p>
    <w:p w:rsidR="00445238" w:rsidP="00445238" w:rsidRDefault="00445238">
      <w:pPr>
        <w:spacing w:line="360" w:lineRule="auto"/>
        <w:jc w:val="both"/>
        <w:rPr>
          <w:rFonts w:ascii="Arial" w:hAnsi="Arial"/>
          <w:noProof w:val="0"/>
          <w:rtl/>
        </w:rPr>
      </w:pPr>
    </w:p>
    <w:p w:rsidR="00445238" w:rsidP="00A70D53" w:rsidRDefault="00BC0556">
      <w:pPr>
        <w:spacing w:line="360" w:lineRule="auto"/>
        <w:jc w:val="both"/>
        <w:rPr>
          <w:rFonts w:ascii="Arial" w:hAnsi="Arial"/>
          <w:noProof w:val="0"/>
          <w:rtl/>
        </w:rPr>
      </w:pPr>
      <w:r>
        <w:rPr>
          <w:rFonts w:hint="cs" w:ascii="Arial" w:hAnsi="Arial"/>
          <w:noProof w:val="0"/>
          <w:rtl/>
        </w:rPr>
        <w:t xml:space="preserve">המשיב </w:t>
      </w:r>
      <w:r w:rsidR="00A70D53">
        <w:rPr>
          <w:rFonts w:hint="cs" w:ascii="Arial" w:hAnsi="Arial"/>
          <w:noProof w:val="0"/>
          <w:rtl/>
        </w:rPr>
        <w:t xml:space="preserve">הגיש תביעה לסעד הצהרתי כי הרכב שייך לו ובגדרה עתר, כאמור, למתן צו אשר ימנע את מכירת הרכב וישיבו לידיו עד שתוכרע התביעה העיקרית. </w:t>
      </w:r>
    </w:p>
    <w:p w:rsidR="001F283F" w:rsidP="00BC0556" w:rsidRDefault="001F283F">
      <w:pPr>
        <w:spacing w:line="360" w:lineRule="auto"/>
        <w:jc w:val="both"/>
        <w:rPr>
          <w:rFonts w:ascii="Arial" w:hAnsi="Arial"/>
          <w:noProof w:val="0"/>
          <w:rtl/>
        </w:rPr>
      </w:pPr>
    </w:p>
    <w:p w:rsidR="00E54EF9" w:rsidP="000F382F" w:rsidRDefault="00A70D53">
      <w:pPr>
        <w:spacing w:line="360" w:lineRule="auto"/>
        <w:jc w:val="both"/>
        <w:rPr>
          <w:rFonts w:ascii="Arial" w:hAnsi="Arial"/>
          <w:rtl/>
        </w:rPr>
      </w:pPr>
      <w:r>
        <w:rPr>
          <w:rFonts w:hint="cs" w:ascii="Arial" w:hAnsi="Arial"/>
          <w:noProof w:val="0"/>
          <w:rtl/>
        </w:rPr>
        <w:t xml:space="preserve">בית המשפט קמא קיבל את הבקשה בקבעו כי </w:t>
      </w:r>
      <w:r w:rsidRPr="009C5AEF" w:rsidR="00E3157B">
        <w:rPr>
          <w:rFonts w:ascii="Arial" w:hAnsi="Arial"/>
          <w:rtl/>
        </w:rPr>
        <w:t>עלה בידי המ</w:t>
      </w:r>
      <w:r w:rsidR="00E3157B">
        <w:rPr>
          <w:rFonts w:hint="cs" w:ascii="Arial" w:hAnsi="Arial"/>
          <w:rtl/>
        </w:rPr>
        <w:t>שיב</w:t>
      </w:r>
      <w:r w:rsidRPr="009C5AEF" w:rsidR="00E3157B">
        <w:rPr>
          <w:rFonts w:ascii="Arial" w:hAnsi="Arial"/>
          <w:rtl/>
        </w:rPr>
        <w:t xml:space="preserve"> להוכיח זכות לכאורה ברכב, תוך </w:t>
      </w:r>
      <w:r w:rsidR="00E3157B">
        <w:rPr>
          <w:rFonts w:hint="cs" w:ascii="Arial" w:hAnsi="Arial"/>
          <w:rtl/>
        </w:rPr>
        <w:t>ש</w:t>
      </w:r>
      <w:r w:rsidRPr="009C5AEF" w:rsidR="00E3157B">
        <w:rPr>
          <w:rFonts w:ascii="Arial" w:hAnsi="Arial"/>
          <w:rtl/>
        </w:rPr>
        <w:t>הדג</w:t>
      </w:r>
      <w:r w:rsidR="00E3157B">
        <w:rPr>
          <w:rFonts w:hint="cs" w:ascii="Arial" w:hAnsi="Arial"/>
          <w:rtl/>
        </w:rPr>
        <w:t>י</w:t>
      </w:r>
      <w:r w:rsidRPr="009C5AEF" w:rsidR="00E3157B">
        <w:rPr>
          <w:rFonts w:ascii="Arial" w:hAnsi="Arial"/>
          <w:rtl/>
        </w:rPr>
        <w:t>ש</w:t>
      </w:r>
      <w:r w:rsidR="00E3157B">
        <w:rPr>
          <w:rFonts w:hint="cs" w:ascii="Arial" w:hAnsi="Arial"/>
          <w:rtl/>
        </w:rPr>
        <w:t xml:space="preserve"> בית המשפט קמא</w:t>
      </w:r>
      <w:r>
        <w:rPr>
          <w:rFonts w:hint="cs" w:ascii="Arial" w:hAnsi="Arial"/>
          <w:rtl/>
        </w:rPr>
        <w:t>,</w:t>
      </w:r>
      <w:r w:rsidRPr="009C5AEF" w:rsidR="00E3157B">
        <w:rPr>
          <w:rFonts w:ascii="Arial" w:hAnsi="Arial"/>
          <w:rtl/>
        </w:rPr>
        <w:t xml:space="preserve"> כי אין בקביע</w:t>
      </w:r>
      <w:r w:rsidR="00E3157B">
        <w:rPr>
          <w:rFonts w:hint="cs" w:ascii="Arial" w:hAnsi="Arial"/>
          <w:rtl/>
        </w:rPr>
        <w:t>תו</w:t>
      </w:r>
      <w:r w:rsidRPr="009C5AEF" w:rsidR="00E3157B">
        <w:rPr>
          <w:rFonts w:ascii="Arial" w:hAnsi="Arial"/>
          <w:rtl/>
        </w:rPr>
        <w:t xml:space="preserve"> זו</w:t>
      </w:r>
      <w:r w:rsidR="000F382F">
        <w:rPr>
          <w:rFonts w:hint="cs" w:ascii="Arial" w:hAnsi="Arial"/>
          <w:rtl/>
        </w:rPr>
        <w:t>, כמובן,</w:t>
      </w:r>
      <w:r w:rsidRPr="009C5AEF" w:rsidR="00E3157B">
        <w:rPr>
          <w:rFonts w:ascii="Arial" w:hAnsi="Arial"/>
          <w:rtl/>
        </w:rPr>
        <w:t xml:space="preserve"> כדי לחרוץ את גורל התביעה העיקרית</w:t>
      </w:r>
      <w:r w:rsidR="000F382F">
        <w:rPr>
          <w:rFonts w:hint="cs" w:ascii="Arial" w:hAnsi="Arial"/>
          <w:rtl/>
        </w:rPr>
        <w:t>.</w:t>
      </w:r>
      <w:r w:rsidRPr="009C5AEF" w:rsidR="00E3157B">
        <w:rPr>
          <w:rFonts w:ascii="Arial" w:hAnsi="Arial"/>
          <w:rtl/>
        </w:rPr>
        <w:t xml:space="preserve"> </w:t>
      </w:r>
      <w:r w:rsidR="00E54EF9">
        <w:rPr>
          <w:rFonts w:hint="cs" w:ascii="Arial" w:hAnsi="Arial"/>
          <w:rtl/>
        </w:rPr>
        <w:t xml:space="preserve">באשר למאזן הנוחות, נקבע כי </w:t>
      </w:r>
      <w:r w:rsidRPr="009C5AEF" w:rsidR="00E54EF9">
        <w:rPr>
          <w:rFonts w:ascii="Arial" w:hAnsi="Arial"/>
          <w:rtl/>
        </w:rPr>
        <w:t>המאזן נוטה אף הוא לטובת המ</w:t>
      </w:r>
      <w:r w:rsidR="00E54EF9">
        <w:rPr>
          <w:rFonts w:hint="cs" w:ascii="Arial" w:hAnsi="Arial"/>
          <w:rtl/>
        </w:rPr>
        <w:t>שי</w:t>
      </w:r>
      <w:r w:rsidRPr="009C5AEF" w:rsidR="00E54EF9">
        <w:rPr>
          <w:rFonts w:ascii="Arial" w:hAnsi="Arial"/>
          <w:rtl/>
        </w:rPr>
        <w:t xml:space="preserve">ב, אשר ממנו ניטל הרכב, שהחזיק בו, עשה בו שימוש ונהג בו לכאורה מנהג בעלים </w:t>
      </w:r>
      <w:r w:rsidR="000F382F">
        <w:rPr>
          <w:rFonts w:hint="cs" w:ascii="Arial" w:hAnsi="Arial"/>
          <w:rtl/>
        </w:rPr>
        <w:t xml:space="preserve">ממועד רכישתו בחודש ינואר 2017 ועד למועד תפיסתו בחודש מרץ 2018. בית המשפט קמא קבע כי </w:t>
      </w:r>
      <w:r w:rsidRPr="009C5AEF" w:rsidR="00E54EF9">
        <w:rPr>
          <w:rFonts w:ascii="Arial" w:hAnsi="Arial"/>
          <w:rtl/>
        </w:rPr>
        <w:t xml:space="preserve">אם לא יינתן הצו, ימומשו הליכי המשכון והרכב יימכר לצד שלישי, וככל שיינתן </w:t>
      </w:r>
      <w:r w:rsidR="00E54EF9">
        <w:rPr>
          <w:rFonts w:ascii="Arial" w:hAnsi="Arial"/>
          <w:rtl/>
        </w:rPr>
        <w:t>פסק דין לטובת המ</w:t>
      </w:r>
      <w:r w:rsidRPr="009C5AEF" w:rsidR="00E54EF9">
        <w:rPr>
          <w:rFonts w:ascii="Arial" w:hAnsi="Arial"/>
          <w:rtl/>
        </w:rPr>
        <w:t>ש</w:t>
      </w:r>
      <w:r w:rsidR="00E54EF9">
        <w:rPr>
          <w:rFonts w:hint="cs" w:ascii="Arial" w:hAnsi="Arial"/>
          <w:rtl/>
        </w:rPr>
        <w:t>יב</w:t>
      </w:r>
      <w:r w:rsidRPr="009C5AEF" w:rsidR="00E54EF9">
        <w:rPr>
          <w:rFonts w:ascii="Arial" w:hAnsi="Arial"/>
          <w:rtl/>
        </w:rPr>
        <w:t xml:space="preserve">, יעמוד הוא בפני שוקת שבורה.  </w:t>
      </w:r>
    </w:p>
    <w:p w:rsidR="000F382F" w:rsidP="000F382F" w:rsidRDefault="000F382F">
      <w:pPr>
        <w:spacing w:line="360" w:lineRule="auto"/>
        <w:jc w:val="both"/>
        <w:rPr>
          <w:rFonts w:ascii="Arial" w:hAnsi="Arial"/>
          <w:b/>
          <w:bCs/>
          <w:rtl/>
        </w:rPr>
      </w:pPr>
      <w:r>
        <w:rPr>
          <w:rFonts w:hint="cs" w:ascii="Arial" w:hAnsi="Arial"/>
          <w:rtl/>
        </w:rPr>
        <w:lastRenderedPageBreak/>
        <w:t xml:space="preserve">בית </w:t>
      </w:r>
      <w:r w:rsidRPr="000F382F">
        <w:rPr>
          <w:rFonts w:hint="cs" w:ascii="Arial" w:hAnsi="Arial"/>
          <w:rtl/>
        </w:rPr>
        <w:t xml:space="preserve">המשפט קמא הוסיף וקבע </w:t>
      </w:r>
      <w:r w:rsidRPr="000F382F" w:rsidR="00E54EF9">
        <w:rPr>
          <w:rFonts w:ascii="Arial" w:hAnsi="Arial"/>
          <w:rtl/>
        </w:rPr>
        <w:t xml:space="preserve">תנאים מגבילים מתאימים </w:t>
      </w:r>
      <w:r w:rsidRPr="000F382F">
        <w:rPr>
          <w:rFonts w:hint="cs" w:ascii="Arial" w:hAnsi="Arial"/>
          <w:rtl/>
        </w:rPr>
        <w:t xml:space="preserve">אשר יבטיחו כי המבקש לא ייפגע אם תידחה התביעה וציין כי ממילא אין מקום להמשיך ולהחזיק ברכב במחסני </w:t>
      </w:r>
      <w:r w:rsidRPr="000F382F" w:rsidR="00E54EF9">
        <w:rPr>
          <w:rFonts w:ascii="Arial" w:hAnsi="Arial"/>
          <w:rtl/>
        </w:rPr>
        <w:t>ההוצל"פ עד להכרעה בתיק העיקרי</w:t>
      </w:r>
      <w:r w:rsidRPr="000F382F">
        <w:rPr>
          <w:rFonts w:hint="cs" w:ascii="Arial" w:hAnsi="Arial"/>
          <w:rtl/>
        </w:rPr>
        <w:t>, משום העלויות הכרוכות בכך והעובדה שהעמדת הרכב לזמן רב ללא שימוש עלולה לגרום לו לנזק.</w:t>
      </w:r>
      <w:r>
        <w:rPr>
          <w:rFonts w:hint="cs" w:ascii="Arial" w:hAnsi="Arial"/>
          <w:b/>
          <w:bCs/>
          <w:rtl/>
        </w:rPr>
        <w:t xml:space="preserve"> </w:t>
      </w:r>
    </w:p>
    <w:p w:rsidR="001F283F" w:rsidP="000F382F" w:rsidRDefault="0051575C">
      <w:pPr>
        <w:spacing w:line="360" w:lineRule="auto"/>
        <w:jc w:val="both"/>
        <w:rPr>
          <w:rFonts w:ascii="Arial" w:hAnsi="Arial"/>
          <w:noProof w:val="0"/>
          <w:rtl/>
        </w:rPr>
      </w:pPr>
      <w:r>
        <w:rPr>
          <w:rFonts w:hint="cs" w:ascii="Arial" w:hAnsi="Arial"/>
          <w:noProof w:val="0"/>
          <w:rtl/>
        </w:rPr>
        <w:t>על כן הורה בית המשפט ק</w:t>
      </w:r>
      <w:r w:rsidR="00030113">
        <w:rPr>
          <w:rFonts w:hint="cs" w:ascii="Arial" w:hAnsi="Arial"/>
          <w:noProof w:val="0"/>
          <w:rtl/>
        </w:rPr>
        <w:t>מא על השבת הרכב לידי המשיב, בכפו</w:t>
      </w:r>
      <w:r>
        <w:rPr>
          <w:rFonts w:hint="cs" w:ascii="Arial" w:hAnsi="Arial"/>
          <w:noProof w:val="0"/>
          <w:rtl/>
        </w:rPr>
        <w:t>ף לתנאים</w:t>
      </w:r>
      <w:r w:rsidR="009D3F09">
        <w:rPr>
          <w:rFonts w:hint="cs" w:ascii="Arial" w:hAnsi="Arial"/>
          <w:noProof w:val="0"/>
          <w:rtl/>
        </w:rPr>
        <w:t xml:space="preserve"> המפורטים בסעיף 19 להחלטה קמא</w:t>
      </w:r>
      <w:r w:rsidR="000F382F">
        <w:rPr>
          <w:rFonts w:hint="cs" w:ascii="Arial" w:hAnsi="Arial"/>
          <w:noProof w:val="0"/>
          <w:rtl/>
        </w:rPr>
        <w:t xml:space="preserve">, בהם </w:t>
      </w:r>
      <w:r w:rsidR="00D24BC9">
        <w:rPr>
          <w:rFonts w:hint="cs" w:ascii="Arial" w:hAnsi="Arial"/>
          <w:noProof w:val="0"/>
          <w:rtl/>
        </w:rPr>
        <w:t>רישום עיקול לטובת המבקש במשר</w:t>
      </w:r>
      <w:r w:rsidR="000F382F">
        <w:rPr>
          <w:rFonts w:hint="cs" w:ascii="Arial" w:hAnsi="Arial"/>
          <w:noProof w:val="0"/>
          <w:rtl/>
        </w:rPr>
        <w:t>ד הרישוי, רכישת ביטוח מיקף לרכב</w:t>
      </w:r>
      <w:r w:rsidR="00D24BC9">
        <w:rPr>
          <w:rFonts w:hint="cs" w:ascii="Arial" w:hAnsi="Arial"/>
          <w:noProof w:val="0"/>
          <w:rtl/>
        </w:rPr>
        <w:t xml:space="preserve"> </w:t>
      </w:r>
      <w:r w:rsidR="000F382F">
        <w:rPr>
          <w:rFonts w:hint="cs" w:ascii="Arial" w:hAnsi="Arial"/>
          <w:noProof w:val="0"/>
          <w:rtl/>
        </w:rPr>
        <w:t>ו</w:t>
      </w:r>
      <w:r w:rsidR="00D24BC9">
        <w:rPr>
          <w:rFonts w:hint="cs" w:ascii="Arial" w:hAnsi="Arial"/>
          <w:noProof w:val="0"/>
          <w:rtl/>
        </w:rPr>
        <w:t>הפקדת ערבון בסך 10,000 ₪ על ידי המשיב להבטחת התחייבויותי</w:t>
      </w:r>
      <w:r w:rsidR="000F382F">
        <w:rPr>
          <w:rFonts w:hint="cs" w:ascii="Arial" w:hAnsi="Arial"/>
          <w:noProof w:val="0"/>
          <w:rtl/>
        </w:rPr>
        <w:t>ו.</w:t>
      </w:r>
      <w:r w:rsidR="00D24BC9">
        <w:rPr>
          <w:rFonts w:hint="cs" w:ascii="Arial" w:hAnsi="Arial"/>
          <w:noProof w:val="0"/>
          <w:rtl/>
        </w:rPr>
        <w:t xml:space="preserve"> </w:t>
      </w:r>
      <w:r>
        <w:rPr>
          <w:rFonts w:hint="cs" w:ascii="Arial" w:hAnsi="Arial"/>
          <w:noProof w:val="0"/>
          <w:rtl/>
        </w:rPr>
        <w:t xml:space="preserve"> </w:t>
      </w:r>
    </w:p>
    <w:p w:rsidR="001F283F" w:rsidP="00BC0556" w:rsidRDefault="001F283F">
      <w:pPr>
        <w:spacing w:line="360" w:lineRule="auto"/>
        <w:jc w:val="both"/>
        <w:rPr>
          <w:rFonts w:ascii="Arial" w:hAnsi="Arial"/>
          <w:noProof w:val="0"/>
          <w:rtl/>
        </w:rPr>
      </w:pPr>
    </w:p>
    <w:p w:rsidR="00140DB5" w:rsidP="00BC0556" w:rsidRDefault="00140DB5">
      <w:pPr>
        <w:spacing w:line="360" w:lineRule="auto"/>
        <w:jc w:val="both"/>
        <w:rPr>
          <w:rFonts w:ascii="Arial" w:hAnsi="Arial"/>
          <w:b/>
          <w:bCs/>
          <w:noProof w:val="0"/>
          <w:u w:val="single"/>
          <w:rtl/>
        </w:rPr>
      </w:pPr>
      <w:r w:rsidRPr="009D7745">
        <w:rPr>
          <w:rFonts w:hint="cs" w:ascii="Arial" w:hAnsi="Arial"/>
          <w:b/>
          <w:bCs/>
          <w:noProof w:val="0"/>
          <w:u w:val="single"/>
          <w:rtl/>
        </w:rPr>
        <w:t>בקשת רשות הערעור</w:t>
      </w:r>
    </w:p>
    <w:p w:rsidRPr="009D7745" w:rsidR="009D7745" w:rsidP="00BC0556" w:rsidRDefault="009D7745">
      <w:pPr>
        <w:spacing w:line="360" w:lineRule="auto"/>
        <w:jc w:val="both"/>
        <w:rPr>
          <w:rFonts w:ascii="Arial" w:hAnsi="Arial"/>
          <w:b/>
          <w:bCs/>
          <w:noProof w:val="0"/>
          <w:u w:val="single"/>
          <w:rtl/>
        </w:rPr>
      </w:pPr>
    </w:p>
    <w:p w:rsidR="007D3C62" w:rsidP="00140DB5" w:rsidRDefault="009D7745">
      <w:pPr>
        <w:spacing w:line="360" w:lineRule="auto"/>
        <w:jc w:val="both"/>
        <w:rPr>
          <w:rFonts w:ascii="Arial" w:hAnsi="Arial"/>
          <w:noProof w:val="0"/>
          <w:rtl/>
        </w:rPr>
      </w:pPr>
      <w:r>
        <w:rPr>
          <w:rFonts w:hint="cs" w:ascii="Arial" w:hAnsi="Arial"/>
          <w:noProof w:val="0"/>
          <w:rtl/>
        </w:rPr>
        <w:t>המבקש עותר לביטול ההחלטה קמא וכן לעיכוב ביצועה של ההחלטה קמא, באופן שהרכב לא יוחזר למשיב עד להכרעה בבקשת רשות הערעור.</w:t>
      </w:r>
    </w:p>
    <w:p w:rsidR="00151FE7" w:rsidP="009D7745" w:rsidRDefault="002243A5">
      <w:pPr>
        <w:spacing w:line="360" w:lineRule="auto"/>
        <w:jc w:val="both"/>
        <w:rPr>
          <w:rFonts w:ascii="Arial" w:hAnsi="Arial"/>
          <w:b/>
          <w:bCs/>
          <w:noProof w:val="0"/>
          <w:rtl/>
        </w:rPr>
      </w:pPr>
      <w:r>
        <w:rPr>
          <w:rFonts w:hint="cs" w:ascii="Arial" w:hAnsi="Arial"/>
          <w:noProof w:val="0"/>
          <w:rtl/>
        </w:rPr>
        <w:t xml:space="preserve">המבקש מתאר כיצד חתם על הודעת משכון יחד עם מר יעקב מור (החייב), לפיה משכן </w:t>
      </w:r>
      <w:r w:rsidR="009D7745">
        <w:rPr>
          <w:rFonts w:hint="cs" w:ascii="Arial" w:hAnsi="Arial"/>
          <w:noProof w:val="0"/>
          <w:rtl/>
        </w:rPr>
        <w:t>החייב</w:t>
      </w:r>
      <w:r>
        <w:rPr>
          <w:rFonts w:hint="cs" w:ascii="Arial" w:hAnsi="Arial"/>
          <w:noProof w:val="0"/>
          <w:rtl/>
        </w:rPr>
        <w:t xml:space="preserve"> את הרכב הנדון לטובת המבקש</w:t>
      </w:r>
      <w:r w:rsidR="003B5564">
        <w:rPr>
          <w:rFonts w:hint="cs" w:ascii="Arial" w:hAnsi="Arial"/>
          <w:noProof w:val="0"/>
          <w:rtl/>
        </w:rPr>
        <w:t>, וביום 8.8.17 נרשם המשכון אצל רשם המש</w:t>
      </w:r>
      <w:r>
        <w:rPr>
          <w:rFonts w:hint="cs" w:ascii="Arial" w:hAnsi="Arial"/>
          <w:noProof w:val="0"/>
          <w:rtl/>
        </w:rPr>
        <w:t xml:space="preserve">כונות. </w:t>
      </w:r>
      <w:r w:rsidR="00151FE7">
        <w:rPr>
          <w:rFonts w:hint="cs" w:ascii="Arial" w:hAnsi="Arial"/>
          <w:noProof w:val="0"/>
          <w:rtl/>
        </w:rPr>
        <w:t>בעקבות אי עמידת החייב בהתחייבויותיו, פתח המ</w:t>
      </w:r>
      <w:r w:rsidR="009D7745">
        <w:rPr>
          <w:rFonts w:hint="cs" w:ascii="Arial" w:hAnsi="Arial"/>
          <w:noProof w:val="0"/>
          <w:rtl/>
        </w:rPr>
        <w:t>בקש את תיק ההוצל"פ 505633-09-16</w:t>
      </w:r>
      <w:r w:rsidR="00151FE7">
        <w:rPr>
          <w:rFonts w:hint="cs" w:ascii="Arial" w:hAnsi="Arial"/>
          <w:noProof w:val="0"/>
          <w:rtl/>
        </w:rPr>
        <w:t xml:space="preserve"> (להלן: "</w:t>
      </w:r>
      <w:r w:rsidRPr="00B6089A" w:rsidR="00B6089A">
        <w:rPr>
          <w:rFonts w:hint="cs" w:ascii="Arial" w:hAnsi="Arial"/>
          <w:b/>
          <w:bCs/>
          <w:noProof w:val="0"/>
          <w:rtl/>
        </w:rPr>
        <w:t>תיק ההוצל"פ</w:t>
      </w:r>
      <w:r w:rsidR="00151FE7">
        <w:rPr>
          <w:rFonts w:hint="cs" w:ascii="Arial" w:hAnsi="Arial"/>
          <w:noProof w:val="0"/>
          <w:rtl/>
        </w:rPr>
        <w:t>")</w:t>
      </w:r>
      <w:r w:rsidR="004C6215">
        <w:rPr>
          <w:rFonts w:hint="cs" w:ascii="Arial" w:hAnsi="Arial"/>
          <w:noProof w:val="0"/>
          <w:rtl/>
        </w:rPr>
        <w:t xml:space="preserve"> וב"כ המבקש מונה ככונס נכסים בתיק, בהתאם לצו מיום 7.3.18. </w:t>
      </w:r>
      <w:r w:rsidR="00CA581F">
        <w:rPr>
          <w:rFonts w:hint="cs" w:ascii="Arial" w:hAnsi="Arial"/>
          <w:noProof w:val="0"/>
          <w:rtl/>
        </w:rPr>
        <w:t>המבקש עותר להשארת הרכב תפוס, שכן לטענתו</w:t>
      </w:r>
      <w:r w:rsidR="009D7745">
        <w:rPr>
          <w:rFonts w:hint="cs" w:ascii="Arial" w:hAnsi="Arial"/>
          <w:noProof w:val="0"/>
          <w:rtl/>
        </w:rPr>
        <w:t>,</w:t>
      </w:r>
      <w:r w:rsidR="00CA581F">
        <w:rPr>
          <w:rFonts w:hint="cs" w:ascii="Arial" w:hAnsi="Arial"/>
          <w:noProof w:val="0"/>
          <w:rtl/>
        </w:rPr>
        <w:t xml:space="preserve"> זכויותיו ברכב גוברות על זכויות המשיב בו, </w:t>
      </w:r>
      <w:r w:rsidR="00E73AD6">
        <w:rPr>
          <w:rFonts w:hint="cs" w:ascii="Arial" w:hAnsi="Arial"/>
          <w:noProof w:val="0"/>
          <w:rtl/>
        </w:rPr>
        <w:t>מאחר והוא פעל</w:t>
      </w:r>
      <w:r w:rsidR="009D7745">
        <w:rPr>
          <w:rFonts w:hint="cs" w:ascii="Arial" w:hAnsi="Arial"/>
          <w:noProof w:val="0"/>
          <w:rtl/>
        </w:rPr>
        <w:t xml:space="preserve"> לרישום משכון, ומשכון רשום ה</w:t>
      </w:r>
      <w:r w:rsidR="00E73AD6">
        <w:rPr>
          <w:rFonts w:hint="cs" w:ascii="Arial" w:hAnsi="Arial"/>
          <w:noProof w:val="0"/>
          <w:rtl/>
        </w:rPr>
        <w:t>ינו בגדר "עסקה שהושלמה"</w:t>
      </w:r>
      <w:r w:rsidR="00A07AEB">
        <w:rPr>
          <w:rFonts w:hint="cs" w:ascii="Arial" w:hAnsi="Arial"/>
          <w:noProof w:val="0"/>
          <w:rtl/>
        </w:rPr>
        <w:t xml:space="preserve"> כלפי כולי</w:t>
      </w:r>
      <w:r w:rsidR="00E73AD6">
        <w:rPr>
          <w:rFonts w:hint="cs" w:ascii="Arial" w:hAnsi="Arial"/>
          <w:noProof w:val="0"/>
          <w:rtl/>
        </w:rPr>
        <w:t xml:space="preserve"> עלמא, </w:t>
      </w:r>
      <w:r w:rsidR="009D7745">
        <w:rPr>
          <w:rFonts w:hint="cs" w:ascii="Arial" w:hAnsi="Arial"/>
          <w:noProof w:val="0"/>
          <w:rtl/>
        </w:rPr>
        <w:t xml:space="preserve">וזאת </w:t>
      </w:r>
      <w:r w:rsidR="00E73AD6">
        <w:rPr>
          <w:rFonts w:hint="cs" w:ascii="Arial" w:hAnsi="Arial"/>
          <w:noProof w:val="0"/>
          <w:rtl/>
        </w:rPr>
        <w:t xml:space="preserve">עוד טרם רכש המשיב את הרכב. </w:t>
      </w:r>
      <w:r w:rsidR="00A07AEB">
        <w:rPr>
          <w:rFonts w:hint="cs" w:ascii="Arial" w:hAnsi="Arial"/>
          <w:noProof w:val="0"/>
          <w:rtl/>
        </w:rPr>
        <w:t>עוד הוסיף</w:t>
      </w:r>
      <w:r w:rsidR="009D7745">
        <w:rPr>
          <w:rFonts w:hint="cs" w:ascii="Arial" w:hAnsi="Arial"/>
          <w:noProof w:val="0"/>
          <w:rtl/>
        </w:rPr>
        <w:t>, כי אין באי-רישום המש</w:t>
      </w:r>
      <w:r w:rsidR="00A07AEB">
        <w:rPr>
          <w:rFonts w:hint="cs" w:ascii="Arial" w:hAnsi="Arial"/>
          <w:noProof w:val="0"/>
          <w:rtl/>
        </w:rPr>
        <w:t xml:space="preserve">כון במשרד הרישוי, </w:t>
      </w:r>
      <w:r w:rsidR="009D7745">
        <w:rPr>
          <w:rFonts w:hint="cs" w:ascii="Arial" w:hAnsi="Arial"/>
          <w:noProof w:val="0"/>
          <w:rtl/>
        </w:rPr>
        <w:t xml:space="preserve">כדי לגרוע מתוקפו שכן הוא נרשם, כמתחייב, </w:t>
      </w:r>
      <w:r w:rsidR="00A07AEB">
        <w:rPr>
          <w:rFonts w:hint="cs" w:ascii="Arial" w:hAnsi="Arial"/>
          <w:noProof w:val="0"/>
          <w:rtl/>
        </w:rPr>
        <w:t>אצל רשם המשכונות</w:t>
      </w:r>
      <w:r w:rsidR="009D7745">
        <w:rPr>
          <w:rFonts w:hint="cs" w:ascii="Arial" w:hAnsi="Arial"/>
          <w:noProof w:val="0"/>
          <w:rtl/>
        </w:rPr>
        <w:t xml:space="preserve">. </w:t>
      </w:r>
      <w:r w:rsidR="00CE7131">
        <w:rPr>
          <w:rFonts w:hint="cs" w:ascii="Arial" w:hAnsi="Arial"/>
          <w:noProof w:val="0"/>
          <w:rtl/>
        </w:rPr>
        <w:t>לטענת המבקש שגה בית המשפט קמא בקביעת מאזן הנוחות, שכן זה נוטה לטובתו באשר הנזק אשר יגרם לו</w:t>
      </w:r>
      <w:r w:rsidR="00ED5F03">
        <w:rPr>
          <w:rFonts w:hint="cs" w:ascii="Arial" w:hAnsi="Arial"/>
          <w:noProof w:val="0"/>
          <w:rtl/>
        </w:rPr>
        <w:t xml:space="preserve"> עולה על הנזק אשר יגרם למשיב. </w:t>
      </w:r>
      <w:r w:rsidR="00826B1B">
        <w:rPr>
          <w:rFonts w:hint="cs" w:ascii="Arial" w:hAnsi="Arial"/>
          <w:noProof w:val="0"/>
          <w:rtl/>
        </w:rPr>
        <w:t xml:space="preserve">ועוד, כי המשיב לא פרט קמא אודות קיומו של נזק בלתי הפיך ושלא ניתן לפצותו בכסף, לו יבוטל </w:t>
      </w:r>
      <w:r w:rsidRPr="009D7745" w:rsidR="00826B1B">
        <w:rPr>
          <w:rFonts w:hint="cs" w:ascii="Arial" w:hAnsi="Arial"/>
          <w:noProof w:val="0"/>
          <w:rtl/>
        </w:rPr>
        <w:t xml:space="preserve">צו המניעה. </w:t>
      </w:r>
      <w:r w:rsidRPr="009D7745" w:rsidR="0065037F">
        <w:rPr>
          <w:rFonts w:hint="cs" w:ascii="Arial" w:hAnsi="Arial"/>
          <w:noProof w:val="0"/>
          <w:rtl/>
        </w:rPr>
        <w:t>עוד מלין המבקש</w:t>
      </w:r>
      <w:r w:rsidRPr="009D7745" w:rsidR="009D7745">
        <w:rPr>
          <w:rFonts w:hint="cs" w:ascii="Arial" w:hAnsi="Arial"/>
          <w:noProof w:val="0"/>
          <w:rtl/>
        </w:rPr>
        <w:t>,</w:t>
      </w:r>
      <w:r w:rsidRPr="009D7745" w:rsidR="0065037F">
        <w:rPr>
          <w:rFonts w:hint="cs" w:ascii="Arial" w:hAnsi="Arial"/>
          <w:noProof w:val="0"/>
          <w:rtl/>
        </w:rPr>
        <w:t xml:space="preserve"> כי בית המשפט קמא התעלם מטענתו המשפטית כי הכרעה זו פוגעת במעמדו של רישום אצל רשם המשכונות</w:t>
      </w:r>
      <w:r w:rsidRPr="009D7745" w:rsidR="009D7745">
        <w:rPr>
          <w:rFonts w:hint="cs" w:ascii="Arial" w:hAnsi="Arial"/>
          <w:noProof w:val="0"/>
          <w:rtl/>
        </w:rPr>
        <w:t xml:space="preserve"> ו</w:t>
      </w:r>
      <w:r w:rsidRPr="009D7745" w:rsidR="005B1347">
        <w:rPr>
          <w:rFonts w:hint="cs" w:ascii="Arial" w:hAnsi="Arial"/>
          <w:noProof w:val="0"/>
          <w:rtl/>
        </w:rPr>
        <w:t xml:space="preserve">כי </w:t>
      </w:r>
      <w:r w:rsidRPr="009D7745" w:rsidR="00834F9B">
        <w:rPr>
          <w:rFonts w:hint="cs" w:ascii="Arial" w:hAnsi="Arial"/>
          <w:noProof w:val="0"/>
          <w:rtl/>
        </w:rPr>
        <w:t>ישנה</w:t>
      </w:r>
      <w:r w:rsidR="00834F9B">
        <w:rPr>
          <w:rFonts w:hint="cs" w:ascii="Arial" w:hAnsi="Arial"/>
          <w:noProof w:val="0"/>
          <w:rtl/>
        </w:rPr>
        <w:t xml:space="preserve"> משמעות </w:t>
      </w:r>
      <w:r w:rsidRPr="005B1347" w:rsidR="005B1347">
        <w:rPr>
          <w:rFonts w:hint="cs" w:ascii="Arial" w:hAnsi="Arial"/>
          <w:noProof w:val="0"/>
          <w:rtl/>
        </w:rPr>
        <w:t xml:space="preserve">לערכו הרב של הרכב, כ-140,000 </w:t>
      </w:r>
      <w:r w:rsidR="00834F9B">
        <w:rPr>
          <w:rFonts w:hint="cs" w:ascii="Arial" w:hAnsi="Arial"/>
          <w:noProof w:val="0"/>
          <w:rtl/>
        </w:rPr>
        <w:t xml:space="preserve">₪, </w:t>
      </w:r>
      <w:r w:rsidR="009D7745">
        <w:rPr>
          <w:rFonts w:hint="cs" w:ascii="Arial" w:hAnsi="Arial"/>
          <w:noProof w:val="0"/>
          <w:rtl/>
        </w:rPr>
        <w:t>אשר לבטח יפחת ככל שיחלוף זמן ועד שתוכרע ה</w:t>
      </w:r>
      <w:r w:rsidR="00834F9B">
        <w:rPr>
          <w:rFonts w:hint="cs" w:ascii="Arial" w:hAnsi="Arial"/>
          <w:noProof w:val="0"/>
          <w:rtl/>
        </w:rPr>
        <w:t>תובענה העיקרית</w:t>
      </w:r>
      <w:r w:rsidR="009D7745">
        <w:rPr>
          <w:rFonts w:hint="cs" w:ascii="Arial" w:hAnsi="Arial"/>
          <w:noProof w:val="0"/>
          <w:rtl/>
        </w:rPr>
        <w:t>.</w:t>
      </w:r>
    </w:p>
    <w:p w:rsidRPr="00A62572" w:rsidR="001F283F" w:rsidP="00BC0556" w:rsidRDefault="001F283F">
      <w:pPr>
        <w:spacing w:line="360" w:lineRule="auto"/>
        <w:jc w:val="both"/>
        <w:rPr>
          <w:rFonts w:ascii="Arial" w:hAnsi="Arial"/>
          <w:b/>
          <w:bCs/>
          <w:noProof w:val="0"/>
          <w:rtl/>
        </w:rPr>
      </w:pPr>
    </w:p>
    <w:p w:rsidR="00A62572" w:rsidP="00BC0556" w:rsidRDefault="00A62572">
      <w:pPr>
        <w:spacing w:line="360" w:lineRule="auto"/>
        <w:jc w:val="both"/>
        <w:rPr>
          <w:rFonts w:ascii="Arial" w:hAnsi="Arial"/>
          <w:b/>
          <w:bCs/>
          <w:noProof w:val="0"/>
          <w:u w:val="single"/>
          <w:rtl/>
        </w:rPr>
      </w:pPr>
      <w:r w:rsidRPr="009D7745">
        <w:rPr>
          <w:rFonts w:hint="cs" w:ascii="Arial" w:hAnsi="Arial"/>
          <w:b/>
          <w:bCs/>
          <w:noProof w:val="0"/>
          <w:u w:val="single"/>
          <w:rtl/>
        </w:rPr>
        <w:t>דיון ומסקנות</w:t>
      </w:r>
    </w:p>
    <w:p w:rsidRPr="009D7745" w:rsidR="009D7745" w:rsidP="00BC0556" w:rsidRDefault="009D7745">
      <w:pPr>
        <w:spacing w:line="360" w:lineRule="auto"/>
        <w:jc w:val="both"/>
        <w:rPr>
          <w:rFonts w:ascii="Arial" w:hAnsi="Arial"/>
          <w:b/>
          <w:bCs/>
          <w:noProof w:val="0"/>
          <w:u w:val="single"/>
          <w:rtl/>
        </w:rPr>
      </w:pPr>
    </w:p>
    <w:p w:rsidRPr="001F283F" w:rsidR="001F283F" w:rsidP="001F283F" w:rsidRDefault="001F283F">
      <w:pPr>
        <w:spacing w:line="360" w:lineRule="auto"/>
        <w:jc w:val="both"/>
        <w:rPr>
          <w:rFonts w:asciiTheme="minorHAnsi" w:hAnsiTheme="minorHAnsi"/>
          <w:noProof w:val="0"/>
          <w:rtl/>
        </w:rPr>
      </w:pPr>
      <w:r w:rsidRPr="001F283F">
        <w:rPr>
          <w:rFonts w:hint="eastAsia" w:asciiTheme="minorHAnsi" w:hAnsiTheme="minorHAnsi"/>
          <w:noProof w:val="0"/>
          <w:rtl/>
        </w:rPr>
        <w:t>לאחר</w:t>
      </w:r>
      <w:r w:rsidRPr="001F283F">
        <w:rPr>
          <w:rFonts w:asciiTheme="minorHAnsi" w:hAnsiTheme="minorHAnsi"/>
          <w:noProof w:val="0"/>
          <w:rtl/>
        </w:rPr>
        <w:t xml:space="preserve"> </w:t>
      </w:r>
      <w:r w:rsidRPr="001F283F">
        <w:rPr>
          <w:rFonts w:hint="eastAsia" w:asciiTheme="minorHAnsi" w:hAnsiTheme="minorHAnsi"/>
          <w:noProof w:val="0"/>
          <w:rtl/>
        </w:rPr>
        <w:t>עיון</w:t>
      </w:r>
      <w:r w:rsidRPr="001F283F">
        <w:rPr>
          <w:rFonts w:asciiTheme="minorHAnsi" w:hAnsiTheme="minorHAnsi"/>
          <w:noProof w:val="0"/>
          <w:rtl/>
        </w:rPr>
        <w:t xml:space="preserve"> </w:t>
      </w:r>
      <w:r w:rsidRPr="001F283F">
        <w:rPr>
          <w:rFonts w:hint="eastAsia" w:asciiTheme="minorHAnsi" w:hAnsiTheme="minorHAnsi"/>
          <w:noProof w:val="0"/>
          <w:rtl/>
        </w:rPr>
        <w:t>בבקשה</w:t>
      </w:r>
      <w:r w:rsidRPr="001F283F">
        <w:rPr>
          <w:rFonts w:asciiTheme="minorHAnsi" w:hAnsiTheme="minorHAnsi"/>
          <w:noProof w:val="0"/>
          <w:rtl/>
        </w:rPr>
        <w:t xml:space="preserve"> </w:t>
      </w:r>
      <w:r w:rsidRPr="001F283F">
        <w:rPr>
          <w:rFonts w:hint="eastAsia" w:asciiTheme="minorHAnsi" w:hAnsiTheme="minorHAnsi"/>
          <w:noProof w:val="0"/>
          <w:rtl/>
        </w:rPr>
        <w:t>על</w:t>
      </w:r>
      <w:r w:rsidRPr="001F283F">
        <w:rPr>
          <w:rFonts w:asciiTheme="minorHAnsi" w:hAnsiTheme="minorHAnsi"/>
          <w:noProof w:val="0"/>
          <w:rtl/>
        </w:rPr>
        <w:t xml:space="preserve"> </w:t>
      </w:r>
      <w:r w:rsidRPr="001F283F">
        <w:rPr>
          <w:rFonts w:hint="eastAsia" w:asciiTheme="minorHAnsi" w:hAnsiTheme="minorHAnsi"/>
          <w:noProof w:val="0"/>
          <w:rtl/>
        </w:rPr>
        <w:t>צירופיה</w:t>
      </w:r>
      <w:r w:rsidRPr="001F283F">
        <w:rPr>
          <w:rFonts w:asciiTheme="minorHAnsi" w:hAnsiTheme="minorHAnsi"/>
          <w:noProof w:val="0"/>
          <w:rtl/>
        </w:rPr>
        <w:t xml:space="preserve"> </w:t>
      </w:r>
      <w:r w:rsidRPr="001F283F">
        <w:rPr>
          <w:rFonts w:hint="eastAsia" w:asciiTheme="minorHAnsi" w:hAnsiTheme="minorHAnsi"/>
          <w:noProof w:val="0"/>
          <w:rtl/>
        </w:rPr>
        <w:t>סברתי</w:t>
      </w:r>
      <w:r w:rsidRPr="001F283F">
        <w:rPr>
          <w:rFonts w:asciiTheme="minorHAnsi" w:hAnsiTheme="minorHAnsi"/>
          <w:noProof w:val="0"/>
          <w:rtl/>
        </w:rPr>
        <w:t xml:space="preserve">, </w:t>
      </w:r>
      <w:r w:rsidRPr="001F283F">
        <w:rPr>
          <w:rFonts w:hint="eastAsia" w:asciiTheme="minorHAnsi" w:hAnsiTheme="minorHAnsi"/>
          <w:noProof w:val="0"/>
          <w:rtl/>
        </w:rPr>
        <w:t>כי</w:t>
      </w:r>
      <w:r w:rsidRPr="001F283F">
        <w:rPr>
          <w:rFonts w:asciiTheme="minorHAnsi" w:hAnsiTheme="minorHAnsi"/>
          <w:noProof w:val="0"/>
          <w:rtl/>
        </w:rPr>
        <w:t xml:space="preserve"> </w:t>
      </w:r>
      <w:r w:rsidRPr="001F283F">
        <w:rPr>
          <w:rFonts w:hint="eastAsia" w:asciiTheme="minorHAnsi" w:hAnsiTheme="minorHAnsi"/>
          <w:noProof w:val="0"/>
          <w:rtl/>
        </w:rPr>
        <w:t>אין</w:t>
      </w:r>
      <w:r w:rsidRPr="001F283F">
        <w:rPr>
          <w:rFonts w:asciiTheme="minorHAnsi" w:hAnsiTheme="minorHAnsi"/>
          <w:noProof w:val="0"/>
          <w:rtl/>
        </w:rPr>
        <w:t xml:space="preserve"> </w:t>
      </w:r>
      <w:r w:rsidRPr="001F283F">
        <w:rPr>
          <w:rFonts w:hint="eastAsia" w:asciiTheme="minorHAnsi" w:hAnsiTheme="minorHAnsi"/>
          <w:noProof w:val="0"/>
          <w:rtl/>
        </w:rPr>
        <w:t>היא</w:t>
      </w:r>
      <w:r w:rsidRPr="001F283F">
        <w:rPr>
          <w:rFonts w:asciiTheme="minorHAnsi" w:hAnsiTheme="minorHAnsi"/>
          <w:noProof w:val="0"/>
          <w:rtl/>
        </w:rPr>
        <w:t xml:space="preserve"> </w:t>
      </w:r>
      <w:r w:rsidRPr="001F283F">
        <w:rPr>
          <w:rFonts w:hint="eastAsia" w:asciiTheme="minorHAnsi" w:hAnsiTheme="minorHAnsi"/>
          <w:noProof w:val="0"/>
          <w:rtl/>
        </w:rPr>
        <w:t>צריכה</w:t>
      </w:r>
      <w:r w:rsidRPr="001F283F">
        <w:rPr>
          <w:rFonts w:asciiTheme="minorHAnsi" w:hAnsiTheme="minorHAnsi"/>
          <w:noProof w:val="0"/>
          <w:rtl/>
        </w:rPr>
        <w:t xml:space="preserve"> </w:t>
      </w:r>
      <w:r w:rsidRPr="001F283F">
        <w:rPr>
          <w:rFonts w:hint="eastAsia" w:asciiTheme="minorHAnsi" w:hAnsiTheme="minorHAnsi"/>
          <w:noProof w:val="0"/>
          <w:rtl/>
        </w:rPr>
        <w:t>תשובה</w:t>
      </w:r>
      <w:r w:rsidRPr="001F283F">
        <w:rPr>
          <w:rFonts w:asciiTheme="minorHAnsi" w:hAnsiTheme="minorHAnsi"/>
          <w:noProof w:val="0"/>
          <w:rtl/>
        </w:rPr>
        <w:t xml:space="preserve">, </w:t>
      </w:r>
      <w:r w:rsidRPr="001F283F">
        <w:rPr>
          <w:rFonts w:hint="eastAsia" w:asciiTheme="minorHAnsi" w:hAnsiTheme="minorHAnsi"/>
          <w:noProof w:val="0"/>
          <w:rtl/>
        </w:rPr>
        <w:t>ולכן</w:t>
      </w:r>
      <w:r w:rsidRPr="001F283F">
        <w:rPr>
          <w:rFonts w:asciiTheme="minorHAnsi" w:hAnsiTheme="minorHAnsi"/>
          <w:noProof w:val="0"/>
          <w:rtl/>
        </w:rPr>
        <w:t xml:space="preserve"> </w:t>
      </w:r>
      <w:r w:rsidRPr="001F283F">
        <w:rPr>
          <w:rFonts w:hint="eastAsia" w:asciiTheme="minorHAnsi" w:hAnsiTheme="minorHAnsi"/>
          <w:noProof w:val="0"/>
          <w:rtl/>
        </w:rPr>
        <w:t>אדחנה</w:t>
      </w:r>
      <w:r w:rsidRPr="001F283F">
        <w:rPr>
          <w:rFonts w:asciiTheme="minorHAnsi" w:hAnsiTheme="minorHAnsi"/>
          <w:noProof w:val="0"/>
          <w:rtl/>
        </w:rPr>
        <w:t xml:space="preserve"> </w:t>
      </w:r>
      <w:r w:rsidRPr="001F283F">
        <w:rPr>
          <w:rFonts w:hint="eastAsia" w:asciiTheme="minorHAnsi" w:hAnsiTheme="minorHAnsi"/>
          <w:noProof w:val="0"/>
          <w:rtl/>
        </w:rPr>
        <w:t>על</w:t>
      </w:r>
      <w:r w:rsidRPr="001F283F">
        <w:rPr>
          <w:rFonts w:asciiTheme="minorHAnsi" w:hAnsiTheme="minorHAnsi"/>
          <w:noProof w:val="0"/>
          <w:rtl/>
        </w:rPr>
        <w:t xml:space="preserve"> </w:t>
      </w:r>
      <w:r w:rsidRPr="001F283F">
        <w:rPr>
          <w:rFonts w:hint="eastAsia" w:asciiTheme="minorHAnsi" w:hAnsiTheme="minorHAnsi"/>
          <w:noProof w:val="0"/>
          <w:rtl/>
        </w:rPr>
        <w:t>אתר</w:t>
      </w:r>
      <w:r w:rsidRPr="001F283F">
        <w:rPr>
          <w:rFonts w:asciiTheme="minorHAnsi" w:hAnsiTheme="minorHAnsi"/>
          <w:noProof w:val="0"/>
          <w:rtl/>
        </w:rPr>
        <w:t xml:space="preserve">, </w:t>
      </w:r>
      <w:r w:rsidRPr="001F283F">
        <w:rPr>
          <w:rFonts w:hint="eastAsia" w:asciiTheme="minorHAnsi" w:hAnsiTheme="minorHAnsi"/>
          <w:noProof w:val="0"/>
          <w:rtl/>
        </w:rPr>
        <w:t>בגדרה</w:t>
      </w:r>
      <w:r w:rsidRPr="001F283F">
        <w:rPr>
          <w:rFonts w:asciiTheme="minorHAnsi" w:hAnsiTheme="minorHAnsi"/>
          <w:noProof w:val="0"/>
          <w:rtl/>
        </w:rPr>
        <w:t xml:space="preserve"> </w:t>
      </w:r>
      <w:r w:rsidRPr="001F283F">
        <w:rPr>
          <w:rFonts w:hint="eastAsia" w:asciiTheme="minorHAnsi" w:hAnsiTheme="minorHAnsi"/>
          <w:noProof w:val="0"/>
          <w:rtl/>
        </w:rPr>
        <w:t>של</w:t>
      </w:r>
      <w:r w:rsidRPr="001F283F">
        <w:rPr>
          <w:rFonts w:asciiTheme="minorHAnsi" w:hAnsiTheme="minorHAnsi"/>
          <w:noProof w:val="0"/>
          <w:rtl/>
        </w:rPr>
        <w:t xml:space="preserve"> </w:t>
      </w:r>
      <w:r w:rsidRPr="001F283F">
        <w:rPr>
          <w:rFonts w:hint="eastAsia" w:asciiTheme="minorHAnsi" w:hAnsiTheme="minorHAnsi"/>
          <w:noProof w:val="0"/>
          <w:rtl/>
        </w:rPr>
        <w:t>תקנה</w:t>
      </w:r>
      <w:r w:rsidR="009D7745">
        <w:rPr>
          <w:rFonts w:asciiTheme="minorHAnsi" w:hAnsiTheme="minorHAnsi"/>
          <w:noProof w:val="0"/>
          <w:rtl/>
        </w:rPr>
        <w:t xml:space="preserve"> 406</w:t>
      </w:r>
      <w:r w:rsidR="009D7745">
        <w:rPr>
          <w:rFonts w:hint="cs" w:asciiTheme="minorHAnsi" w:hAnsiTheme="minorHAnsi"/>
          <w:noProof w:val="0"/>
          <w:rtl/>
        </w:rPr>
        <w:t xml:space="preserve">(א) </w:t>
      </w:r>
      <w:r w:rsidRPr="001F283F">
        <w:rPr>
          <w:rFonts w:hint="eastAsia" w:asciiTheme="minorHAnsi" w:hAnsiTheme="minorHAnsi"/>
          <w:noProof w:val="0"/>
          <w:rtl/>
        </w:rPr>
        <w:t>ל</w:t>
      </w:r>
      <w:r w:rsidRPr="009D7745">
        <w:rPr>
          <w:rFonts w:hint="eastAsia" w:asciiTheme="minorHAnsi" w:hAnsiTheme="minorHAnsi"/>
          <w:noProof w:val="0"/>
          <w:rtl/>
        </w:rPr>
        <w:t>תקנות</w:t>
      </w:r>
      <w:r w:rsidRPr="009D7745">
        <w:rPr>
          <w:rFonts w:asciiTheme="minorHAnsi" w:hAnsiTheme="minorHAnsi"/>
          <w:noProof w:val="0"/>
          <w:rtl/>
        </w:rPr>
        <w:t xml:space="preserve"> </w:t>
      </w:r>
      <w:r w:rsidRPr="009D7745">
        <w:rPr>
          <w:rFonts w:hint="eastAsia" w:asciiTheme="minorHAnsi" w:hAnsiTheme="minorHAnsi"/>
          <w:noProof w:val="0"/>
          <w:rtl/>
        </w:rPr>
        <w:t>סדר</w:t>
      </w:r>
      <w:r w:rsidRPr="009D7745">
        <w:rPr>
          <w:rFonts w:asciiTheme="minorHAnsi" w:hAnsiTheme="minorHAnsi"/>
          <w:noProof w:val="0"/>
          <w:rtl/>
        </w:rPr>
        <w:t xml:space="preserve"> </w:t>
      </w:r>
      <w:r w:rsidRPr="009D7745">
        <w:rPr>
          <w:rFonts w:hint="eastAsia" w:asciiTheme="minorHAnsi" w:hAnsiTheme="minorHAnsi"/>
          <w:noProof w:val="0"/>
          <w:rtl/>
        </w:rPr>
        <w:t>הדין</w:t>
      </w:r>
      <w:r w:rsidRPr="009D7745">
        <w:rPr>
          <w:rFonts w:asciiTheme="minorHAnsi" w:hAnsiTheme="minorHAnsi"/>
          <w:noProof w:val="0"/>
          <w:rtl/>
        </w:rPr>
        <w:t xml:space="preserve"> </w:t>
      </w:r>
      <w:r w:rsidRPr="009D7745">
        <w:rPr>
          <w:rFonts w:hint="eastAsia" w:asciiTheme="minorHAnsi" w:hAnsiTheme="minorHAnsi"/>
          <w:noProof w:val="0"/>
          <w:rtl/>
        </w:rPr>
        <w:t>האזרחי</w:t>
      </w:r>
      <w:r w:rsidRPr="001F283F">
        <w:rPr>
          <w:rFonts w:asciiTheme="minorHAnsi" w:hAnsiTheme="minorHAnsi"/>
          <w:noProof w:val="0"/>
          <w:rtl/>
        </w:rPr>
        <w:t>,</w:t>
      </w:r>
      <w:r w:rsidRPr="001F283F">
        <w:rPr>
          <w:rFonts w:hint="eastAsia" w:asciiTheme="minorHAnsi" w:hAnsiTheme="minorHAnsi"/>
          <w:noProof w:val="0"/>
          <w:rtl/>
        </w:rPr>
        <w:t>התשמ</w:t>
      </w:r>
      <w:r w:rsidRPr="001F283F">
        <w:rPr>
          <w:rFonts w:asciiTheme="minorHAnsi" w:hAnsiTheme="minorHAnsi"/>
          <w:noProof w:val="0"/>
          <w:rtl/>
        </w:rPr>
        <w:t>"</w:t>
      </w:r>
      <w:r w:rsidRPr="001F283F">
        <w:rPr>
          <w:rFonts w:hint="eastAsia" w:asciiTheme="minorHAnsi" w:hAnsiTheme="minorHAnsi"/>
          <w:noProof w:val="0"/>
          <w:rtl/>
        </w:rPr>
        <w:t>ד</w:t>
      </w:r>
      <w:r w:rsidRPr="001F283F">
        <w:rPr>
          <w:rFonts w:asciiTheme="minorHAnsi" w:hAnsiTheme="minorHAnsi"/>
          <w:noProof w:val="0"/>
          <w:rtl/>
        </w:rPr>
        <w:t>-1984.</w:t>
      </w:r>
    </w:p>
    <w:p w:rsidR="00694556" w:rsidRDefault="00694556">
      <w:pPr>
        <w:spacing w:line="360" w:lineRule="auto"/>
        <w:jc w:val="both"/>
        <w:rPr>
          <w:rFonts w:ascii="Arial" w:hAnsi="Arial"/>
          <w:noProof w:val="0"/>
          <w:rtl/>
        </w:rPr>
      </w:pPr>
    </w:p>
    <w:p w:rsidR="00CB5481" w:rsidP="00CB5481" w:rsidRDefault="00CB5481">
      <w:pPr>
        <w:spacing w:line="360" w:lineRule="auto"/>
        <w:contextualSpacing/>
        <w:jc w:val="both"/>
        <w:rPr>
          <w:rFonts w:ascii="Arial" w:hAnsi="Arial"/>
          <w:noProof w:val="0"/>
          <w:rtl/>
        </w:rPr>
      </w:pPr>
      <w:r w:rsidRPr="00E97E71">
        <w:rPr>
          <w:rFonts w:ascii="Arial" w:hAnsi="Arial"/>
          <w:noProof w:val="0"/>
          <w:rtl/>
        </w:rPr>
        <w:t xml:space="preserve">התערבות ערכאת הערעור בהחלטות דיוניות של הערכאה קמא, כך נקבע לא פעם, תעשה בזהירות רבה וכחריג. </w:t>
      </w:r>
      <w:r>
        <w:rPr>
          <w:rFonts w:ascii="Arial" w:hAnsi="Arial"/>
          <w:noProof w:val="0"/>
          <w:rtl/>
        </w:rPr>
        <w:t>במיוחד, לא ת</w:t>
      </w:r>
      <w:r w:rsidR="00045446">
        <w:rPr>
          <w:rFonts w:hint="cs" w:ascii="Arial" w:hAnsi="Arial"/>
          <w:noProof w:val="0"/>
          <w:rtl/>
        </w:rPr>
        <w:t>י</w:t>
      </w:r>
      <w:r>
        <w:rPr>
          <w:rFonts w:ascii="Arial" w:hAnsi="Arial"/>
          <w:noProof w:val="0"/>
          <w:rtl/>
        </w:rPr>
        <w:t xml:space="preserve">טה ערכאת הערעור להתערב בהחלטות שעניינן סעד זמני. </w:t>
      </w:r>
    </w:p>
    <w:p w:rsidR="00CB5481" w:rsidP="00CB5481" w:rsidRDefault="00CB5481">
      <w:pPr>
        <w:spacing w:line="360" w:lineRule="auto"/>
        <w:contextualSpacing/>
        <w:jc w:val="both"/>
        <w:rPr>
          <w:rFonts w:ascii="Arial" w:hAnsi="Arial"/>
          <w:noProof w:val="0"/>
          <w:rtl/>
        </w:rPr>
      </w:pPr>
      <w:r w:rsidRPr="00E97E71">
        <w:rPr>
          <w:rFonts w:ascii="Arial" w:hAnsi="Arial"/>
          <w:noProof w:val="0"/>
          <w:rtl/>
        </w:rPr>
        <w:t>מקרה זה שלפניי, אינו נופל בגדר אותם חריגים המצדיקים התערבות ערכאת הערעור.</w:t>
      </w:r>
      <w:r>
        <w:rPr>
          <w:rFonts w:ascii="Arial" w:hAnsi="Arial"/>
          <w:noProof w:val="0"/>
          <w:rtl/>
        </w:rPr>
        <w:t xml:space="preserve"> </w:t>
      </w:r>
    </w:p>
    <w:p w:rsidR="00CB5481" w:rsidP="00CB5481" w:rsidRDefault="00CB5481">
      <w:pPr>
        <w:spacing w:line="360" w:lineRule="auto"/>
        <w:jc w:val="both"/>
        <w:rPr>
          <w:rFonts w:ascii="Arial" w:hAnsi="Arial"/>
          <w:b/>
          <w:bCs/>
          <w:noProof w:val="0"/>
          <w:rtl/>
        </w:rPr>
      </w:pPr>
    </w:p>
    <w:p w:rsidR="00045446" w:rsidP="00045446" w:rsidRDefault="005E384E">
      <w:pPr>
        <w:spacing w:line="360" w:lineRule="auto"/>
        <w:jc w:val="both"/>
        <w:rPr>
          <w:rFonts w:ascii="Arial" w:hAnsi="Arial"/>
          <w:noProof w:val="0"/>
          <w:rtl/>
        </w:rPr>
      </w:pPr>
      <w:r>
        <w:rPr>
          <w:rFonts w:hint="cs" w:ascii="Arial" w:hAnsi="Arial"/>
          <w:noProof w:val="0"/>
          <w:rtl/>
        </w:rPr>
        <w:t xml:space="preserve">גם לגוף העניין, </w:t>
      </w:r>
      <w:bookmarkStart w:name="_GoBack" w:id="0"/>
      <w:bookmarkEnd w:id="0"/>
      <w:r w:rsidRPr="00B2383B" w:rsidR="00CB5481">
        <w:rPr>
          <w:rFonts w:ascii="Arial" w:hAnsi="Arial"/>
          <w:noProof w:val="0"/>
          <w:rtl/>
        </w:rPr>
        <w:t>לא מצאתי כי נפל דופי בהחלטת בית המשפט קמא</w:t>
      </w:r>
      <w:r w:rsidR="006A0CF7">
        <w:rPr>
          <w:rFonts w:hint="cs" w:ascii="Arial" w:hAnsi="Arial"/>
          <w:noProof w:val="0"/>
          <w:rtl/>
        </w:rPr>
        <w:t>,</w:t>
      </w:r>
      <w:r w:rsidRPr="00B2383B" w:rsidR="00CB5481">
        <w:rPr>
          <w:rFonts w:ascii="Arial" w:hAnsi="Arial"/>
          <w:noProof w:val="0"/>
          <w:rtl/>
        </w:rPr>
        <w:t xml:space="preserve"> אשר הור</w:t>
      </w:r>
      <w:r w:rsidRPr="00020501" w:rsidR="00CB5481">
        <w:rPr>
          <w:rFonts w:ascii="Arial" w:hAnsi="Arial"/>
          <w:noProof w:val="0"/>
          <w:rtl/>
        </w:rPr>
        <w:t xml:space="preserve">ה על </w:t>
      </w:r>
      <w:r w:rsidR="006A0CF7">
        <w:rPr>
          <w:rFonts w:hint="cs" w:ascii="Arial" w:hAnsi="Arial"/>
          <w:noProof w:val="0"/>
          <w:rtl/>
        </w:rPr>
        <w:t xml:space="preserve">השבת הרכב לחזקת המשיב, כפי שהיה טרם תפיסתו. </w:t>
      </w:r>
    </w:p>
    <w:p w:rsidR="00045446" w:rsidP="00045446" w:rsidRDefault="00045446">
      <w:pPr>
        <w:spacing w:line="360" w:lineRule="auto"/>
        <w:jc w:val="both"/>
        <w:rPr>
          <w:rFonts w:ascii="Arial" w:hAnsi="Arial"/>
          <w:noProof w:val="0"/>
          <w:rtl/>
        </w:rPr>
      </w:pPr>
    </w:p>
    <w:p w:rsidR="00045446" w:rsidP="00045446" w:rsidRDefault="00045446">
      <w:pPr>
        <w:spacing w:line="360" w:lineRule="auto"/>
        <w:jc w:val="both"/>
        <w:rPr>
          <w:rFonts w:ascii="Arial" w:hAnsi="Arial"/>
          <w:noProof w:val="0"/>
          <w:rtl/>
        </w:rPr>
      </w:pPr>
      <w:r>
        <w:rPr>
          <w:rFonts w:hint="cs" w:ascii="Arial" w:hAnsi="Arial"/>
          <w:noProof w:val="0"/>
          <w:rtl/>
        </w:rPr>
        <w:t xml:space="preserve">בית המשפט קמא ציין כי בידי המשיב טענות וראיות המצביעות על רכישת הרכב בתום לב, לאחר שנבדק הרישום במשרד הרישוי. כלומר ראיות לכאורה להוכחת טענותיו בדבר זכויותיו ברכב </w:t>
      </w:r>
      <w:r>
        <w:rPr>
          <w:rFonts w:ascii="Arial" w:hAnsi="Arial"/>
          <w:noProof w:val="0"/>
          <w:rtl/>
        </w:rPr>
        <w:t>–</w:t>
      </w:r>
      <w:r>
        <w:rPr>
          <w:rFonts w:hint="cs" w:ascii="Arial" w:hAnsi="Arial"/>
          <w:noProof w:val="0"/>
          <w:rtl/>
        </w:rPr>
        <w:t xml:space="preserve"> הוצגו בפני בית המשפט קמא ונמצא כי הוצגה זכות לכאורה על ידי המשיב. </w:t>
      </w:r>
    </w:p>
    <w:p w:rsidR="00CB5481" w:rsidP="005E384E" w:rsidRDefault="00045446">
      <w:pPr>
        <w:spacing w:line="360" w:lineRule="auto"/>
        <w:jc w:val="both"/>
        <w:rPr>
          <w:rFonts w:ascii="Arial" w:hAnsi="Arial"/>
          <w:noProof w:val="0"/>
          <w:rtl/>
        </w:rPr>
      </w:pPr>
      <w:r>
        <w:rPr>
          <w:rFonts w:hint="cs" w:ascii="Arial" w:hAnsi="Arial"/>
          <w:noProof w:val="0"/>
          <w:rtl/>
        </w:rPr>
        <w:t xml:space="preserve">כמו כן, אין חולק כי הרכב היה בחזקתו של המשיב במשך למעלה משנה ועד שנתפס בהתאם לצו אשר ניתן במסגרת תיק ההוצאה לפועל. במצב דברים זה, </w:t>
      </w:r>
      <w:r w:rsidR="005E384E">
        <w:rPr>
          <w:rFonts w:hint="cs" w:ascii="Arial" w:hAnsi="Arial"/>
          <w:noProof w:val="0"/>
          <w:rtl/>
        </w:rPr>
        <w:t>נטילת הרכב והחזקתו כתפוס בוודאי שאינה משרתת את הצדדים ואילו המשך הליכי מכירתו יש בהם כדי לפגוע פגיעה קשה במשיב. מכאן, בצדק קבע בית המשפט קמא כי מאזן הנוחות נוטה אל המשיב ועל מנת למנוע פגיעה במבקש הוסיף וקבע שורה של תנאים.</w:t>
      </w:r>
    </w:p>
    <w:p w:rsidR="00242CE3" w:rsidP="006A0CF7" w:rsidRDefault="00242CE3">
      <w:pPr>
        <w:spacing w:line="360" w:lineRule="auto"/>
        <w:jc w:val="both"/>
        <w:rPr>
          <w:rtl/>
        </w:rPr>
      </w:pPr>
      <w:r w:rsidRPr="00681671">
        <w:rPr>
          <w:rFonts w:hint="eastAsia"/>
          <w:rtl/>
        </w:rPr>
        <w:t>החלטת</w:t>
      </w:r>
      <w:r w:rsidRPr="00681671">
        <w:rPr>
          <w:rtl/>
        </w:rPr>
        <w:t xml:space="preserve"> </w:t>
      </w:r>
      <w:r w:rsidRPr="00681671">
        <w:rPr>
          <w:rFonts w:hint="eastAsia"/>
          <w:rtl/>
        </w:rPr>
        <w:t>בית</w:t>
      </w:r>
      <w:r w:rsidRPr="00681671">
        <w:rPr>
          <w:rtl/>
        </w:rPr>
        <w:t xml:space="preserve"> </w:t>
      </w:r>
      <w:r w:rsidRPr="00681671">
        <w:rPr>
          <w:rFonts w:hint="eastAsia"/>
          <w:rtl/>
        </w:rPr>
        <w:t>המשפט</w:t>
      </w:r>
      <w:r w:rsidRPr="00681671">
        <w:rPr>
          <w:rtl/>
        </w:rPr>
        <w:t xml:space="preserve"> </w:t>
      </w:r>
      <w:r w:rsidRPr="00681671">
        <w:rPr>
          <w:rFonts w:hint="eastAsia"/>
          <w:rtl/>
        </w:rPr>
        <w:t>קמא</w:t>
      </w:r>
      <w:r w:rsidRPr="00681671">
        <w:rPr>
          <w:rtl/>
        </w:rPr>
        <w:t xml:space="preserve"> </w:t>
      </w:r>
      <w:r w:rsidRPr="00681671">
        <w:rPr>
          <w:rFonts w:hint="eastAsia"/>
          <w:rtl/>
        </w:rPr>
        <w:t>מפורטת</w:t>
      </w:r>
      <w:r w:rsidRPr="00681671">
        <w:rPr>
          <w:rtl/>
        </w:rPr>
        <w:t xml:space="preserve"> </w:t>
      </w:r>
      <w:r w:rsidRPr="00681671">
        <w:rPr>
          <w:rFonts w:hint="eastAsia"/>
          <w:rtl/>
        </w:rPr>
        <w:t>ומנומקת</w:t>
      </w:r>
      <w:r w:rsidRPr="00681671">
        <w:rPr>
          <w:rtl/>
        </w:rPr>
        <w:t xml:space="preserve"> </w:t>
      </w:r>
      <w:r w:rsidRPr="00681671">
        <w:rPr>
          <w:rFonts w:hint="eastAsia"/>
          <w:rtl/>
        </w:rPr>
        <w:t>היטב</w:t>
      </w:r>
      <w:r w:rsidR="006A0CF7">
        <w:rPr>
          <w:rFonts w:hint="cs"/>
          <w:rtl/>
        </w:rPr>
        <w:t xml:space="preserve"> ולא מצאתי בה כל דופי. </w:t>
      </w:r>
    </w:p>
    <w:p w:rsidR="006A0CF7" w:rsidP="006A0CF7" w:rsidRDefault="006A0CF7">
      <w:pPr>
        <w:spacing w:line="360" w:lineRule="auto"/>
        <w:jc w:val="both"/>
        <w:rPr>
          <w:rtl/>
        </w:rPr>
      </w:pPr>
    </w:p>
    <w:p w:rsidR="005E384E" w:rsidP="005E384E" w:rsidRDefault="00242CE3">
      <w:pPr>
        <w:spacing w:line="360" w:lineRule="auto"/>
        <w:jc w:val="both"/>
        <w:rPr>
          <w:rFonts w:asciiTheme="minorHAnsi" w:hAnsiTheme="minorHAnsi"/>
          <w:noProof w:val="0"/>
          <w:rtl/>
        </w:rPr>
      </w:pPr>
      <w:r w:rsidRPr="00242CE3">
        <w:rPr>
          <w:rFonts w:hint="eastAsia" w:asciiTheme="minorHAnsi" w:hAnsiTheme="minorHAnsi"/>
          <w:noProof w:val="0"/>
          <w:rtl/>
        </w:rPr>
        <w:t>אשר</w:t>
      </w:r>
      <w:r w:rsidRPr="00242CE3">
        <w:rPr>
          <w:rFonts w:asciiTheme="minorHAnsi" w:hAnsiTheme="minorHAnsi"/>
          <w:noProof w:val="0"/>
          <w:rtl/>
        </w:rPr>
        <w:t xml:space="preserve"> </w:t>
      </w:r>
      <w:r w:rsidRPr="00242CE3">
        <w:rPr>
          <w:rFonts w:hint="eastAsia" w:asciiTheme="minorHAnsi" w:hAnsiTheme="minorHAnsi"/>
          <w:noProof w:val="0"/>
          <w:rtl/>
        </w:rPr>
        <w:t>על</w:t>
      </w:r>
      <w:r w:rsidRPr="00242CE3">
        <w:rPr>
          <w:rFonts w:asciiTheme="minorHAnsi" w:hAnsiTheme="minorHAnsi"/>
          <w:noProof w:val="0"/>
          <w:rtl/>
        </w:rPr>
        <w:t xml:space="preserve"> </w:t>
      </w:r>
      <w:r w:rsidRPr="00242CE3">
        <w:rPr>
          <w:rFonts w:hint="eastAsia" w:asciiTheme="minorHAnsi" w:hAnsiTheme="minorHAnsi"/>
          <w:noProof w:val="0"/>
          <w:rtl/>
        </w:rPr>
        <w:t>כן</w:t>
      </w:r>
      <w:r w:rsidRPr="00242CE3">
        <w:rPr>
          <w:rFonts w:asciiTheme="minorHAnsi" w:hAnsiTheme="minorHAnsi"/>
          <w:noProof w:val="0"/>
          <w:rtl/>
        </w:rPr>
        <w:t xml:space="preserve"> </w:t>
      </w:r>
      <w:r w:rsidRPr="00242CE3">
        <w:rPr>
          <w:rFonts w:hint="eastAsia" w:asciiTheme="minorHAnsi" w:hAnsiTheme="minorHAnsi"/>
          <w:noProof w:val="0"/>
          <w:rtl/>
        </w:rPr>
        <w:t>הנני</w:t>
      </w:r>
      <w:r w:rsidRPr="00242CE3">
        <w:rPr>
          <w:rFonts w:asciiTheme="minorHAnsi" w:hAnsiTheme="minorHAnsi"/>
          <w:noProof w:val="0"/>
          <w:rtl/>
        </w:rPr>
        <w:t xml:space="preserve"> </w:t>
      </w:r>
      <w:r w:rsidR="005E384E">
        <w:rPr>
          <w:rFonts w:hint="cs" w:asciiTheme="minorHAnsi" w:hAnsiTheme="minorHAnsi"/>
          <w:noProof w:val="0"/>
          <w:rtl/>
        </w:rPr>
        <w:t xml:space="preserve">מורה על דחיית </w:t>
      </w:r>
      <w:r w:rsidRPr="00242CE3">
        <w:rPr>
          <w:rFonts w:hint="eastAsia" w:asciiTheme="minorHAnsi" w:hAnsiTheme="minorHAnsi"/>
          <w:noProof w:val="0"/>
          <w:rtl/>
        </w:rPr>
        <w:t>הבקשה</w:t>
      </w:r>
      <w:r w:rsidRPr="00242CE3">
        <w:rPr>
          <w:rFonts w:asciiTheme="minorHAnsi" w:hAnsiTheme="minorHAnsi"/>
          <w:noProof w:val="0"/>
          <w:rtl/>
        </w:rPr>
        <w:t xml:space="preserve">. </w:t>
      </w:r>
    </w:p>
    <w:p w:rsidRPr="00242CE3" w:rsidR="00242CE3" w:rsidP="005E384E" w:rsidRDefault="00242CE3">
      <w:pPr>
        <w:spacing w:line="360" w:lineRule="auto"/>
        <w:jc w:val="both"/>
        <w:rPr>
          <w:rFonts w:asciiTheme="minorHAnsi" w:hAnsiTheme="minorHAnsi"/>
          <w:noProof w:val="0"/>
          <w:rtl/>
        </w:rPr>
      </w:pPr>
      <w:r w:rsidRPr="00242CE3">
        <w:rPr>
          <w:rFonts w:hint="eastAsia" w:asciiTheme="minorHAnsi" w:hAnsiTheme="minorHAnsi"/>
          <w:noProof w:val="0"/>
          <w:rtl/>
        </w:rPr>
        <w:t>משלא</w:t>
      </w:r>
      <w:r w:rsidRPr="00242CE3">
        <w:rPr>
          <w:rFonts w:asciiTheme="minorHAnsi" w:hAnsiTheme="minorHAnsi"/>
          <w:noProof w:val="0"/>
          <w:rtl/>
        </w:rPr>
        <w:t xml:space="preserve"> </w:t>
      </w:r>
      <w:r w:rsidRPr="00242CE3">
        <w:rPr>
          <w:rFonts w:hint="eastAsia" w:asciiTheme="minorHAnsi" w:hAnsiTheme="minorHAnsi"/>
          <w:noProof w:val="0"/>
          <w:rtl/>
        </w:rPr>
        <w:t>נתבקשה</w:t>
      </w:r>
      <w:r w:rsidRPr="00242CE3">
        <w:rPr>
          <w:rFonts w:asciiTheme="minorHAnsi" w:hAnsiTheme="minorHAnsi"/>
          <w:noProof w:val="0"/>
          <w:rtl/>
        </w:rPr>
        <w:t xml:space="preserve"> </w:t>
      </w:r>
      <w:r w:rsidRPr="00242CE3">
        <w:rPr>
          <w:rFonts w:hint="eastAsia" w:asciiTheme="minorHAnsi" w:hAnsiTheme="minorHAnsi"/>
          <w:noProof w:val="0"/>
          <w:rtl/>
        </w:rPr>
        <w:t>תגובת</w:t>
      </w:r>
      <w:r w:rsidRPr="00242CE3">
        <w:rPr>
          <w:rFonts w:asciiTheme="minorHAnsi" w:hAnsiTheme="minorHAnsi"/>
          <w:noProof w:val="0"/>
          <w:rtl/>
        </w:rPr>
        <w:t xml:space="preserve"> </w:t>
      </w:r>
      <w:r w:rsidR="005E384E">
        <w:rPr>
          <w:rFonts w:hint="eastAsia" w:asciiTheme="minorHAnsi" w:hAnsiTheme="minorHAnsi"/>
          <w:noProof w:val="0"/>
          <w:rtl/>
        </w:rPr>
        <w:t>המשיב</w:t>
      </w:r>
      <w:r w:rsidRPr="00242CE3">
        <w:rPr>
          <w:rFonts w:asciiTheme="minorHAnsi" w:hAnsiTheme="minorHAnsi"/>
          <w:noProof w:val="0"/>
          <w:rtl/>
        </w:rPr>
        <w:t xml:space="preserve"> </w:t>
      </w:r>
      <w:r w:rsidRPr="00242CE3">
        <w:rPr>
          <w:rFonts w:hint="eastAsia" w:asciiTheme="minorHAnsi" w:hAnsiTheme="minorHAnsi"/>
          <w:noProof w:val="0"/>
          <w:rtl/>
        </w:rPr>
        <w:t>לא</w:t>
      </w:r>
      <w:r w:rsidRPr="00242CE3">
        <w:rPr>
          <w:rFonts w:asciiTheme="minorHAnsi" w:hAnsiTheme="minorHAnsi"/>
          <w:noProof w:val="0"/>
          <w:rtl/>
        </w:rPr>
        <w:t xml:space="preserve"> </w:t>
      </w:r>
      <w:r w:rsidRPr="00242CE3">
        <w:rPr>
          <w:rFonts w:hint="eastAsia" w:asciiTheme="minorHAnsi" w:hAnsiTheme="minorHAnsi"/>
          <w:noProof w:val="0"/>
          <w:rtl/>
        </w:rPr>
        <w:t>אתן</w:t>
      </w:r>
      <w:r w:rsidRPr="00242CE3">
        <w:rPr>
          <w:rFonts w:asciiTheme="minorHAnsi" w:hAnsiTheme="minorHAnsi"/>
          <w:noProof w:val="0"/>
          <w:rtl/>
        </w:rPr>
        <w:t xml:space="preserve"> </w:t>
      </w:r>
      <w:r w:rsidRPr="00242CE3">
        <w:rPr>
          <w:rFonts w:hint="eastAsia" w:asciiTheme="minorHAnsi" w:hAnsiTheme="minorHAnsi"/>
          <w:noProof w:val="0"/>
          <w:rtl/>
        </w:rPr>
        <w:t>צו</w:t>
      </w:r>
      <w:r w:rsidRPr="00242CE3">
        <w:rPr>
          <w:rFonts w:asciiTheme="minorHAnsi" w:hAnsiTheme="minorHAnsi"/>
          <w:noProof w:val="0"/>
          <w:rtl/>
        </w:rPr>
        <w:t xml:space="preserve"> </w:t>
      </w:r>
      <w:r w:rsidRPr="00242CE3">
        <w:rPr>
          <w:rFonts w:hint="eastAsia" w:asciiTheme="minorHAnsi" w:hAnsiTheme="minorHAnsi"/>
          <w:noProof w:val="0"/>
          <w:rtl/>
        </w:rPr>
        <w:t>להוצאות</w:t>
      </w:r>
      <w:r w:rsidRPr="00242CE3">
        <w:rPr>
          <w:rFonts w:asciiTheme="minorHAnsi" w:hAnsiTheme="minorHAnsi"/>
          <w:noProof w:val="0"/>
          <w:rtl/>
        </w:rPr>
        <w:t>.</w:t>
      </w:r>
    </w:p>
    <w:p w:rsidR="00242CE3" w:rsidP="00242CE3" w:rsidRDefault="00242CE3">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357FC7">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47800" cy="952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18ba0247f8f4391" cstate="print">
                            <a:extLst>
                              <a:ext uri="{28A0092B-C50C-407E-A947-70E740481C1C}"/>
                            </a:extLst>
                          </a:blip>
                          <a:stretch>
                            <a:fillRect/>
                          </a:stretch>
                        </pic:blipFill>
                        <pic:spPr>
                          <a:xfrm>
                            <a:off x="0" y="0"/>
                            <a:ext cx="1447800" cy="952499"/>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altName w:val="Times New Roman"/>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57FC7">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57FC7">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57FC7">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בנצרת בשבתו כבית-משפט לערעורים אזרחיים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357FC7">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רע"א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15206-04-18</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סאלח נ' גלאמין</w:t>
              </w:r>
            </w:sdtContent>
          </w:sdt>
        </w:p>
        <w:p w:rsidRPr="00957C90" w:rsidR="00957C90" w:rsidP="00445238" w:rsidRDefault="00357FC7">
          <w:pPr>
            <w:rPr>
              <w:b/>
              <w:bCs/>
              <w:noProof w:val="0"/>
              <w:sz w:val="26"/>
              <w:szCs w:val="26"/>
              <w:rtl/>
            </w:rPr>
          </w:pPr>
          <w:sdt>
            <w:sdtPr>
              <w:rPr>
                <w:rFonts w:hint="cs"/>
                <w:sz w:val="20"/>
                <w:szCs w:val="20"/>
                <w:rtl/>
              </w:rPr>
              <w:alias w:val="1572"/>
              <w:tag w:val="1572"/>
              <w:id w:val="940805582"/>
              <w:showingPlcHdr/>
              <w:text w:multiLine="1"/>
            </w:sdtPr>
            <w:sdtEndPr/>
            <w:sdtContent>
              <w:r w:rsidR="00445238">
                <w:rPr>
                  <w:sz w:val="20"/>
                  <w:szCs w:val="20"/>
                  <w:rtl/>
                </w:rPr>
                <w:t xml:space="preserve">     </w:t>
              </w:r>
            </w:sdtContent>
          </w:sdt>
        </w:p>
      </w:tc>
    </w:tr>
  </w:tbl>
  <w:p w:rsidR="00694556" w:rsidRDefault="00694556">
    <w:pPr>
      <w:pStyle w:val="a3"/>
      <w:rPr>
        <w:noProof w:val="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30113"/>
    <w:rsid w:val="000442B9"/>
    <w:rsid w:val="00045446"/>
    <w:rsid w:val="000564AB"/>
    <w:rsid w:val="000D4A02"/>
    <w:rsid w:val="000F382F"/>
    <w:rsid w:val="001072A9"/>
    <w:rsid w:val="00121F97"/>
    <w:rsid w:val="001277D7"/>
    <w:rsid w:val="00132017"/>
    <w:rsid w:val="00140DB5"/>
    <w:rsid w:val="0014234E"/>
    <w:rsid w:val="00145A87"/>
    <w:rsid w:val="00151FE7"/>
    <w:rsid w:val="001C4003"/>
    <w:rsid w:val="001F283F"/>
    <w:rsid w:val="001F5474"/>
    <w:rsid w:val="002243A5"/>
    <w:rsid w:val="002352F7"/>
    <w:rsid w:val="00242CE3"/>
    <w:rsid w:val="00303901"/>
    <w:rsid w:val="00357FC7"/>
    <w:rsid w:val="0037130D"/>
    <w:rsid w:val="00381D3A"/>
    <w:rsid w:val="003823DA"/>
    <w:rsid w:val="003A0EA8"/>
    <w:rsid w:val="003B5564"/>
    <w:rsid w:val="0043595F"/>
    <w:rsid w:val="00445238"/>
    <w:rsid w:val="00464A20"/>
    <w:rsid w:val="0047645A"/>
    <w:rsid w:val="004C6215"/>
    <w:rsid w:val="004D49A3"/>
    <w:rsid w:val="004E6E3C"/>
    <w:rsid w:val="005124F1"/>
    <w:rsid w:val="0051575C"/>
    <w:rsid w:val="00530BAD"/>
    <w:rsid w:val="00541598"/>
    <w:rsid w:val="00547DB7"/>
    <w:rsid w:val="00567324"/>
    <w:rsid w:val="00573779"/>
    <w:rsid w:val="00597890"/>
    <w:rsid w:val="005B0F49"/>
    <w:rsid w:val="005B1347"/>
    <w:rsid w:val="005C7EC6"/>
    <w:rsid w:val="005D4BDB"/>
    <w:rsid w:val="005E384E"/>
    <w:rsid w:val="005E7EEB"/>
    <w:rsid w:val="005F0F5A"/>
    <w:rsid w:val="005F45D6"/>
    <w:rsid w:val="0061048D"/>
    <w:rsid w:val="00622BAA"/>
    <w:rsid w:val="00625C89"/>
    <w:rsid w:val="00633C4F"/>
    <w:rsid w:val="0065037F"/>
    <w:rsid w:val="00671BD5"/>
    <w:rsid w:val="006805C1"/>
    <w:rsid w:val="006816EC"/>
    <w:rsid w:val="00694556"/>
    <w:rsid w:val="006A0CF7"/>
    <w:rsid w:val="006E1A53"/>
    <w:rsid w:val="006F1A70"/>
    <w:rsid w:val="007056AA"/>
    <w:rsid w:val="00734452"/>
    <w:rsid w:val="00744F41"/>
    <w:rsid w:val="007A24FE"/>
    <w:rsid w:val="007A35AA"/>
    <w:rsid w:val="007C62E2"/>
    <w:rsid w:val="007D3C62"/>
    <w:rsid w:val="007F1048"/>
    <w:rsid w:val="00820005"/>
    <w:rsid w:val="008240A3"/>
    <w:rsid w:val="00826B1B"/>
    <w:rsid w:val="00834F9B"/>
    <w:rsid w:val="00846D27"/>
    <w:rsid w:val="008610A7"/>
    <w:rsid w:val="00861E21"/>
    <w:rsid w:val="00873303"/>
    <w:rsid w:val="008E1332"/>
    <w:rsid w:val="00903896"/>
    <w:rsid w:val="00927813"/>
    <w:rsid w:val="00944D13"/>
    <w:rsid w:val="00947DC4"/>
    <w:rsid w:val="00957C90"/>
    <w:rsid w:val="009D05E1"/>
    <w:rsid w:val="009D3F09"/>
    <w:rsid w:val="009D7745"/>
    <w:rsid w:val="009E0263"/>
    <w:rsid w:val="00A07AEB"/>
    <w:rsid w:val="00A267CF"/>
    <w:rsid w:val="00A333E4"/>
    <w:rsid w:val="00A43458"/>
    <w:rsid w:val="00A62572"/>
    <w:rsid w:val="00A70D53"/>
    <w:rsid w:val="00AA4E5C"/>
    <w:rsid w:val="00AA671B"/>
    <w:rsid w:val="00AB1453"/>
    <w:rsid w:val="00AC4E19"/>
    <w:rsid w:val="00AD58FB"/>
    <w:rsid w:val="00AF1ED6"/>
    <w:rsid w:val="00B028BF"/>
    <w:rsid w:val="00B32C61"/>
    <w:rsid w:val="00B3656B"/>
    <w:rsid w:val="00B368FE"/>
    <w:rsid w:val="00B6089A"/>
    <w:rsid w:val="00B80CBD"/>
    <w:rsid w:val="00BC0556"/>
    <w:rsid w:val="00BC3369"/>
    <w:rsid w:val="00BF77EE"/>
    <w:rsid w:val="00C14011"/>
    <w:rsid w:val="00C32E0F"/>
    <w:rsid w:val="00C42BF9"/>
    <w:rsid w:val="00C83E56"/>
    <w:rsid w:val="00CA581F"/>
    <w:rsid w:val="00CB5481"/>
    <w:rsid w:val="00CE7131"/>
    <w:rsid w:val="00D24BC9"/>
    <w:rsid w:val="00D319B3"/>
    <w:rsid w:val="00D36A71"/>
    <w:rsid w:val="00D53924"/>
    <w:rsid w:val="00D553BF"/>
    <w:rsid w:val="00D60849"/>
    <w:rsid w:val="00D96D8C"/>
    <w:rsid w:val="00DA755B"/>
    <w:rsid w:val="00DD337E"/>
    <w:rsid w:val="00DE6498"/>
    <w:rsid w:val="00E00B6F"/>
    <w:rsid w:val="00E3157B"/>
    <w:rsid w:val="00E54642"/>
    <w:rsid w:val="00E54EF9"/>
    <w:rsid w:val="00E73AD6"/>
    <w:rsid w:val="00E97908"/>
    <w:rsid w:val="00EB2728"/>
    <w:rsid w:val="00EC4F42"/>
    <w:rsid w:val="00ED5F03"/>
    <w:rsid w:val="00EF3ED0"/>
    <w:rsid w:val="00F17E56"/>
    <w:rsid w:val="00F30CD1"/>
    <w:rsid w:val="00F65E76"/>
    <w:rsid w:val="00F966D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00668C31"/>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styleId="Hyperlink">
    <w:name w:val="Hyperlink"/>
    <w:basedOn w:val="a0"/>
    <w:uiPriority w:val="99"/>
    <w:unhideWhenUsed/>
    <w:rsid w:val="001F283F"/>
    <w:rPr>
      <w:rFonts w:cs="Times New Roman"/>
      <w:color w:val="0000FF" w:themeColor="hyperlink"/>
      <w:u w:val="single"/>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c18ba0247f8f439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altName w:val="Times New Roman"/>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3E1FF1"/>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706</Words>
  <Characters>3534</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רננה גלפז מוקדי</cp:lastModifiedBy>
  <cp:revision>106</cp:revision>
  <dcterms:created xsi:type="dcterms:W3CDTF">2012-08-05T21:29:00Z</dcterms:created>
  <dcterms:modified xsi:type="dcterms:W3CDTF">2018-04-12T16:47:00Z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