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7874A9" w:rsidR="00694556">
        <w:trPr>
          <w:trHeight w:val="295"/>
          <w:jc w:val="center"/>
        </w:trPr>
        <w:tc>
          <w:tcPr>
            <w:tcW w:w="5049" w:type="dxa"/>
            <w:gridSpan w:val="2"/>
          </w:tcPr>
          <w:p w:rsidRPr="007874A9" w:rsidR="00694556" w:rsidP="00B10DA3" w:rsidRDefault="000F7B2A">
            <w:pPr>
              <w:rPr>
                <w:rFonts w:ascii="Arial" w:hAnsi="Arial"/>
                <w:b/>
                <w:bCs/>
                <w:sz w:val="28"/>
                <w:szCs w:val="28"/>
                <w:rtl/>
              </w:rPr>
            </w:pPr>
            <w:r w:rsidRPr="007874A9">
              <w:rPr>
                <w:rFonts w:hint="cs" w:ascii="Arial" w:hAnsi="Arial"/>
                <w:b/>
                <w:bCs/>
                <w:sz w:val="28"/>
                <w:szCs w:val="28"/>
                <w:rtl/>
              </w:rPr>
              <w:t>ל</w:t>
            </w:r>
            <w:r w:rsidRPr="007874A9">
              <w:rPr>
                <w:rFonts w:ascii="Arial" w:hAnsi="Arial"/>
                <w:b/>
                <w:bCs/>
                <w:sz w:val="28"/>
                <w:szCs w:val="28"/>
                <w:rtl/>
              </w:rPr>
              <w:t>פני</w:t>
            </w:r>
            <w:r w:rsidRPr="007874A9">
              <w:rPr>
                <w:rFonts w:hint="cs" w:ascii="Arial" w:hAnsi="Arial"/>
                <w:b/>
                <w:bCs/>
                <w:sz w:val="28"/>
                <w:szCs w:val="28"/>
                <w:rtl/>
              </w:rPr>
              <w:t>:</w:t>
            </w:r>
          </w:p>
        </w:tc>
        <w:tc>
          <w:tcPr>
            <w:tcW w:w="3771" w:type="dxa"/>
          </w:tcPr>
          <w:p w:rsidRPr="007874A9" w:rsidR="00694556" w:rsidP="00B10DA3" w:rsidRDefault="00694556">
            <w:pPr>
              <w:jc w:val="right"/>
              <w:rPr>
                <w:rFonts w:ascii="Arial" w:hAnsi="Arial"/>
                <w:b/>
                <w:bCs/>
                <w:sz w:val="28"/>
                <w:szCs w:val="28"/>
                <w:rtl/>
              </w:rPr>
            </w:pPr>
          </w:p>
        </w:tc>
      </w:tr>
      <w:tr w:rsidRPr="007874A9" w:rsidR="000F7B2A" w:rsidTr="00FA7D7E">
        <w:trPr>
          <w:jc w:val="center"/>
        </w:trPr>
        <w:tc>
          <w:tcPr>
            <w:tcW w:w="8820" w:type="dxa"/>
            <w:gridSpan w:val="3"/>
          </w:tcPr>
          <w:p w:rsidRPr="007874A9" w:rsidR="000F7B2A" w:rsidP="00B10DA3" w:rsidRDefault="0086697F">
            <w:pPr>
              <w:spacing w:line="360" w:lineRule="auto"/>
              <w:rPr>
                <w:sz w:val="28"/>
                <w:szCs w:val="28"/>
                <w:rtl/>
              </w:rPr>
            </w:pPr>
            <w:r>
              <w:rPr>
                <w:rFonts w:hint="cs" w:ascii="Arial" w:hAnsi="Arial"/>
                <w:b/>
                <w:bCs/>
                <w:sz w:val="28"/>
                <w:szCs w:val="28"/>
                <w:rtl/>
              </w:rPr>
              <w:t>כב' ה</w:t>
            </w:r>
            <w:sdt>
              <w:sdtPr>
                <w:rPr>
                  <w:rFonts w:ascii="Arial" w:hAnsi="Arial"/>
                  <w:b/>
                  <w:bCs/>
                  <w:sz w:val="28"/>
                  <w:szCs w:val="28"/>
                  <w:rtl/>
                </w:rPr>
                <w:alias w:val="1574"/>
                <w:tag w:val="1574"/>
                <w:id w:val="-75055547"/>
                <w:placeholder>
                  <w:docPart w:val="DefaultPlaceholder_1082065158"/>
                </w:placeholder>
                <w:text w:multiLine="1"/>
              </w:sdtPr>
              <w:sdtEndPr>
                <w:rPr>
                  <w:rFonts w:hint="cs"/>
                </w:rPr>
              </w:sdtEndPr>
              <w:sdtContent>
                <w:r>
                  <w:rPr>
                    <w:rFonts w:ascii="Arial" w:hAnsi="Arial"/>
                    <w:b/>
                    <w:bCs/>
                    <w:sz w:val="28"/>
                    <w:szCs w:val="28"/>
                    <w:rtl/>
                  </w:rPr>
                  <w:t>שופטת</w:t>
                </w:r>
              </w:sdtContent>
            </w:sdt>
            <w:r w:rsidRPr="007874A9" w:rsidR="000F7B2A">
              <w:rPr>
                <w:rFonts w:hint="cs" w:ascii="Arial" w:hAnsi="Arial"/>
                <w:b/>
                <w:bCs/>
                <w:sz w:val="28"/>
                <w:szCs w:val="28"/>
                <w:rtl/>
              </w:rPr>
              <w:t xml:space="preserve">  </w:t>
            </w:r>
            <w:sdt>
              <w:sdtPr>
                <w:rPr>
                  <w:rFonts w:ascii="Arial" w:hAnsi="Arial"/>
                  <w:b/>
                  <w:bCs/>
                  <w:sz w:val="28"/>
                  <w:szCs w:val="28"/>
                  <w:rtl/>
                </w:rPr>
                <w:alias w:val="1573"/>
                <w:tag w:val="1573"/>
                <w:id w:val="796337752"/>
                <w:placeholder>
                  <w:docPart w:val="DefaultPlaceholder_1082065158"/>
                </w:placeholder>
                <w:text w:multiLine="1"/>
              </w:sdtPr>
              <w:sdtEndPr/>
              <w:sdtContent>
                <w:r>
                  <w:rPr>
                    <w:rFonts w:ascii="Arial" w:hAnsi="Arial"/>
                    <w:b/>
                    <w:bCs/>
                    <w:sz w:val="28"/>
                    <w:szCs w:val="28"/>
                    <w:rtl/>
                  </w:rPr>
                  <w:t>אורית יעקבס</w:t>
                </w:r>
              </w:sdtContent>
            </w:sdt>
            <w:r w:rsidR="00E90326">
              <w:rPr>
                <w:rFonts w:ascii="Arial" w:hAnsi="Arial"/>
                <w:b/>
                <w:bCs/>
                <w:sz w:val="28"/>
                <w:szCs w:val="28"/>
                <w:rtl/>
              </w:rPr>
              <w:t xml:space="preserve">  </w:t>
            </w:r>
          </w:p>
          <w:p w:rsidRPr="007874A9" w:rsidR="000F7B2A" w:rsidP="000A22A7" w:rsidRDefault="000F7B2A">
            <w:pPr>
              <w:spacing w:line="360" w:lineRule="auto"/>
              <w:rPr>
                <w:rFonts w:ascii="Arial" w:hAnsi="Arial" w:cs="FrankRuehl"/>
                <w:sz w:val="28"/>
                <w:szCs w:val="28"/>
                <w:highlight w:val="yellow"/>
              </w:rPr>
            </w:pPr>
          </w:p>
        </w:tc>
      </w:tr>
      <w:tr w:rsidRPr="007874A9" w:rsidR="00694556">
        <w:trPr>
          <w:jc w:val="center"/>
        </w:trPr>
        <w:tc>
          <w:tcPr>
            <w:tcW w:w="3249" w:type="dxa"/>
          </w:tcPr>
          <w:p w:rsidRPr="007874A9" w:rsidR="00694556" w:rsidP="000A22A7" w:rsidRDefault="000F7B2A">
            <w:pPr>
              <w:rPr>
                <w:rFonts w:ascii="Arial" w:hAnsi="Arial"/>
                <w:b/>
                <w:bCs/>
                <w:sz w:val="28"/>
                <w:szCs w:val="28"/>
                <w:u w:val="single"/>
                <w:rtl/>
              </w:rPr>
            </w:pPr>
            <w:r w:rsidRPr="007874A9">
              <w:rPr>
                <w:rFonts w:hint="cs"/>
                <w:b/>
                <w:bCs/>
                <w:sz w:val="28"/>
                <w:szCs w:val="28"/>
                <w:u w:val="single"/>
                <w:rtl/>
              </w:rPr>
              <w:t>ה</w:t>
            </w:r>
            <w:sdt>
              <w:sdtPr>
                <w:rPr>
                  <w:rFonts w:ascii="Arial" w:hAnsi="Arial"/>
                  <w:b/>
                  <w:bCs/>
                  <w:sz w:val="28"/>
                  <w:szCs w:val="28"/>
                  <w:u w:val="single"/>
                  <w:rtl/>
                </w:rPr>
                <w:alias w:val="1182"/>
                <w:tag w:val="1182"/>
                <w:id w:val="963229510"/>
                <w:placeholder>
                  <w:docPart w:val="1677DBF1868F4ABFAD3D8A35B0EB18F8"/>
                </w:placeholder>
                <w:text w:multiLine="1"/>
              </w:sdtPr>
              <w:sdtEndPr/>
              <w:sdtContent>
                <w:r>
                  <w:rPr>
                    <w:b/>
                    <w:bCs/>
                    <w:sz w:val="28"/>
                    <w:szCs w:val="28"/>
                    <w:u w:val="single"/>
                    <w:rtl/>
                  </w:rPr>
                  <w:t>מ</w:t>
                </w:r>
                <w:r w:rsidR="000A22A7">
                  <w:rPr>
                    <w:rFonts w:hint="cs"/>
                    <w:b/>
                    <w:bCs/>
                    <w:sz w:val="28"/>
                    <w:szCs w:val="28"/>
                    <w:u w:val="single"/>
                    <w:rtl/>
                  </w:rPr>
                  <w:t>ערערת</w:t>
                </w:r>
              </w:sdtContent>
            </w:sdt>
            <w:r w:rsidR="00E90326">
              <w:rPr>
                <w:rFonts w:ascii="Arial" w:hAnsi="Arial"/>
                <w:b/>
                <w:bCs/>
                <w:sz w:val="28"/>
                <w:szCs w:val="28"/>
                <w:u w:val="single"/>
                <w:rtl/>
              </w:rPr>
              <w:t xml:space="preserve"> </w:t>
            </w:r>
            <w:r w:rsidR="002C5F73">
              <w:rPr>
                <w:rFonts w:ascii="Arial" w:hAnsi="Arial"/>
                <w:b/>
                <w:bCs/>
                <w:sz w:val="28"/>
                <w:szCs w:val="28"/>
                <w:u w:val="single"/>
                <w:rtl/>
              </w:rPr>
              <w:t xml:space="preserve"> </w:t>
            </w:r>
          </w:p>
        </w:tc>
        <w:tc>
          <w:tcPr>
            <w:tcW w:w="5571" w:type="dxa"/>
            <w:gridSpan w:val="2"/>
          </w:tcPr>
          <w:p w:rsidRPr="007874A9" w:rsidR="00694556" w:rsidP="00B10DA3" w:rsidRDefault="00F628F8">
            <w:pPr>
              <w:rPr>
                <w:sz w:val="28"/>
                <w:szCs w:val="28"/>
                <w:rtl/>
              </w:rPr>
            </w:pPr>
            <w:sdt>
              <w:sdtPr>
                <w:rPr>
                  <w:rFonts w:ascii="Arial" w:hAnsi="Arial"/>
                  <w:b/>
                  <w:bCs/>
                  <w:sz w:val="28"/>
                  <w:szCs w:val="28"/>
                  <w:rtl/>
                </w:rPr>
                <w:alias w:val="1478"/>
                <w:tag w:val="1478"/>
                <w:id w:val="-1699992994"/>
                <w:placeholder>
                  <w:docPart w:val="DefaultPlaceholder_1082065158"/>
                </w:placeholder>
                <w:text w:multiLine="1"/>
              </w:sdtPr>
              <w:sdtEndPr/>
              <w:sdtContent>
                <w:r w:rsidR="007B26B0">
                  <w:rPr>
                    <w:rFonts w:ascii="Arial" w:hAnsi="Arial"/>
                    <w:b/>
                    <w:bCs/>
                    <w:sz w:val="28"/>
                    <w:szCs w:val="28"/>
                    <w:rtl/>
                  </w:rPr>
                  <w:t xml:space="preserve">מאיה </w:t>
                </w:r>
                <w:r w:rsidR="000A22A7">
                  <w:rPr>
                    <w:rFonts w:hint="cs" w:ascii="Arial" w:hAnsi="Arial"/>
                    <w:b/>
                    <w:bCs/>
                    <w:sz w:val="28"/>
                    <w:szCs w:val="28"/>
                    <w:rtl/>
                  </w:rPr>
                  <w:t xml:space="preserve">מרדכי </w:t>
                </w:r>
                <w:r w:rsidR="007B26B0">
                  <w:rPr>
                    <w:rFonts w:ascii="Arial" w:hAnsi="Arial"/>
                    <w:b/>
                    <w:bCs/>
                    <w:sz w:val="28"/>
                    <w:szCs w:val="28"/>
                    <w:rtl/>
                  </w:rPr>
                  <w:t>כהן</w:t>
                </w:r>
              </w:sdtContent>
            </w:sdt>
            <w:r w:rsidR="00E90326">
              <w:rPr>
                <w:rFonts w:ascii="Arial" w:hAnsi="Arial"/>
                <w:b/>
                <w:bCs/>
                <w:sz w:val="28"/>
                <w:szCs w:val="28"/>
                <w:rtl/>
              </w:rPr>
              <w:t xml:space="preserve">  </w:t>
            </w:r>
          </w:p>
          <w:p w:rsidRPr="007874A9" w:rsidR="00062180" w:rsidP="000A22A7" w:rsidRDefault="00062180">
            <w:pPr>
              <w:rPr>
                <w:b/>
                <w:bCs/>
                <w:sz w:val="28"/>
                <w:szCs w:val="28"/>
              </w:rPr>
            </w:pPr>
            <w:r w:rsidRPr="007874A9">
              <w:rPr>
                <w:rFonts w:hint="cs"/>
                <w:b/>
                <w:bCs/>
                <w:sz w:val="28"/>
                <w:szCs w:val="28"/>
                <w:rtl/>
              </w:rPr>
              <w:t>ע"י ב"כ עו"ד</w:t>
            </w:r>
            <w:r w:rsidR="000A22A7">
              <w:rPr>
                <w:rFonts w:hint="cs"/>
                <w:b/>
                <w:bCs/>
                <w:sz w:val="28"/>
                <w:szCs w:val="28"/>
                <w:rtl/>
              </w:rPr>
              <w:t xml:space="preserve"> אבנר אמוראי</w:t>
            </w:r>
          </w:p>
        </w:tc>
      </w:tr>
      <w:tr w:rsidRPr="007874A9" w:rsidR="00694556">
        <w:trPr>
          <w:jc w:val="center"/>
        </w:trPr>
        <w:tc>
          <w:tcPr>
            <w:tcW w:w="8820" w:type="dxa"/>
            <w:gridSpan w:val="3"/>
          </w:tcPr>
          <w:p w:rsidRPr="007874A9" w:rsidR="00694556" w:rsidP="00B10DA3" w:rsidRDefault="00694556">
            <w:pPr>
              <w:rPr>
                <w:rFonts w:ascii="Arial" w:hAnsi="Arial"/>
                <w:b/>
                <w:bCs/>
                <w:sz w:val="28"/>
                <w:szCs w:val="28"/>
                <w:rtl/>
              </w:rPr>
            </w:pPr>
          </w:p>
          <w:p w:rsidRPr="007874A9" w:rsidR="00694556" w:rsidP="00B10DA3" w:rsidRDefault="000F7B2A">
            <w:pPr>
              <w:jc w:val="center"/>
              <w:rPr>
                <w:rFonts w:ascii="Arial" w:hAnsi="Arial"/>
                <w:b/>
                <w:bCs/>
                <w:sz w:val="28"/>
                <w:szCs w:val="28"/>
                <w:rtl/>
              </w:rPr>
            </w:pPr>
            <w:r w:rsidRPr="007874A9">
              <w:rPr>
                <w:rFonts w:hint="cs" w:ascii="Arial" w:hAnsi="Arial"/>
                <w:b/>
                <w:bCs/>
                <w:sz w:val="28"/>
                <w:szCs w:val="28"/>
                <w:rtl/>
              </w:rPr>
              <w:t>-</w:t>
            </w:r>
          </w:p>
          <w:p w:rsidRPr="007874A9" w:rsidR="00694556" w:rsidP="00B10DA3" w:rsidRDefault="00694556">
            <w:pPr>
              <w:rPr>
                <w:rFonts w:ascii="Arial" w:hAnsi="Arial"/>
                <w:b/>
                <w:bCs/>
                <w:sz w:val="28"/>
                <w:szCs w:val="28"/>
              </w:rPr>
            </w:pPr>
          </w:p>
        </w:tc>
      </w:tr>
      <w:tr w:rsidRPr="007874A9" w:rsidR="00694556">
        <w:trPr>
          <w:jc w:val="center"/>
        </w:trPr>
        <w:tc>
          <w:tcPr>
            <w:tcW w:w="3249" w:type="dxa"/>
          </w:tcPr>
          <w:p w:rsidRPr="007874A9" w:rsidR="00694556" w:rsidP="00B10DA3" w:rsidRDefault="000F7B2A">
            <w:pPr>
              <w:rPr>
                <w:rFonts w:ascii="Arial" w:hAnsi="Arial"/>
                <w:b/>
                <w:bCs/>
                <w:sz w:val="28"/>
                <w:szCs w:val="28"/>
                <w:u w:val="single"/>
              </w:rPr>
            </w:pPr>
            <w:r w:rsidRPr="007874A9">
              <w:rPr>
                <w:rFonts w:hint="cs"/>
                <w:b/>
                <w:bCs/>
                <w:sz w:val="28"/>
                <w:szCs w:val="28"/>
                <w:u w:val="single"/>
                <w:rtl/>
              </w:rPr>
              <w:t>ה</w:t>
            </w:r>
            <w:sdt>
              <w:sdtPr>
                <w:rPr>
                  <w:rFonts w:ascii="Arial" w:hAnsi="Arial"/>
                  <w:b/>
                  <w:bCs/>
                  <w:sz w:val="28"/>
                  <w:szCs w:val="28"/>
                  <w:u w:val="single"/>
                  <w:rtl/>
                </w:rPr>
                <w:alias w:val="1509"/>
                <w:tag w:val="1509"/>
                <w:id w:val="-1497721954"/>
                <w:placeholder>
                  <w:docPart w:val="9CABD75D67B94B49A241CCA2720F740E"/>
                </w:placeholder>
                <w:text w:multiLine="1"/>
              </w:sdtPr>
              <w:sdtEndPr/>
              <w:sdtContent>
                <w:r>
                  <w:rPr>
                    <w:b/>
                    <w:bCs/>
                    <w:sz w:val="28"/>
                    <w:szCs w:val="28"/>
                    <w:u w:val="single"/>
                    <w:rtl/>
                  </w:rPr>
                  <w:t>משיב</w:t>
                </w:r>
              </w:sdtContent>
            </w:sdt>
            <w:r w:rsidR="00E90326">
              <w:rPr>
                <w:rFonts w:ascii="Arial" w:hAnsi="Arial"/>
                <w:b/>
                <w:bCs/>
                <w:sz w:val="28"/>
                <w:szCs w:val="28"/>
                <w:u w:val="single"/>
                <w:rtl/>
              </w:rPr>
              <w:t xml:space="preserve"> </w:t>
            </w:r>
            <w:r w:rsidR="002C5F73">
              <w:rPr>
                <w:rFonts w:ascii="Arial" w:hAnsi="Arial"/>
                <w:b/>
                <w:bCs/>
                <w:sz w:val="28"/>
                <w:szCs w:val="28"/>
                <w:u w:val="single"/>
                <w:rtl/>
              </w:rPr>
              <w:t xml:space="preserve"> </w:t>
            </w:r>
          </w:p>
        </w:tc>
        <w:tc>
          <w:tcPr>
            <w:tcW w:w="5571" w:type="dxa"/>
            <w:gridSpan w:val="2"/>
          </w:tcPr>
          <w:p w:rsidRPr="007874A9" w:rsidR="00694556" w:rsidP="00B10DA3" w:rsidRDefault="00F628F8">
            <w:pPr>
              <w:rPr>
                <w:sz w:val="28"/>
                <w:szCs w:val="28"/>
                <w:rtl/>
              </w:rPr>
            </w:pPr>
            <w:sdt>
              <w:sdtPr>
                <w:rPr>
                  <w:rFonts w:ascii="Arial" w:hAnsi="Arial"/>
                  <w:b/>
                  <w:bCs/>
                  <w:sz w:val="28"/>
                  <w:szCs w:val="28"/>
                  <w:rtl/>
                </w:rPr>
                <w:alias w:val="1486"/>
                <w:tag w:val="1486"/>
                <w:id w:val="-1907981382"/>
                <w:placeholder>
                  <w:docPart w:val="DefaultPlaceholder_1082065158"/>
                </w:placeholder>
                <w:text w:multiLine="1"/>
              </w:sdtPr>
              <w:sdtEndPr/>
              <w:sdtContent>
                <w:r w:rsidR="007B26B0">
                  <w:rPr>
                    <w:rFonts w:ascii="Arial" w:hAnsi="Arial"/>
                    <w:b/>
                    <w:bCs/>
                    <w:sz w:val="28"/>
                    <w:szCs w:val="28"/>
                    <w:rtl/>
                  </w:rPr>
                  <w:t>המוסד לביטוח לאומי</w:t>
                </w:r>
              </w:sdtContent>
            </w:sdt>
            <w:r w:rsidR="00E90326">
              <w:rPr>
                <w:rFonts w:ascii="Arial" w:hAnsi="Arial"/>
                <w:b/>
                <w:bCs/>
                <w:sz w:val="28"/>
                <w:szCs w:val="28"/>
                <w:rtl/>
              </w:rPr>
              <w:t xml:space="preserve">  </w:t>
            </w:r>
          </w:p>
          <w:p w:rsidRPr="007874A9" w:rsidR="00062180" w:rsidP="000A22A7" w:rsidRDefault="00062180">
            <w:pPr>
              <w:rPr>
                <w:b/>
                <w:bCs/>
                <w:sz w:val="28"/>
                <w:szCs w:val="28"/>
                <w:rtl/>
              </w:rPr>
            </w:pPr>
            <w:r w:rsidRPr="007874A9">
              <w:rPr>
                <w:rFonts w:hint="cs"/>
                <w:b/>
                <w:bCs/>
                <w:sz w:val="28"/>
                <w:szCs w:val="28"/>
                <w:rtl/>
              </w:rPr>
              <w:t>ע"י ב"כ עו"ד</w:t>
            </w:r>
            <w:r w:rsidR="000A22A7">
              <w:rPr>
                <w:rFonts w:hint="cs"/>
                <w:b/>
                <w:bCs/>
                <w:sz w:val="28"/>
                <w:szCs w:val="28"/>
                <w:rtl/>
              </w:rPr>
              <w:t xml:space="preserve"> אריק יעקובי</w:t>
            </w:r>
          </w:p>
        </w:tc>
      </w:tr>
    </w:tbl>
    <w:p w:rsidRPr="007874A9" w:rsidR="00694556" w:rsidP="000A22A7" w:rsidRDefault="00694556">
      <w:pPr>
        <w:suppressLineNumbers/>
        <w:rPr>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874A9" w:rsidR="00694556">
        <w:trPr>
          <w:jc w:val="center"/>
        </w:trPr>
        <w:tc>
          <w:tcPr>
            <w:tcW w:w="8820" w:type="dxa"/>
          </w:tcPr>
          <w:p w:rsidRPr="007874A9" w:rsidR="00694556" w:rsidP="00B10DA3" w:rsidRDefault="00005C8B">
            <w:pPr>
              <w:bidi w:val="0"/>
              <w:jc w:val="center"/>
              <w:rPr>
                <w:rFonts w:ascii="Arial" w:hAnsi="Arial"/>
                <w:b/>
                <w:bCs/>
                <w:sz w:val="28"/>
                <w:szCs w:val="28"/>
                <w:u w:val="single"/>
              </w:rPr>
            </w:pPr>
            <w:r w:rsidRPr="007874A9">
              <w:rPr>
                <w:rFonts w:ascii="Arial" w:hAnsi="Arial"/>
                <w:b/>
                <w:bCs/>
                <w:sz w:val="28"/>
                <w:szCs w:val="28"/>
                <w:u w:val="single"/>
                <w:rtl/>
              </w:rPr>
              <w:t>פסק דין</w:t>
            </w:r>
          </w:p>
        </w:tc>
      </w:tr>
    </w:tbl>
    <w:p w:rsidRPr="007874A9" w:rsidR="00694556" w:rsidP="00B10DA3" w:rsidRDefault="00694556">
      <w:pPr>
        <w:spacing w:line="360" w:lineRule="auto"/>
        <w:jc w:val="both"/>
        <w:rPr>
          <w:rFonts w:ascii="Arial" w:hAnsi="Arial"/>
          <w:sz w:val="28"/>
          <w:szCs w:val="28"/>
          <w:rtl/>
        </w:rPr>
      </w:pPr>
    </w:p>
    <w:p w:rsidR="00694556" w:rsidP="000A22A7" w:rsidRDefault="000A22A7">
      <w:pPr>
        <w:spacing w:line="360" w:lineRule="auto"/>
        <w:ind w:left="720" w:hanging="720"/>
        <w:jc w:val="both"/>
        <w:rPr>
          <w:rFonts w:ascii="Arial" w:hAnsi="Arial"/>
          <w:sz w:val="28"/>
          <w:szCs w:val="28"/>
          <w:rtl/>
        </w:rPr>
      </w:pPr>
      <w:r>
        <w:rPr>
          <w:rFonts w:hint="cs" w:ascii="Arial" w:hAnsi="Arial"/>
          <w:sz w:val="28"/>
          <w:szCs w:val="28"/>
          <w:rtl/>
        </w:rPr>
        <w:t>1.</w:t>
      </w:r>
      <w:r>
        <w:rPr>
          <w:rFonts w:hint="cs" w:ascii="Arial" w:hAnsi="Arial"/>
          <w:sz w:val="28"/>
          <w:szCs w:val="28"/>
          <w:rtl/>
        </w:rPr>
        <w:tab/>
        <w:t>לפניי ערעור כנגד החלטת הועדה הרפואית לעררים (נפגעי עבודה) - להלן:</w:t>
      </w:r>
      <w:r>
        <w:rPr>
          <w:rFonts w:hint="cs" w:ascii="Arial" w:hAnsi="Arial"/>
          <w:b/>
          <w:bCs/>
          <w:sz w:val="28"/>
          <w:szCs w:val="28"/>
          <w:rtl/>
        </w:rPr>
        <w:t>"</w:t>
      </w:r>
      <w:r w:rsidRPr="000A22A7">
        <w:rPr>
          <w:rFonts w:hint="cs" w:ascii="Arial" w:hAnsi="Arial"/>
          <w:b/>
          <w:bCs/>
          <w:sz w:val="28"/>
          <w:szCs w:val="28"/>
          <w:rtl/>
        </w:rPr>
        <w:t>הועדה</w:t>
      </w:r>
      <w:r>
        <w:rPr>
          <w:rFonts w:hint="cs" w:ascii="Arial" w:hAnsi="Arial"/>
          <w:sz w:val="28"/>
          <w:szCs w:val="28"/>
          <w:rtl/>
        </w:rPr>
        <w:t>", אשר התכנסה בשני מועדים -  ביום 9/7/17 וביום 29/10/17 וזאת לאחר שוועדת רשות התכנסה ביום 2/8/17.</w:t>
      </w:r>
    </w:p>
    <w:p w:rsidR="000A22A7" w:rsidP="000A22A7" w:rsidRDefault="000A22A7">
      <w:pPr>
        <w:spacing w:line="360" w:lineRule="auto"/>
        <w:ind w:left="720" w:hanging="720"/>
        <w:jc w:val="both"/>
        <w:rPr>
          <w:rFonts w:ascii="Arial" w:hAnsi="Arial"/>
          <w:sz w:val="28"/>
          <w:szCs w:val="28"/>
          <w:rtl/>
        </w:rPr>
      </w:pPr>
    </w:p>
    <w:p w:rsidR="000A22A7" w:rsidP="00F82F06" w:rsidRDefault="000A22A7">
      <w:pPr>
        <w:spacing w:line="360" w:lineRule="auto"/>
        <w:ind w:left="720" w:hanging="720"/>
        <w:jc w:val="both"/>
        <w:rPr>
          <w:rFonts w:ascii="Arial" w:hAnsi="Arial"/>
          <w:sz w:val="28"/>
          <w:szCs w:val="28"/>
          <w:rtl/>
        </w:rPr>
      </w:pPr>
      <w:r w:rsidRPr="0070719A">
        <w:rPr>
          <w:rFonts w:hint="cs" w:ascii="Arial" w:hAnsi="Arial"/>
          <w:b/>
          <w:bCs/>
          <w:sz w:val="28"/>
          <w:szCs w:val="28"/>
          <w:rtl/>
        </w:rPr>
        <w:t>2.</w:t>
      </w:r>
      <w:r>
        <w:rPr>
          <w:rFonts w:hint="cs" w:ascii="Arial" w:hAnsi="Arial"/>
          <w:sz w:val="28"/>
          <w:szCs w:val="28"/>
          <w:rtl/>
        </w:rPr>
        <w:tab/>
        <w:t>בתאריך 26/2/18, התקיים דיון מקיף בערעור במהלכו שטחו הצדדים טענותיהם והתייחסו זה לטענות רע</w:t>
      </w:r>
      <w:r w:rsidR="00F82F06">
        <w:rPr>
          <w:rFonts w:hint="cs" w:ascii="Arial" w:hAnsi="Arial"/>
          <w:sz w:val="28"/>
          <w:szCs w:val="28"/>
          <w:rtl/>
        </w:rPr>
        <w:t>הו, תוך שב"כ המערערת חידד ופירט את שטען בהודעת הערעור ותוך שב"כ המשיב, עשה כן ביחס לכתב התשובה שהגיש.</w:t>
      </w:r>
    </w:p>
    <w:p w:rsidR="00F82F06" w:rsidP="00F82F06" w:rsidRDefault="00F82F06">
      <w:pPr>
        <w:spacing w:line="360" w:lineRule="auto"/>
        <w:ind w:left="720"/>
        <w:jc w:val="both"/>
        <w:rPr>
          <w:rFonts w:ascii="Arial" w:hAnsi="Arial"/>
          <w:sz w:val="28"/>
          <w:szCs w:val="28"/>
          <w:rtl/>
        </w:rPr>
      </w:pPr>
      <w:r>
        <w:rPr>
          <w:rFonts w:hint="cs" w:ascii="Arial" w:hAnsi="Arial"/>
          <w:sz w:val="28"/>
          <w:szCs w:val="28"/>
          <w:rtl/>
        </w:rPr>
        <w:t>בסיום הדיון הורה ביה"ד, לב"כ המשיב להמציא העתק משני הפרוטוקולים של הועדה, העתק של פרוטוקול ועדת הרשות שהתכנסה ביום 2/8/17 וכן פרוטוקול הרופא הפלסטיקאי מיום 28/5/17.</w:t>
      </w:r>
    </w:p>
    <w:p w:rsidR="00F82F06" w:rsidP="00F82F06" w:rsidRDefault="00F82F06">
      <w:pPr>
        <w:spacing w:line="360" w:lineRule="auto"/>
        <w:ind w:left="720"/>
        <w:jc w:val="both"/>
        <w:rPr>
          <w:rFonts w:ascii="Arial" w:hAnsi="Arial"/>
          <w:sz w:val="28"/>
          <w:szCs w:val="28"/>
          <w:rtl/>
        </w:rPr>
      </w:pPr>
      <w:r>
        <w:rPr>
          <w:rFonts w:hint="cs" w:ascii="Arial" w:hAnsi="Arial"/>
          <w:sz w:val="28"/>
          <w:szCs w:val="28"/>
          <w:rtl/>
        </w:rPr>
        <w:t>כן איפשר ביה"ד, לב"כ המערערת, להגיש אזכורי פסיקה המבססים את הפרשנות שהוא מבקש ליתן לתקנה 15 ולחוק.</w:t>
      </w:r>
    </w:p>
    <w:p w:rsidR="00F82F06" w:rsidP="00F82F06" w:rsidRDefault="00F82F06">
      <w:pPr>
        <w:spacing w:line="360" w:lineRule="auto"/>
        <w:ind w:left="720"/>
        <w:jc w:val="both"/>
        <w:rPr>
          <w:rFonts w:ascii="Arial" w:hAnsi="Arial"/>
          <w:sz w:val="28"/>
          <w:szCs w:val="28"/>
          <w:rtl/>
        </w:rPr>
      </w:pPr>
      <w:r>
        <w:rPr>
          <w:rFonts w:hint="cs" w:ascii="Arial" w:hAnsi="Arial"/>
          <w:sz w:val="28"/>
          <w:szCs w:val="28"/>
          <w:rtl/>
        </w:rPr>
        <w:t xml:space="preserve">לאחר שהצדדים פעלו כאמור וכן לאחר שב"כ המשיב התייחס, ביום 2/4/18, להודעת ב"כ המערערת מיום 19/3/18, הבשיל התיק להכרעה ולכן ניתן כעת פסק דין זה. </w:t>
      </w:r>
    </w:p>
    <w:p w:rsidRPr="007874A9" w:rsidR="00F82F06" w:rsidP="00F82F06" w:rsidRDefault="00F82F06">
      <w:pPr>
        <w:spacing w:line="360" w:lineRule="auto"/>
        <w:ind w:left="720"/>
        <w:jc w:val="both"/>
        <w:rPr>
          <w:rFonts w:ascii="Arial" w:hAnsi="Arial"/>
          <w:sz w:val="28"/>
          <w:szCs w:val="28"/>
          <w:rtl/>
        </w:rPr>
      </w:pPr>
    </w:p>
    <w:p w:rsidR="00F82F06" w:rsidP="000A22A7" w:rsidRDefault="00F82F06">
      <w:pPr>
        <w:spacing w:line="360" w:lineRule="auto"/>
        <w:jc w:val="both"/>
        <w:rPr>
          <w:rFonts w:ascii="Arial" w:hAnsi="Arial"/>
          <w:b/>
          <w:bCs/>
          <w:sz w:val="28"/>
          <w:szCs w:val="28"/>
          <w:rtl/>
        </w:rPr>
      </w:pPr>
      <w:r w:rsidRPr="00F82F06">
        <w:rPr>
          <w:rFonts w:hint="cs" w:ascii="Arial" w:hAnsi="Arial"/>
          <w:b/>
          <w:bCs/>
          <w:sz w:val="28"/>
          <w:szCs w:val="28"/>
          <w:rtl/>
        </w:rPr>
        <w:t>3.</w:t>
      </w:r>
      <w:r w:rsidRPr="00F82F06">
        <w:rPr>
          <w:rFonts w:hint="cs" w:ascii="Arial" w:hAnsi="Arial"/>
          <w:b/>
          <w:bCs/>
          <w:sz w:val="28"/>
          <w:szCs w:val="28"/>
          <w:rtl/>
        </w:rPr>
        <w:tab/>
      </w:r>
      <w:r>
        <w:rPr>
          <w:rFonts w:hint="cs" w:ascii="Arial" w:hAnsi="Arial"/>
          <w:b/>
          <w:bCs/>
          <w:sz w:val="28"/>
          <w:szCs w:val="28"/>
          <w:rtl/>
        </w:rPr>
        <w:t>רקע</w:t>
      </w:r>
      <w:r w:rsidR="0070719A">
        <w:rPr>
          <w:rFonts w:hint="cs" w:ascii="Arial" w:hAnsi="Arial"/>
          <w:b/>
          <w:bCs/>
          <w:sz w:val="28"/>
          <w:szCs w:val="28"/>
          <w:rtl/>
        </w:rPr>
        <w:t xml:space="preserve"> והשתלשלות העניינים</w:t>
      </w:r>
    </w:p>
    <w:p w:rsidR="007327DB" w:rsidP="007327DB" w:rsidRDefault="007327DB">
      <w:pPr>
        <w:spacing w:line="360" w:lineRule="auto"/>
        <w:ind w:left="1440" w:hanging="720"/>
        <w:jc w:val="both"/>
        <w:rPr>
          <w:rFonts w:ascii="Arial" w:hAnsi="Arial"/>
          <w:sz w:val="28"/>
          <w:szCs w:val="28"/>
          <w:rtl/>
        </w:rPr>
      </w:pPr>
      <w:r>
        <w:rPr>
          <w:rFonts w:hint="cs" w:ascii="Arial" w:hAnsi="Arial"/>
          <w:b/>
          <w:bCs/>
          <w:sz w:val="28"/>
          <w:szCs w:val="28"/>
          <w:rtl/>
        </w:rPr>
        <w:t>א.</w:t>
      </w:r>
      <w:r>
        <w:rPr>
          <w:rFonts w:hint="cs" w:ascii="Arial" w:hAnsi="Arial"/>
          <w:b/>
          <w:bCs/>
          <w:sz w:val="28"/>
          <w:szCs w:val="28"/>
          <w:rtl/>
        </w:rPr>
        <w:tab/>
      </w:r>
      <w:r>
        <w:rPr>
          <w:rFonts w:hint="cs" w:ascii="Arial" w:hAnsi="Arial"/>
          <w:sz w:val="28"/>
          <w:szCs w:val="28"/>
          <w:rtl/>
        </w:rPr>
        <w:t>המערערת,</w:t>
      </w:r>
      <w:r w:rsidR="007D277B">
        <w:rPr>
          <w:rFonts w:hint="cs" w:ascii="Arial" w:hAnsi="Arial"/>
          <w:sz w:val="28"/>
          <w:szCs w:val="28"/>
          <w:rtl/>
        </w:rPr>
        <w:t xml:space="preserve"> עורכת</w:t>
      </w:r>
      <w:r>
        <w:rPr>
          <w:rFonts w:hint="cs" w:ascii="Arial" w:hAnsi="Arial"/>
          <w:sz w:val="28"/>
          <w:szCs w:val="28"/>
          <w:rtl/>
        </w:rPr>
        <w:t xml:space="preserve"> דין במקצועה ובעיסוקה, נפגעה ביום 28/4/15, בתאונת דרכים אשר הוכרה כתאונת עבודה.</w:t>
      </w:r>
    </w:p>
    <w:p w:rsidR="007327DB" w:rsidP="001C516C" w:rsidRDefault="007327DB">
      <w:pPr>
        <w:spacing w:line="360" w:lineRule="auto"/>
        <w:ind w:left="1440" w:hanging="720"/>
        <w:jc w:val="both"/>
        <w:rPr>
          <w:rFonts w:ascii="Arial" w:hAnsi="Arial"/>
          <w:sz w:val="28"/>
          <w:szCs w:val="28"/>
          <w:rtl/>
        </w:rPr>
      </w:pPr>
      <w:r>
        <w:rPr>
          <w:rFonts w:hint="cs" w:ascii="Arial" w:hAnsi="Arial"/>
          <w:b/>
          <w:bCs/>
          <w:sz w:val="28"/>
          <w:szCs w:val="28"/>
          <w:rtl/>
        </w:rPr>
        <w:t>ב.</w:t>
      </w:r>
      <w:r>
        <w:rPr>
          <w:rFonts w:hint="cs" w:ascii="Arial" w:hAnsi="Arial"/>
          <w:sz w:val="28"/>
          <w:szCs w:val="28"/>
          <w:rtl/>
        </w:rPr>
        <w:tab/>
      </w:r>
      <w:r w:rsidR="007D277B">
        <w:rPr>
          <w:rFonts w:hint="cs" w:ascii="Arial" w:hAnsi="Arial"/>
          <w:sz w:val="28"/>
          <w:szCs w:val="28"/>
          <w:rtl/>
        </w:rPr>
        <w:t>בתאריך 9/7/17 התכנסה הועדה</w:t>
      </w:r>
      <w:r w:rsidR="001C516C">
        <w:rPr>
          <w:rFonts w:hint="cs" w:ascii="Arial" w:hAnsi="Arial"/>
          <w:sz w:val="28"/>
          <w:szCs w:val="28"/>
          <w:rtl/>
        </w:rPr>
        <w:t>, בנוכחות המערערת ובא כוחה,</w:t>
      </w:r>
      <w:r w:rsidR="007D277B">
        <w:rPr>
          <w:rFonts w:hint="cs" w:ascii="Arial" w:hAnsi="Arial"/>
          <w:sz w:val="28"/>
          <w:szCs w:val="28"/>
          <w:rtl/>
        </w:rPr>
        <w:t xml:space="preserve"> כדי לדון </w:t>
      </w:r>
      <w:r w:rsidR="001C516C">
        <w:rPr>
          <w:rFonts w:hint="cs" w:ascii="Arial" w:hAnsi="Arial"/>
          <w:sz w:val="28"/>
          <w:szCs w:val="28"/>
          <w:rtl/>
        </w:rPr>
        <w:t>בערר שהגישו</w:t>
      </w:r>
      <w:r w:rsidR="007D277B">
        <w:rPr>
          <w:rFonts w:hint="cs" w:ascii="Arial" w:hAnsi="Arial"/>
          <w:sz w:val="28"/>
          <w:szCs w:val="28"/>
          <w:rtl/>
        </w:rPr>
        <w:t xml:space="preserve"> כנגד החלטת ועדה מדרג ראשון.</w:t>
      </w:r>
    </w:p>
    <w:p w:rsidR="007D277B" w:rsidP="00BF118D" w:rsidRDefault="007D277B">
      <w:pPr>
        <w:spacing w:line="360" w:lineRule="auto"/>
        <w:ind w:left="1440" w:hanging="720"/>
        <w:jc w:val="both"/>
        <w:rPr>
          <w:rFonts w:ascii="Arial" w:hAnsi="Arial"/>
          <w:sz w:val="28"/>
          <w:szCs w:val="28"/>
          <w:rtl/>
        </w:rPr>
      </w:pPr>
      <w:r>
        <w:rPr>
          <w:rFonts w:hint="cs" w:ascii="Arial" w:hAnsi="Arial"/>
          <w:b/>
          <w:bCs/>
          <w:sz w:val="28"/>
          <w:szCs w:val="28"/>
          <w:rtl/>
        </w:rPr>
        <w:lastRenderedPageBreak/>
        <w:t>ג.</w:t>
      </w:r>
      <w:r>
        <w:rPr>
          <w:rFonts w:hint="cs" w:ascii="Arial" w:hAnsi="Arial"/>
          <w:sz w:val="28"/>
          <w:szCs w:val="28"/>
          <w:rtl/>
        </w:rPr>
        <w:tab/>
      </w:r>
      <w:r w:rsidR="00BF118D">
        <w:rPr>
          <w:rFonts w:hint="cs" w:ascii="Arial" w:hAnsi="Arial"/>
          <w:sz w:val="28"/>
          <w:szCs w:val="28"/>
          <w:rtl/>
        </w:rPr>
        <w:t xml:space="preserve">לאחר שהועדה </w:t>
      </w:r>
      <w:r w:rsidR="001C516C">
        <w:rPr>
          <w:rFonts w:hint="cs" w:ascii="Arial" w:hAnsi="Arial"/>
          <w:sz w:val="28"/>
          <w:szCs w:val="28"/>
          <w:rtl/>
        </w:rPr>
        <w:t>שמעה את דברי ב"כ המערערת ועיינה בצילום מיום 1/1/17, היא קבעה שהיא מקבלת את המלצות הכירורג הפלסטיקאי וקובעת למערערת 10% נוספים לפי סעיף 75(1)(ב) בגין צלקת וכן מאשרת את הנכות שנקבעה בדרג ראשון, בשיעור 30% לפי סעיף 48(1)(ז). כן ציינה הועדה כי סך נכותה של המערערת הינו 37% וכי היא "</w:t>
      </w:r>
      <w:r w:rsidRPr="00BF118D" w:rsidR="001C516C">
        <w:rPr>
          <w:rFonts w:hint="cs" w:ascii="Arial" w:hAnsi="Arial"/>
          <w:b/>
          <w:bCs/>
          <w:sz w:val="26"/>
          <w:szCs w:val="26"/>
          <w:rtl/>
        </w:rPr>
        <w:t xml:space="preserve">עוצרת </w:t>
      </w:r>
      <w:r w:rsidRPr="00BF118D">
        <w:rPr>
          <w:rFonts w:hint="cs" w:ascii="Arial" w:hAnsi="Arial"/>
          <w:b/>
          <w:bCs/>
          <w:sz w:val="26"/>
          <w:szCs w:val="26"/>
          <w:rtl/>
        </w:rPr>
        <w:t>את הדיון ו</w:t>
      </w:r>
      <w:r w:rsidRPr="00BF118D" w:rsidR="001C516C">
        <w:rPr>
          <w:rFonts w:hint="cs" w:ascii="Arial" w:hAnsi="Arial"/>
          <w:b/>
          <w:bCs/>
          <w:sz w:val="26"/>
          <w:szCs w:val="26"/>
          <w:rtl/>
        </w:rPr>
        <w:t xml:space="preserve">מבקשת להפנות </w:t>
      </w:r>
      <w:r w:rsidRPr="00BF118D">
        <w:rPr>
          <w:rFonts w:hint="cs" w:ascii="Arial" w:hAnsi="Arial"/>
          <w:b/>
          <w:bCs/>
          <w:sz w:val="26"/>
          <w:szCs w:val="26"/>
          <w:rtl/>
        </w:rPr>
        <w:t>את המערערת לוועדת רשות</w:t>
      </w:r>
      <w:r w:rsidR="001C516C">
        <w:rPr>
          <w:rFonts w:hint="cs" w:ascii="Arial" w:hAnsi="Arial"/>
          <w:sz w:val="28"/>
          <w:szCs w:val="28"/>
          <w:rtl/>
        </w:rPr>
        <w:t>"</w:t>
      </w:r>
      <w:r>
        <w:rPr>
          <w:rFonts w:hint="cs" w:ascii="Arial" w:hAnsi="Arial"/>
          <w:sz w:val="28"/>
          <w:szCs w:val="28"/>
          <w:rtl/>
        </w:rPr>
        <w:t>.</w:t>
      </w:r>
    </w:p>
    <w:p w:rsidR="007D277B" w:rsidP="0070719A" w:rsidRDefault="007D277B">
      <w:pPr>
        <w:spacing w:line="360" w:lineRule="auto"/>
        <w:ind w:left="1440" w:hanging="720"/>
        <w:jc w:val="both"/>
        <w:rPr>
          <w:rFonts w:ascii="Arial" w:hAnsi="Arial"/>
          <w:sz w:val="28"/>
          <w:szCs w:val="28"/>
          <w:rtl/>
        </w:rPr>
      </w:pPr>
      <w:r>
        <w:rPr>
          <w:rFonts w:hint="cs" w:ascii="Arial" w:hAnsi="Arial"/>
          <w:b/>
          <w:bCs/>
          <w:sz w:val="28"/>
          <w:szCs w:val="28"/>
          <w:rtl/>
        </w:rPr>
        <w:t>ד.</w:t>
      </w:r>
      <w:r>
        <w:rPr>
          <w:rFonts w:hint="cs" w:ascii="Arial" w:hAnsi="Arial"/>
          <w:sz w:val="28"/>
          <w:szCs w:val="28"/>
          <w:rtl/>
        </w:rPr>
        <w:tab/>
      </w:r>
      <w:r w:rsidR="0070719A">
        <w:rPr>
          <w:rFonts w:hint="cs" w:ascii="Arial" w:hAnsi="Arial"/>
          <w:sz w:val="28"/>
          <w:szCs w:val="28"/>
          <w:rtl/>
        </w:rPr>
        <w:t>בתאריך 7/9/17, הגיש</w:t>
      </w:r>
      <w:r>
        <w:rPr>
          <w:rFonts w:hint="cs" w:ascii="Arial" w:hAnsi="Arial"/>
          <w:sz w:val="28"/>
          <w:szCs w:val="28"/>
          <w:rtl/>
        </w:rPr>
        <w:t>ה המערערת את ערעורה לביה"ד, למרות שלמעשה לא הגיעה העת לעשות כן, שהרי, כאמור לעיל, הועדה עדיין לא סיכמה את הדיון בענ</w:t>
      </w:r>
      <w:r w:rsidR="001C516C">
        <w:rPr>
          <w:rFonts w:hint="cs" w:ascii="Arial" w:hAnsi="Arial"/>
          <w:sz w:val="28"/>
          <w:szCs w:val="28"/>
          <w:rtl/>
        </w:rPr>
        <w:t>י</w:t>
      </w:r>
      <w:r>
        <w:rPr>
          <w:rFonts w:hint="cs" w:ascii="Arial" w:hAnsi="Arial"/>
          <w:sz w:val="28"/>
          <w:szCs w:val="28"/>
          <w:rtl/>
        </w:rPr>
        <w:t>ינה.</w:t>
      </w:r>
    </w:p>
    <w:p w:rsidR="007D277B" w:rsidP="001C516C" w:rsidRDefault="007D277B">
      <w:pPr>
        <w:spacing w:line="360" w:lineRule="auto"/>
        <w:ind w:left="1440" w:hanging="720"/>
        <w:jc w:val="both"/>
        <w:rPr>
          <w:rFonts w:ascii="Arial" w:hAnsi="Arial"/>
          <w:sz w:val="28"/>
          <w:szCs w:val="28"/>
          <w:rtl/>
        </w:rPr>
      </w:pPr>
      <w:r>
        <w:rPr>
          <w:rFonts w:hint="cs" w:ascii="Arial" w:hAnsi="Arial"/>
          <w:b/>
          <w:bCs/>
          <w:sz w:val="28"/>
          <w:szCs w:val="28"/>
          <w:rtl/>
        </w:rPr>
        <w:t>ה.</w:t>
      </w:r>
      <w:r w:rsidR="001C516C">
        <w:rPr>
          <w:rFonts w:ascii="Arial" w:hAnsi="Arial"/>
          <w:b/>
          <w:bCs/>
          <w:sz w:val="28"/>
          <w:szCs w:val="28"/>
          <w:rtl/>
        </w:rPr>
        <w:tab/>
      </w:r>
      <w:r w:rsidRPr="001C516C" w:rsidR="001C516C">
        <w:rPr>
          <w:rFonts w:hint="cs" w:ascii="Arial" w:hAnsi="Arial"/>
          <w:sz w:val="28"/>
          <w:szCs w:val="28"/>
          <w:rtl/>
        </w:rPr>
        <w:t>בתאריך 2/8/17, התכנסה וועדת רשות לדון בענ</w:t>
      </w:r>
      <w:r w:rsidR="001C516C">
        <w:rPr>
          <w:rFonts w:hint="cs" w:ascii="Arial" w:hAnsi="Arial"/>
          <w:sz w:val="28"/>
          <w:szCs w:val="28"/>
          <w:rtl/>
        </w:rPr>
        <w:t>י</w:t>
      </w:r>
      <w:r w:rsidRPr="001C516C" w:rsidR="001C516C">
        <w:rPr>
          <w:rFonts w:hint="cs" w:ascii="Arial" w:hAnsi="Arial"/>
          <w:sz w:val="28"/>
          <w:szCs w:val="28"/>
          <w:rtl/>
        </w:rPr>
        <w:t>ינה של המערערת ובתאריך 29/10/17, התכנסה הועדה שו</w:t>
      </w:r>
      <w:r w:rsidR="001C516C">
        <w:rPr>
          <w:rFonts w:hint="cs" w:ascii="Arial" w:hAnsi="Arial"/>
          <w:sz w:val="28"/>
          <w:szCs w:val="28"/>
          <w:rtl/>
        </w:rPr>
        <w:t>ב, כאשר גם הפעם הופיעו לפניה המערערת ובא כוחה.</w:t>
      </w:r>
    </w:p>
    <w:p w:rsidR="00846A54" w:rsidP="00846A54" w:rsidRDefault="001C516C">
      <w:pPr>
        <w:spacing w:line="360" w:lineRule="auto"/>
        <w:ind w:left="1440" w:hanging="720"/>
        <w:jc w:val="both"/>
        <w:rPr>
          <w:rFonts w:ascii="Arial" w:hAnsi="Arial"/>
          <w:sz w:val="28"/>
          <w:szCs w:val="28"/>
          <w:rtl/>
        </w:rPr>
      </w:pPr>
      <w:r>
        <w:rPr>
          <w:rFonts w:hint="cs" w:ascii="Arial" w:hAnsi="Arial"/>
          <w:b/>
          <w:bCs/>
          <w:sz w:val="28"/>
          <w:szCs w:val="28"/>
          <w:rtl/>
        </w:rPr>
        <w:t>ו.</w:t>
      </w:r>
      <w:r>
        <w:rPr>
          <w:rFonts w:ascii="Arial" w:hAnsi="Arial"/>
          <w:sz w:val="28"/>
          <w:szCs w:val="28"/>
          <w:rtl/>
        </w:rPr>
        <w:tab/>
      </w:r>
      <w:r>
        <w:rPr>
          <w:rFonts w:hint="cs" w:ascii="Arial" w:hAnsi="Arial"/>
          <w:sz w:val="28"/>
          <w:szCs w:val="28"/>
          <w:rtl/>
        </w:rPr>
        <w:t>בישיבתה השניה רשמה הועדה</w:t>
      </w:r>
      <w:r w:rsidR="00846A54">
        <w:rPr>
          <w:rFonts w:hint="cs" w:ascii="Arial" w:hAnsi="Arial"/>
          <w:sz w:val="28"/>
          <w:szCs w:val="28"/>
          <w:rtl/>
        </w:rPr>
        <w:t>, בפירוט,</w:t>
      </w:r>
      <w:r>
        <w:rPr>
          <w:rFonts w:hint="cs" w:ascii="Arial" w:hAnsi="Arial"/>
          <w:sz w:val="28"/>
          <w:szCs w:val="28"/>
          <w:rtl/>
        </w:rPr>
        <w:t xml:space="preserve"> את טענות המערערת ובא כוחה </w:t>
      </w:r>
      <w:r w:rsidR="00846A54">
        <w:rPr>
          <w:rFonts w:hint="cs" w:ascii="Arial" w:hAnsi="Arial"/>
          <w:sz w:val="28"/>
          <w:szCs w:val="28"/>
          <w:rtl/>
        </w:rPr>
        <w:t xml:space="preserve">- טענות שהתרכזו בסוגיית הפעלת תקנה 15, במצבה הבריאותי של המערערת מאז התאונה ובהשפעתו על כושרה לעבוד וכן בירידות בהכנסתה מאז התאונה, כתוצאה ממצב זה. </w:t>
      </w:r>
    </w:p>
    <w:p w:rsidRPr="001C516C" w:rsidR="001C516C" w:rsidP="00846A54" w:rsidRDefault="00846A54">
      <w:pPr>
        <w:spacing w:line="360" w:lineRule="auto"/>
        <w:ind w:left="1440" w:hanging="720"/>
        <w:jc w:val="both"/>
        <w:rPr>
          <w:rFonts w:ascii="Arial" w:hAnsi="Arial"/>
          <w:sz w:val="28"/>
          <w:szCs w:val="28"/>
          <w:rtl/>
        </w:rPr>
      </w:pPr>
      <w:r>
        <w:rPr>
          <w:rFonts w:hint="cs" w:ascii="Arial" w:hAnsi="Arial"/>
          <w:b/>
          <w:bCs/>
          <w:sz w:val="28"/>
          <w:szCs w:val="28"/>
          <w:rtl/>
        </w:rPr>
        <w:t>ז.</w:t>
      </w:r>
      <w:r>
        <w:rPr>
          <w:rFonts w:hint="cs" w:ascii="Arial" w:hAnsi="Arial"/>
          <w:sz w:val="28"/>
          <w:szCs w:val="28"/>
          <w:rtl/>
        </w:rPr>
        <w:tab/>
        <w:t>הועדה סיכמה:"</w:t>
      </w:r>
      <w:r w:rsidRPr="00984904">
        <w:rPr>
          <w:rFonts w:hint="cs" w:ascii="Arial" w:hAnsi="Arial"/>
          <w:b/>
          <w:bCs/>
          <w:sz w:val="26"/>
          <w:szCs w:val="26"/>
          <w:rtl/>
        </w:rPr>
        <w:t>הוועדה הקשיבה לטענות בא כוחה של התובעת והתובעת. לפי דבריו הפרטים שנמסרו בועדה היו גם ברשות של ועדת הרשות ולכן הועדה מקבלת את המלצות וועדת הרשות. ולכן הועדה סבורה שאין מקום להפעלת תקנה 15 לפי תקנות המל"ל, לא עומדת בקריטריון של אובדן מקצוע למרות הירידה בהכנסות</w:t>
      </w:r>
      <w:r>
        <w:rPr>
          <w:rFonts w:hint="cs" w:ascii="Arial" w:hAnsi="Arial"/>
          <w:sz w:val="28"/>
          <w:szCs w:val="28"/>
          <w:rtl/>
        </w:rPr>
        <w:t>"</w:t>
      </w:r>
    </w:p>
    <w:p w:rsidR="00DD32DA" w:rsidP="0070719A" w:rsidRDefault="00A55E32">
      <w:pPr>
        <w:spacing w:line="360" w:lineRule="auto"/>
        <w:ind w:left="1440" w:hanging="720"/>
        <w:jc w:val="both"/>
        <w:rPr>
          <w:rFonts w:ascii="Arial" w:hAnsi="Arial"/>
          <w:sz w:val="28"/>
          <w:szCs w:val="28"/>
          <w:rtl/>
        </w:rPr>
      </w:pPr>
      <w:r w:rsidRPr="0070719A">
        <w:rPr>
          <w:rFonts w:hint="cs" w:ascii="Arial" w:hAnsi="Arial"/>
          <w:b/>
          <w:bCs/>
          <w:sz w:val="28"/>
          <w:szCs w:val="28"/>
          <w:rtl/>
        </w:rPr>
        <w:t>ח.</w:t>
      </w:r>
      <w:r w:rsidR="00DD32DA">
        <w:rPr>
          <w:rFonts w:ascii="Arial" w:hAnsi="Arial"/>
          <w:sz w:val="28"/>
          <w:szCs w:val="28"/>
          <w:rtl/>
        </w:rPr>
        <w:tab/>
      </w:r>
      <w:r>
        <w:rPr>
          <w:rFonts w:hint="cs" w:ascii="Arial" w:hAnsi="Arial"/>
          <w:sz w:val="28"/>
          <w:szCs w:val="28"/>
          <w:rtl/>
        </w:rPr>
        <w:t>בתאריך 29/11/17 הגישה המערערת "הודעה ובקשה לתיקון הערר", במסגרתה</w:t>
      </w:r>
      <w:r w:rsidR="00DD32DA">
        <w:rPr>
          <w:rFonts w:hint="cs" w:ascii="Arial" w:hAnsi="Arial"/>
          <w:sz w:val="28"/>
          <w:szCs w:val="28"/>
          <w:rtl/>
        </w:rPr>
        <w:t>, טענה, בין היתר כי "</w:t>
      </w:r>
      <w:r w:rsidRPr="0070719A" w:rsidR="00DD32DA">
        <w:rPr>
          <w:rFonts w:hint="cs" w:ascii="Arial" w:hAnsi="Arial"/>
          <w:b/>
          <w:bCs/>
          <w:sz w:val="26"/>
          <w:szCs w:val="26"/>
          <w:rtl/>
        </w:rPr>
        <w:t>לפתע פתאום וכנראה בעקבות הערר, זומנה העוררת לטעון השגותיה בפני הועדה ביום 29/10/17</w:t>
      </w:r>
      <w:r w:rsidR="00DD32DA">
        <w:rPr>
          <w:rFonts w:hint="cs" w:ascii="Arial" w:hAnsi="Arial"/>
          <w:sz w:val="28"/>
          <w:szCs w:val="28"/>
          <w:rtl/>
        </w:rPr>
        <w:t>".</w:t>
      </w:r>
    </w:p>
    <w:p w:rsidR="0070719A" w:rsidP="0070719A" w:rsidRDefault="00DD32DA">
      <w:pPr>
        <w:spacing w:line="360" w:lineRule="auto"/>
        <w:ind w:left="1440" w:hanging="720"/>
        <w:jc w:val="both"/>
        <w:rPr>
          <w:rFonts w:ascii="Arial" w:hAnsi="Arial"/>
          <w:sz w:val="28"/>
          <w:szCs w:val="28"/>
          <w:rtl/>
        </w:rPr>
      </w:pPr>
      <w:r w:rsidRPr="0070719A">
        <w:rPr>
          <w:rFonts w:hint="cs" w:ascii="Arial" w:hAnsi="Arial"/>
          <w:b/>
          <w:bCs/>
          <w:sz w:val="28"/>
          <w:szCs w:val="28"/>
          <w:rtl/>
        </w:rPr>
        <w:t>ט.</w:t>
      </w:r>
      <w:r>
        <w:rPr>
          <w:rFonts w:hint="cs" w:ascii="Arial" w:hAnsi="Arial"/>
          <w:sz w:val="28"/>
          <w:szCs w:val="28"/>
          <w:rtl/>
        </w:rPr>
        <w:tab/>
        <w:t>בתאריך 20/2/18 הגיש ב"כ המשיב כתב תשובה במסגרתו טען, בין היתר, כי יש לדחות את הערעור</w:t>
      </w:r>
      <w:r w:rsidR="0070719A">
        <w:rPr>
          <w:rFonts w:hint="cs" w:ascii="Arial" w:hAnsi="Arial"/>
          <w:sz w:val="28"/>
          <w:szCs w:val="28"/>
          <w:rtl/>
        </w:rPr>
        <w:t xml:space="preserve"> שהוגש ביום 7/9/17</w:t>
      </w:r>
      <w:r>
        <w:rPr>
          <w:rFonts w:hint="cs" w:ascii="Arial" w:hAnsi="Arial"/>
          <w:sz w:val="28"/>
          <w:szCs w:val="28"/>
          <w:rtl/>
        </w:rPr>
        <w:t>, קרי בטרם השלימה הועדה את דיוניה</w:t>
      </w:r>
      <w:r w:rsidR="0070719A">
        <w:rPr>
          <w:rFonts w:hint="cs" w:ascii="Arial" w:hAnsi="Arial"/>
          <w:sz w:val="28"/>
          <w:szCs w:val="28"/>
          <w:rtl/>
        </w:rPr>
        <w:t>, שכן מדובר בערעור אשר ביה"ד אינו מוסמך לדון בו.</w:t>
      </w:r>
    </w:p>
    <w:p w:rsidRPr="000A22A7" w:rsidR="0070719A" w:rsidP="0070719A" w:rsidRDefault="0070719A">
      <w:pPr>
        <w:spacing w:line="360" w:lineRule="auto"/>
        <w:ind w:left="1440" w:hanging="720"/>
        <w:jc w:val="both"/>
        <w:rPr>
          <w:rFonts w:ascii="Arial" w:hAnsi="Arial"/>
          <w:b/>
          <w:bCs/>
          <w:sz w:val="28"/>
          <w:szCs w:val="28"/>
          <w:u w:val="single"/>
          <w:rtl/>
        </w:rPr>
      </w:pPr>
      <w:r w:rsidRPr="0070719A">
        <w:rPr>
          <w:rFonts w:hint="cs" w:ascii="Arial" w:hAnsi="Arial"/>
          <w:b/>
          <w:bCs/>
          <w:sz w:val="28"/>
          <w:szCs w:val="28"/>
          <w:rtl/>
        </w:rPr>
        <w:t>י.</w:t>
      </w:r>
      <w:r>
        <w:rPr>
          <w:rFonts w:hint="cs" w:ascii="Arial" w:hAnsi="Arial"/>
          <w:sz w:val="28"/>
          <w:szCs w:val="28"/>
          <w:rtl/>
        </w:rPr>
        <w:tab/>
        <w:t>בתאריך 26/2/18, כאמור בסעיף 2 דלעיל, התקיים דיון מקיף בקשר להודעת הערעור שהוגשה ביום 7/9/17 וכן באשר לטענות שהועלו בערעור המתוקן אשר הוגש ביום 29/11/17</w:t>
      </w:r>
      <w:r w:rsidRPr="0070719A">
        <w:rPr>
          <w:rFonts w:hint="cs" w:ascii="Arial" w:hAnsi="Arial"/>
          <w:b/>
          <w:bCs/>
          <w:sz w:val="28"/>
          <w:szCs w:val="28"/>
          <w:rtl/>
        </w:rPr>
        <w:t>.</w:t>
      </w:r>
    </w:p>
    <w:p w:rsidR="0070719A" w:rsidP="000A22A7" w:rsidRDefault="0070719A">
      <w:pPr>
        <w:spacing w:line="360" w:lineRule="auto"/>
        <w:jc w:val="both"/>
        <w:rPr>
          <w:rFonts w:ascii="Arial" w:hAnsi="Arial"/>
          <w:b/>
          <w:bCs/>
          <w:sz w:val="28"/>
          <w:szCs w:val="28"/>
          <w:u w:val="single"/>
          <w:rtl/>
        </w:rPr>
      </w:pPr>
    </w:p>
    <w:p w:rsidRPr="00230FCE" w:rsidR="0070719A" w:rsidP="00F54559" w:rsidRDefault="0070719A">
      <w:pPr>
        <w:spacing w:line="360" w:lineRule="auto"/>
        <w:jc w:val="both"/>
        <w:rPr>
          <w:rFonts w:ascii="Arial" w:hAnsi="Arial"/>
          <w:b/>
          <w:bCs/>
          <w:sz w:val="28"/>
          <w:szCs w:val="28"/>
          <w:rtl/>
        </w:rPr>
      </w:pPr>
      <w:r w:rsidRPr="00230FCE">
        <w:rPr>
          <w:rFonts w:hint="cs" w:ascii="Arial" w:hAnsi="Arial"/>
          <w:b/>
          <w:bCs/>
          <w:sz w:val="28"/>
          <w:szCs w:val="28"/>
          <w:rtl/>
        </w:rPr>
        <w:lastRenderedPageBreak/>
        <w:t>4.</w:t>
      </w:r>
      <w:r w:rsidRPr="00230FCE">
        <w:rPr>
          <w:rFonts w:hint="cs" w:ascii="Arial" w:hAnsi="Arial"/>
          <w:b/>
          <w:bCs/>
          <w:sz w:val="28"/>
          <w:szCs w:val="28"/>
          <w:rtl/>
        </w:rPr>
        <w:tab/>
        <w:t>להלן, טענות ב"כ המערערת:</w:t>
      </w:r>
    </w:p>
    <w:p w:rsidR="00230FCE" w:rsidP="00230FCE" w:rsidRDefault="0070719A">
      <w:pPr>
        <w:spacing w:line="360" w:lineRule="auto"/>
        <w:ind w:left="1440" w:hanging="720"/>
        <w:jc w:val="both"/>
        <w:rPr>
          <w:rFonts w:ascii="Arial" w:hAnsi="Arial"/>
          <w:sz w:val="28"/>
          <w:szCs w:val="28"/>
          <w:rtl/>
        </w:rPr>
      </w:pPr>
      <w:r w:rsidRPr="00230FCE">
        <w:rPr>
          <w:rFonts w:hint="cs" w:ascii="Arial" w:hAnsi="Arial"/>
          <w:b/>
          <w:bCs/>
          <w:sz w:val="28"/>
          <w:szCs w:val="28"/>
          <w:rtl/>
        </w:rPr>
        <w:t>א.</w:t>
      </w:r>
      <w:r w:rsidRPr="00230FCE">
        <w:rPr>
          <w:rFonts w:ascii="Arial" w:hAnsi="Arial"/>
          <w:sz w:val="28"/>
          <w:szCs w:val="28"/>
          <w:rtl/>
        </w:rPr>
        <w:tab/>
      </w:r>
      <w:r w:rsidR="00230FCE">
        <w:rPr>
          <w:rFonts w:hint="cs" w:ascii="Arial" w:hAnsi="Arial"/>
          <w:sz w:val="28"/>
          <w:szCs w:val="28"/>
          <w:rtl/>
        </w:rPr>
        <w:t>טעתה הועדה עת אימצה את החלטת וועדת הרשות אשר קבעה כי אין מקום להפעיל את תקנה 15, בעניינה של המערערת.</w:t>
      </w:r>
    </w:p>
    <w:p w:rsidR="00230FCE" w:rsidP="00230FCE" w:rsidRDefault="00230FCE">
      <w:pPr>
        <w:spacing w:line="360" w:lineRule="auto"/>
        <w:ind w:left="1440" w:hanging="720"/>
        <w:jc w:val="both"/>
        <w:rPr>
          <w:rFonts w:ascii="Arial" w:hAnsi="Arial"/>
          <w:sz w:val="28"/>
          <w:szCs w:val="28"/>
          <w:rtl/>
        </w:rPr>
      </w:pPr>
      <w:r w:rsidRPr="00F54559">
        <w:rPr>
          <w:rFonts w:hint="cs" w:ascii="Arial" w:hAnsi="Arial"/>
          <w:b/>
          <w:bCs/>
          <w:sz w:val="28"/>
          <w:szCs w:val="28"/>
          <w:rtl/>
        </w:rPr>
        <w:t>ב.</w:t>
      </w:r>
      <w:r>
        <w:rPr>
          <w:rFonts w:ascii="Arial" w:hAnsi="Arial"/>
          <w:sz w:val="28"/>
          <w:szCs w:val="28"/>
          <w:rtl/>
        </w:rPr>
        <w:tab/>
      </w:r>
      <w:r>
        <w:rPr>
          <w:rFonts w:hint="cs" w:ascii="Arial" w:hAnsi="Arial"/>
          <w:sz w:val="28"/>
          <w:szCs w:val="28"/>
          <w:rtl/>
        </w:rPr>
        <w:t>המערערת הינה עו"ד, ליטיגטורית, אשר בעקבות תאונת הדרכים הקשה שעברה, נותרה נכה בשיעור של 37%, כאשר נכותה זו משפיעה על תפקודה המקצועי שכן היא אינה מסוגלת לעמוד ולטעון בבתי משפט שעות רבות כפי שעשתה טרם התאונה, דבר שהוביל לירידה ממשמעותית בהספק עבו</w:t>
      </w:r>
      <w:r w:rsidR="00F54559">
        <w:rPr>
          <w:rFonts w:hint="cs" w:ascii="Arial" w:hAnsi="Arial"/>
          <w:sz w:val="28"/>
          <w:szCs w:val="28"/>
          <w:rtl/>
        </w:rPr>
        <w:t>ד</w:t>
      </w:r>
      <w:r>
        <w:rPr>
          <w:rFonts w:hint="cs" w:ascii="Arial" w:hAnsi="Arial"/>
          <w:sz w:val="28"/>
          <w:szCs w:val="28"/>
          <w:rtl/>
        </w:rPr>
        <w:t>תה ובהתאמה גם לירידה של 37% בהכנסותיה.</w:t>
      </w:r>
    </w:p>
    <w:p w:rsidR="00F54559" w:rsidP="00F54559" w:rsidRDefault="00230FCE">
      <w:pPr>
        <w:spacing w:line="360" w:lineRule="auto"/>
        <w:ind w:left="1440" w:hanging="720"/>
        <w:jc w:val="both"/>
        <w:rPr>
          <w:rFonts w:ascii="Arial" w:hAnsi="Arial"/>
          <w:sz w:val="28"/>
          <w:szCs w:val="28"/>
          <w:rtl/>
        </w:rPr>
      </w:pPr>
      <w:r w:rsidRPr="00F54559">
        <w:rPr>
          <w:rFonts w:hint="cs" w:ascii="Arial" w:hAnsi="Arial"/>
          <w:b/>
          <w:bCs/>
          <w:sz w:val="28"/>
          <w:szCs w:val="28"/>
          <w:rtl/>
        </w:rPr>
        <w:t>ג.</w:t>
      </w:r>
      <w:r>
        <w:rPr>
          <w:rFonts w:ascii="Arial" w:hAnsi="Arial"/>
          <w:sz w:val="28"/>
          <w:szCs w:val="28"/>
          <w:rtl/>
        </w:rPr>
        <w:tab/>
      </w:r>
      <w:r>
        <w:rPr>
          <w:rFonts w:hint="cs" w:ascii="Arial" w:hAnsi="Arial"/>
          <w:sz w:val="28"/>
          <w:szCs w:val="28"/>
          <w:rtl/>
        </w:rPr>
        <w:t>בהתאם לתקנה 15, היה על ועדת הרשות ובהמשך גם על הועדה לבחון את מסוגלות המערערת לחזור לעבו</w:t>
      </w:r>
      <w:r w:rsidR="00F54559">
        <w:rPr>
          <w:rFonts w:hint="cs" w:ascii="Arial" w:hAnsi="Arial"/>
          <w:sz w:val="28"/>
          <w:szCs w:val="28"/>
          <w:rtl/>
        </w:rPr>
        <w:t>ד</w:t>
      </w:r>
      <w:r>
        <w:rPr>
          <w:rFonts w:hint="cs" w:ascii="Arial" w:hAnsi="Arial"/>
          <w:sz w:val="28"/>
          <w:szCs w:val="28"/>
          <w:rtl/>
        </w:rPr>
        <w:t>תה תוך שהיה על</w:t>
      </w:r>
      <w:r w:rsidR="00F54559">
        <w:rPr>
          <w:rFonts w:hint="cs" w:ascii="Arial" w:hAnsi="Arial"/>
          <w:sz w:val="28"/>
          <w:szCs w:val="28"/>
          <w:rtl/>
        </w:rPr>
        <w:t xml:space="preserve"> הוועדות </w:t>
      </w:r>
      <w:r>
        <w:rPr>
          <w:rFonts w:hint="cs" w:ascii="Arial" w:hAnsi="Arial"/>
          <w:sz w:val="28"/>
          <w:szCs w:val="28"/>
          <w:rtl/>
        </w:rPr>
        <w:t>לקחת בחשבון גם את הקריטריונים הבאים: הפעולות הכרוכות בביצוע העבודה, שעות ה</w:t>
      </w:r>
      <w:r w:rsidR="00F54559">
        <w:rPr>
          <w:rFonts w:hint="cs" w:ascii="Arial" w:hAnsi="Arial"/>
          <w:sz w:val="28"/>
          <w:szCs w:val="28"/>
          <w:rtl/>
        </w:rPr>
        <w:t>עבודה, תפוקה, היקף העבודה, משמרות, שעות נוספות, עבודה מול קהל, כאשר הוראות התקנה קובעות כי במידה וחל שינוי באופן עבודתו של הנפגע עקב הפגיעה והוא אינו מסוגל לבצע פעולות מסויימות שביצע בעבר, יש לראות בו כמי שאינו מסוגל לחזור לעבודתו.</w:t>
      </w:r>
    </w:p>
    <w:p w:rsidR="00F54559" w:rsidP="00F54559" w:rsidRDefault="00F54559">
      <w:pPr>
        <w:spacing w:line="360" w:lineRule="auto"/>
        <w:ind w:left="1440" w:hanging="720"/>
        <w:jc w:val="both"/>
        <w:rPr>
          <w:rFonts w:ascii="Arial" w:hAnsi="Arial"/>
          <w:sz w:val="28"/>
          <w:szCs w:val="28"/>
          <w:rtl/>
        </w:rPr>
      </w:pPr>
      <w:r w:rsidRPr="00F54559">
        <w:rPr>
          <w:rFonts w:hint="cs" w:ascii="Arial" w:hAnsi="Arial"/>
          <w:b/>
          <w:bCs/>
          <w:sz w:val="28"/>
          <w:szCs w:val="28"/>
          <w:rtl/>
        </w:rPr>
        <w:t>ד.</w:t>
      </w:r>
      <w:r>
        <w:rPr>
          <w:rFonts w:ascii="Arial" w:hAnsi="Arial"/>
          <w:sz w:val="28"/>
          <w:szCs w:val="28"/>
          <w:rtl/>
        </w:rPr>
        <w:tab/>
      </w:r>
      <w:r>
        <w:rPr>
          <w:rFonts w:hint="cs" w:ascii="Arial" w:hAnsi="Arial"/>
          <w:sz w:val="28"/>
          <w:szCs w:val="28"/>
          <w:rtl/>
        </w:rPr>
        <w:t>במקרה של המערערת - בחינת כל הקריטריונים הנ"ל מעלה כי מאז קרות התאונה, היקף עבודתה ירד משמעותית, תפוקת עבודתה ירדה, היא אינה מסוגלת לעבוד שעות רבות כפי שעבדה בעבר, היא מתקשה לעמוד ולטעון בבתי משפט במשך שעות רבות כפי שנהגה לפני התאונה, היא נאלצה לצמצם את כוח האדם במשרדה וכן חלה ירידה ניכרת בהכנסותיה.</w:t>
      </w:r>
    </w:p>
    <w:p w:rsidR="00F54559" w:rsidP="00F54559" w:rsidRDefault="00F54559">
      <w:pPr>
        <w:spacing w:line="360" w:lineRule="auto"/>
        <w:ind w:left="1440" w:hanging="720"/>
        <w:jc w:val="both"/>
        <w:rPr>
          <w:rFonts w:ascii="Arial" w:hAnsi="Arial"/>
          <w:sz w:val="28"/>
          <w:szCs w:val="28"/>
          <w:rtl/>
        </w:rPr>
      </w:pPr>
      <w:r w:rsidRPr="00F54559">
        <w:rPr>
          <w:rFonts w:hint="cs" w:ascii="Arial" w:hAnsi="Arial"/>
          <w:b/>
          <w:bCs/>
          <w:sz w:val="28"/>
          <w:szCs w:val="28"/>
          <w:rtl/>
        </w:rPr>
        <w:t>ה.</w:t>
      </w:r>
      <w:r>
        <w:rPr>
          <w:rFonts w:ascii="Arial" w:hAnsi="Arial"/>
          <w:sz w:val="28"/>
          <w:szCs w:val="28"/>
          <w:rtl/>
        </w:rPr>
        <w:tab/>
      </w:r>
      <w:r>
        <w:rPr>
          <w:rFonts w:hint="cs" w:ascii="Arial" w:hAnsi="Arial"/>
          <w:sz w:val="28"/>
          <w:szCs w:val="28"/>
          <w:rtl/>
        </w:rPr>
        <w:t>בנסיבות אלו אין זה מתקבל על הדעת כי הועדה קבעה, בהינף יד, כי המערערת אינה עומדת בקריטריון של אובדן מקצוע הנדרש בהתאם לתקנה 15.</w:t>
      </w:r>
    </w:p>
    <w:p w:rsidR="0070719A" w:rsidP="00F657B3" w:rsidRDefault="00F54559">
      <w:pPr>
        <w:spacing w:line="360" w:lineRule="auto"/>
        <w:ind w:left="1440" w:hanging="720"/>
        <w:jc w:val="both"/>
        <w:rPr>
          <w:rFonts w:ascii="Arial" w:hAnsi="Arial"/>
          <w:b/>
          <w:bCs/>
          <w:sz w:val="28"/>
          <w:szCs w:val="28"/>
          <w:u w:val="single"/>
          <w:rtl/>
        </w:rPr>
      </w:pPr>
      <w:r w:rsidRPr="00F657B3">
        <w:rPr>
          <w:rFonts w:hint="cs" w:ascii="Arial" w:hAnsi="Arial"/>
          <w:b/>
          <w:bCs/>
          <w:sz w:val="28"/>
          <w:szCs w:val="28"/>
          <w:rtl/>
        </w:rPr>
        <w:t>ו.</w:t>
      </w:r>
      <w:r>
        <w:rPr>
          <w:rFonts w:ascii="Arial" w:hAnsi="Arial"/>
          <w:sz w:val="28"/>
          <w:szCs w:val="28"/>
          <w:rtl/>
        </w:rPr>
        <w:tab/>
      </w:r>
      <w:r w:rsidR="00F657B3">
        <w:rPr>
          <w:rFonts w:hint="cs" w:ascii="Arial" w:hAnsi="Arial"/>
          <w:sz w:val="28"/>
          <w:szCs w:val="28"/>
          <w:rtl/>
        </w:rPr>
        <w:t>הפרשנות שנותן המשיב לתקנה 15, היא שגויה שכן במילים "</w:t>
      </w:r>
      <w:r w:rsidRPr="00F657B3" w:rsidR="00F657B3">
        <w:rPr>
          <w:rFonts w:hint="cs" w:ascii="Arial" w:hAnsi="Arial"/>
          <w:b/>
          <w:bCs/>
          <w:sz w:val="26"/>
          <w:szCs w:val="26"/>
          <w:rtl/>
        </w:rPr>
        <w:t>אם נמצא כי הנפגע מסוגל לחזור לעבודתו</w:t>
      </w:r>
      <w:r w:rsidR="00F657B3">
        <w:rPr>
          <w:rFonts w:hint="cs" w:ascii="Arial" w:hAnsi="Arial"/>
          <w:sz w:val="28"/>
          <w:szCs w:val="28"/>
          <w:rtl/>
        </w:rPr>
        <w:t xml:space="preserve">.." אין הכוונה כי רק מקום שאין לו מסוגלות מוחלטת לחזור לעבודתו יש להמשיך ולבדוק את הירידה בהכנסותיו ורק אם גם תנאי זה מתמלא להפעיל את התקנה, שכן את המונח "בעבודתו" יש לפרש באספקלריה של שעות עבודה, תפוקה היקף </w:t>
      </w:r>
      <w:r w:rsidR="00F657B3">
        <w:rPr>
          <w:rFonts w:hint="cs" w:ascii="Arial" w:hAnsi="Arial"/>
          <w:sz w:val="28"/>
          <w:szCs w:val="28"/>
          <w:rtl/>
        </w:rPr>
        <w:lastRenderedPageBreak/>
        <w:t xml:space="preserve">עבודתה, שעות נוספות, נסיעה וכדו', כפי שהדבר מצא ביטוי גם בפס"ד שניתן בתיק בל (נצרת) 2361/06 </w:t>
      </w:r>
      <w:r w:rsidRPr="00F657B3" w:rsidR="00F657B3">
        <w:rPr>
          <w:rFonts w:hint="cs" w:ascii="Arial" w:hAnsi="Arial"/>
          <w:b/>
          <w:bCs/>
          <w:sz w:val="28"/>
          <w:szCs w:val="28"/>
          <w:rtl/>
        </w:rPr>
        <w:t xml:space="preserve">המוסד לביטוח לאומי </w:t>
      </w:r>
      <w:r w:rsidR="00F657B3">
        <w:rPr>
          <w:rFonts w:hint="cs" w:ascii="Arial" w:hAnsi="Arial"/>
          <w:b/>
          <w:bCs/>
          <w:sz w:val="28"/>
          <w:szCs w:val="28"/>
          <w:rtl/>
        </w:rPr>
        <w:t>-</w:t>
      </w:r>
      <w:r w:rsidRPr="00F657B3" w:rsidR="00F657B3">
        <w:rPr>
          <w:rFonts w:hint="cs" w:ascii="Arial" w:hAnsi="Arial"/>
          <w:b/>
          <w:bCs/>
          <w:sz w:val="28"/>
          <w:szCs w:val="28"/>
          <w:rtl/>
        </w:rPr>
        <w:t xml:space="preserve"> דבורה איטח</w:t>
      </w:r>
      <w:r w:rsidR="00F657B3">
        <w:rPr>
          <w:rFonts w:hint="cs" w:ascii="Arial" w:hAnsi="Arial"/>
          <w:sz w:val="28"/>
          <w:szCs w:val="28"/>
          <w:rtl/>
        </w:rPr>
        <w:t>.</w:t>
      </w:r>
      <w:r w:rsidR="0070719A">
        <w:rPr>
          <w:rFonts w:hint="cs" w:ascii="Arial" w:hAnsi="Arial"/>
          <w:b/>
          <w:bCs/>
          <w:sz w:val="28"/>
          <w:szCs w:val="28"/>
          <w:u w:val="single"/>
          <w:rtl/>
        </w:rPr>
        <w:t xml:space="preserve"> </w:t>
      </w:r>
    </w:p>
    <w:p w:rsidR="00263C44" w:rsidP="00F657B3" w:rsidRDefault="00263C44">
      <w:pPr>
        <w:spacing w:line="360" w:lineRule="auto"/>
        <w:ind w:left="1440" w:hanging="720"/>
        <w:jc w:val="both"/>
        <w:rPr>
          <w:rFonts w:ascii="Arial" w:hAnsi="Arial"/>
          <w:b/>
          <w:bCs/>
          <w:sz w:val="28"/>
          <w:szCs w:val="28"/>
          <w:u w:val="single"/>
          <w:rtl/>
        </w:rPr>
      </w:pPr>
    </w:p>
    <w:p w:rsidRPr="00D80C20" w:rsidR="00263C44" w:rsidP="000A22A7" w:rsidRDefault="00263C44">
      <w:pPr>
        <w:spacing w:line="360" w:lineRule="auto"/>
        <w:jc w:val="both"/>
        <w:rPr>
          <w:rFonts w:ascii="Arial" w:hAnsi="Arial"/>
          <w:b/>
          <w:bCs/>
          <w:sz w:val="28"/>
          <w:szCs w:val="28"/>
          <w:rtl/>
        </w:rPr>
      </w:pPr>
      <w:r w:rsidRPr="00D80C20">
        <w:rPr>
          <w:rFonts w:hint="cs" w:ascii="Arial" w:hAnsi="Arial"/>
          <w:b/>
          <w:bCs/>
          <w:sz w:val="28"/>
          <w:szCs w:val="28"/>
          <w:rtl/>
        </w:rPr>
        <w:t>5.</w:t>
      </w:r>
      <w:r w:rsidRPr="00D80C20">
        <w:rPr>
          <w:rFonts w:hint="cs" w:ascii="Arial" w:hAnsi="Arial"/>
          <w:b/>
          <w:bCs/>
          <w:sz w:val="28"/>
          <w:szCs w:val="28"/>
          <w:rtl/>
        </w:rPr>
        <w:tab/>
        <w:t>להלן טענות ב"כ המשיב:</w:t>
      </w:r>
    </w:p>
    <w:p w:rsidRPr="00D80C20" w:rsidR="00D80C20" w:rsidP="000A22A7" w:rsidRDefault="00263C44">
      <w:pPr>
        <w:spacing w:line="360" w:lineRule="auto"/>
        <w:jc w:val="both"/>
        <w:rPr>
          <w:rFonts w:ascii="Arial" w:hAnsi="Arial"/>
          <w:b/>
          <w:bCs/>
          <w:sz w:val="28"/>
          <w:szCs w:val="28"/>
          <w:rtl/>
        </w:rPr>
      </w:pPr>
      <w:r w:rsidRPr="00D80C20">
        <w:rPr>
          <w:rFonts w:ascii="Arial" w:hAnsi="Arial"/>
          <w:b/>
          <w:bCs/>
          <w:sz w:val="28"/>
          <w:szCs w:val="28"/>
          <w:rtl/>
        </w:rPr>
        <w:tab/>
      </w:r>
      <w:r w:rsidRPr="00D80C20">
        <w:rPr>
          <w:rFonts w:hint="cs" w:ascii="Arial" w:hAnsi="Arial"/>
          <w:b/>
          <w:bCs/>
          <w:sz w:val="28"/>
          <w:szCs w:val="28"/>
          <w:rtl/>
        </w:rPr>
        <w:t>א.</w:t>
      </w:r>
      <w:r w:rsidRPr="00D80C20">
        <w:rPr>
          <w:rFonts w:hint="cs" w:ascii="Arial" w:hAnsi="Arial"/>
          <w:b/>
          <w:bCs/>
          <w:sz w:val="28"/>
          <w:szCs w:val="28"/>
          <w:rtl/>
        </w:rPr>
        <w:tab/>
      </w:r>
      <w:r w:rsidRPr="00D80C20" w:rsidR="00D80C20">
        <w:rPr>
          <w:rFonts w:hint="cs" w:ascii="Arial" w:hAnsi="Arial"/>
          <w:sz w:val="28"/>
          <w:szCs w:val="28"/>
          <w:rtl/>
        </w:rPr>
        <w:t>יש לדחות את הערעור על הסף משזה הוגש כנגד החלטת ביניים.</w:t>
      </w:r>
    </w:p>
    <w:p w:rsidRPr="00D80C20" w:rsidR="00263C44" w:rsidP="00D80C20" w:rsidRDefault="00D80C20">
      <w:pPr>
        <w:spacing w:line="360" w:lineRule="auto"/>
        <w:ind w:left="1440" w:hanging="720"/>
        <w:jc w:val="both"/>
        <w:rPr>
          <w:rFonts w:ascii="Arial" w:hAnsi="Arial"/>
          <w:sz w:val="28"/>
          <w:szCs w:val="28"/>
          <w:u w:val="single"/>
          <w:rtl/>
        </w:rPr>
      </w:pPr>
      <w:r w:rsidRPr="00D80C20">
        <w:rPr>
          <w:rFonts w:hint="cs" w:ascii="Arial" w:hAnsi="Arial"/>
          <w:b/>
          <w:bCs/>
          <w:sz w:val="28"/>
          <w:szCs w:val="28"/>
          <w:rtl/>
        </w:rPr>
        <w:t>ב.</w:t>
      </w:r>
      <w:r>
        <w:rPr>
          <w:rFonts w:ascii="Arial" w:hAnsi="Arial"/>
          <w:b/>
          <w:bCs/>
          <w:sz w:val="28"/>
          <w:szCs w:val="28"/>
          <w:rtl/>
        </w:rPr>
        <w:tab/>
      </w:r>
      <w:r w:rsidRPr="00D80C20">
        <w:rPr>
          <w:rFonts w:hint="cs" w:ascii="Arial" w:hAnsi="Arial"/>
          <w:sz w:val="28"/>
          <w:szCs w:val="28"/>
          <w:rtl/>
        </w:rPr>
        <w:t xml:space="preserve">גם לגופו של ערעור יש לדחותו שכן </w:t>
      </w:r>
      <w:r w:rsidRPr="00D80C20" w:rsidR="00263C44">
        <w:rPr>
          <w:rFonts w:hint="cs" w:ascii="Arial" w:hAnsi="Arial"/>
          <w:sz w:val="28"/>
          <w:szCs w:val="28"/>
          <w:rtl/>
        </w:rPr>
        <w:t>לא נפל פגם משפטי בהחלטת הועדה עת אימצה את החלטת ועדת הרשות.</w:t>
      </w:r>
    </w:p>
    <w:p w:rsidR="00D80C20" w:rsidP="00D80C20" w:rsidRDefault="00D80C20">
      <w:pPr>
        <w:spacing w:line="360" w:lineRule="auto"/>
        <w:ind w:left="1440" w:hanging="720"/>
        <w:jc w:val="both"/>
        <w:rPr>
          <w:rFonts w:ascii="Arial" w:hAnsi="Arial"/>
          <w:sz w:val="28"/>
          <w:szCs w:val="28"/>
          <w:rtl/>
        </w:rPr>
      </w:pPr>
      <w:r w:rsidRPr="00D80C20">
        <w:rPr>
          <w:rFonts w:hint="cs" w:ascii="Arial" w:hAnsi="Arial"/>
          <w:b/>
          <w:bCs/>
          <w:sz w:val="28"/>
          <w:szCs w:val="28"/>
          <w:rtl/>
        </w:rPr>
        <w:t>ג.</w:t>
      </w:r>
      <w:r w:rsidRPr="00D80C20">
        <w:rPr>
          <w:rFonts w:hint="cs" w:ascii="Arial" w:hAnsi="Arial"/>
          <w:b/>
          <w:bCs/>
          <w:sz w:val="28"/>
          <w:szCs w:val="28"/>
          <w:rtl/>
        </w:rPr>
        <w:tab/>
      </w:r>
      <w:r>
        <w:rPr>
          <w:rFonts w:hint="cs" w:ascii="Arial" w:hAnsi="Arial"/>
          <w:sz w:val="28"/>
          <w:szCs w:val="28"/>
          <w:rtl/>
        </w:rPr>
        <w:t>אין לקבל את הפרשנות אותה מבקשת המערערת ליתן להוראות תקנה 15ב שכן משמעותה ביטול האבחנה בין התנאי הנוגע לאובדן מקצוע לבין זה שעניינו ירידה ניכרת ולא לזמן מוגבל בהכנסות וכן משמעותה איון הוראות תיקון התש"ס  2000 לתקנות הביטוח הלאומי (קביעת דרגת נכות לנפגעי עבודה), תשט"ז - 1956, במסגרתן נקבע כי התנאים שבתקנה הינם תנאים מצטברים.</w:t>
      </w:r>
    </w:p>
    <w:p w:rsidR="00D80C20" w:rsidP="00CF4631" w:rsidRDefault="00D80C20">
      <w:pPr>
        <w:spacing w:line="360" w:lineRule="auto"/>
        <w:ind w:left="1440" w:hanging="720"/>
        <w:jc w:val="both"/>
        <w:rPr>
          <w:rFonts w:ascii="Arial" w:hAnsi="Arial"/>
          <w:sz w:val="28"/>
          <w:szCs w:val="28"/>
          <w:rtl/>
        </w:rPr>
      </w:pPr>
      <w:r w:rsidRPr="00E0081C">
        <w:rPr>
          <w:rFonts w:hint="cs" w:ascii="Arial" w:hAnsi="Arial"/>
          <w:b/>
          <w:bCs/>
          <w:sz w:val="28"/>
          <w:szCs w:val="28"/>
          <w:rtl/>
        </w:rPr>
        <w:t>ד.</w:t>
      </w:r>
      <w:r>
        <w:rPr>
          <w:rFonts w:hint="cs" w:ascii="Arial" w:hAnsi="Arial"/>
          <w:sz w:val="28"/>
          <w:szCs w:val="28"/>
          <w:rtl/>
        </w:rPr>
        <w:tab/>
        <w:t xml:space="preserve">ההלכה המחייבת היא זו שנוסחה בעב"ל 180/09 </w:t>
      </w:r>
      <w:r w:rsidRPr="006D20D0">
        <w:rPr>
          <w:rFonts w:hint="cs" w:ascii="Arial" w:hAnsi="Arial"/>
          <w:b/>
          <w:bCs/>
          <w:sz w:val="28"/>
          <w:szCs w:val="28"/>
          <w:rtl/>
        </w:rPr>
        <w:t xml:space="preserve">המוסד לביטוח לאומי </w:t>
      </w:r>
      <w:r w:rsidRPr="006D20D0" w:rsidR="00CF4631">
        <w:rPr>
          <w:rFonts w:hint="cs" w:ascii="Arial" w:hAnsi="Arial"/>
          <w:b/>
          <w:bCs/>
          <w:sz w:val="28"/>
          <w:szCs w:val="28"/>
          <w:rtl/>
        </w:rPr>
        <w:t>-</w:t>
      </w:r>
      <w:r w:rsidRPr="006D20D0">
        <w:rPr>
          <w:rFonts w:hint="cs" w:ascii="Arial" w:hAnsi="Arial"/>
          <w:b/>
          <w:bCs/>
          <w:sz w:val="28"/>
          <w:szCs w:val="28"/>
          <w:rtl/>
        </w:rPr>
        <w:t xml:space="preserve"> שמריה בן אלטא</w:t>
      </w:r>
      <w:r>
        <w:rPr>
          <w:rFonts w:hint="cs" w:ascii="Arial" w:hAnsi="Arial"/>
          <w:sz w:val="28"/>
          <w:szCs w:val="28"/>
          <w:rtl/>
        </w:rPr>
        <w:t>, במסגרתה עמד ביה"ד הארצי על משמעות תיקון התש"ס.</w:t>
      </w:r>
    </w:p>
    <w:p w:rsidR="00CF4631" w:rsidP="00CF4631" w:rsidRDefault="00D80C20">
      <w:pPr>
        <w:spacing w:line="360" w:lineRule="auto"/>
        <w:ind w:left="1440" w:hanging="720"/>
        <w:jc w:val="both"/>
        <w:rPr>
          <w:rFonts w:ascii="Arial" w:hAnsi="Arial"/>
          <w:sz w:val="28"/>
          <w:szCs w:val="28"/>
          <w:rtl/>
        </w:rPr>
      </w:pPr>
      <w:r w:rsidRPr="00E0081C">
        <w:rPr>
          <w:rFonts w:hint="cs" w:ascii="Arial" w:hAnsi="Arial"/>
          <w:b/>
          <w:bCs/>
          <w:sz w:val="28"/>
          <w:szCs w:val="28"/>
          <w:rtl/>
        </w:rPr>
        <w:t>ה.</w:t>
      </w:r>
      <w:r>
        <w:rPr>
          <w:rFonts w:hint="cs" w:ascii="Arial" w:hAnsi="Arial"/>
          <w:sz w:val="28"/>
          <w:szCs w:val="28"/>
          <w:rtl/>
        </w:rPr>
        <w:tab/>
        <w:t>בעניינה של המערערת, אין ספק כי היא ממשיכה בעיסוקה, טרם התאונה - כעו"ד, ליטיגטורית עצמאית</w:t>
      </w:r>
      <w:r w:rsidR="00CF4631">
        <w:rPr>
          <w:rFonts w:hint="cs" w:ascii="Arial" w:hAnsi="Arial"/>
          <w:sz w:val="28"/>
          <w:szCs w:val="28"/>
          <w:rtl/>
        </w:rPr>
        <w:t xml:space="preserve"> והרי התנאי (המצטבר) הראשון להפעלת תקנה 15 מצריך היעדר יכולת לשוב לעיסוק קודם עקב השפעת הנכות היציבה ומכאן שמקום שאין בהשפעת הנכות היציבה כדי למנוע חזרה לעיסוק הקודם הרי שאין מקום לבחון את התקיימות יתר התנאים להפעלת תקנה 15 ולכן אין רלוונטיות לשאלה האמנם חלה ירידה של 37% או בשיעור אחר, בהכנסות המערערת שכן בשל אי התקיימות התנאי של היעדר יכולת לשוב לעיסוק קודם עקב השפעת הנכות היציבה, הוועדה כלל לא נדרשה לדון בקשר הסיבתי של הירידה הנטענת בהכנסות המערערת לבין נכותה.</w:t>
      </w:r>
    </w:p>
    <w:p w:rsidRPr="00D80C20" w:rsidR="0033608F" w:rsidP="00CF4631" w:rsidRDefault="0033608F">
      <w:pPr>
        <w:spacing w:line="360" w:lineRule="auto"/>
        <w:ind w:left="1440" w:hanging="720"/>
        <w:jc w:val="both"/>
        <w:rPr>
          <w:rFonts w:ascii="Arial" w:hAnsi="Arial"/>
          <w:sz w:val="28"/>
          <w:szCs w:val="28"/>
        </w:rPr>
      </w:pPr>
      <w:r>
        <w:rPr>
          <w:rFonts w:hint="cs" w:ascii="Arial" w:hAnsi="Arial"/>
          <w:b/>
          <w:bCs/>
          <w:sz w:val="28"/>
          <w:szCs w:val="28"/>
          <w:rtl/>
        </w:rPr>
        <w:t>ו.</w:t>
      </w:r>
      <w:r>
        <w:rPr>
          <w:rFonts w:ascii="Arial" w:hAnsi="Arial"/>
          <w:sz w:val="28"/>
          <w:szCs w:val="28"/>
          <w:rtl/>
        </w:rPr>
        <w:tab/>
      </w:r>
      <w:r>
        <w:rPr>
          <w:rFonts w:hint="cs" w:ascii="Arial" w:hAnsi="Arial"/>
          <w:sz w:val="28"/>
          <w:szCs w:val="28"/>
          <w:rtl/>
        </w:rPr>
        <w:t>מעבר לאמור לעיל, גם טענת המערערת לפיהן נאלצה לפטר עובדים בשל צמצום בנפח עבודתה תומכות באי הפעלת תקנה 15 שכן הקושי לו היא טוענת בהמשך, הופעה, בבתי משפט, באותו היקף כמו בעבר, צריך היה להוביל, דוקא, לגיוס עובדים נוספים.</w:t>
      </w:r>
    </w:p>
    <w:p w:rsidRPr="00D80C20" w:rsidR="00CF4631" w:rsidP="00D80C20" w:rsidRDefault="00CF4631">
      <w:pPr>
        <w:spacing w:line="360" w:lineRule="auto"/>
        <w:ind w:firstLine="720"/>
        <w:jc w:val="both"/>
        <w:rPr>
          <w:rFonts w:ascii="Arial" w:hAnsi="Arial"/>
          <w:sz w:val="28"/>
          <w:szCs w:val="28"/>
          <w:rtl/>
        </w:rPr>
      </w:pPr>
    </w:p>
    <w:p w:rsidRPr="000A22A7" w:rsidR="000A22A7" w:rsidP="00602792" w:rsidRDefault="00E0081C">
      <w:pPr>
        <w:spacing w:line="360" w:lineRule="auto"/>
        <w:jc w:val="both"/>
        <w:rPr>
          <w:rFonts w:ascii="Arial" w:hAnsi="Arial"/>
          <w:b/>
          <w:bCs/>
          <w:sz w:val="28"/>
          <w:szCs w:val="28"/>
          <w:rtl/>
        </w:rPr>
      </w:pPr>
      <w:r w:rsidRPr="00E0081C">
        <w:rPr>
          <w:rFonts w:hint="cs" w:ascii="Arial" w:hAnsi="Arial"/>
          <w:b/>
          <w:bCs/>
          <w:sz w:val="28"/>
          <w:szCs w:val="28"/>
          <w:rtl/>
        </w:rPr>
        <w:lastRenderedPageBreak/>
        <w:t>6.</w:t>
      </w:r>
      <w:r w:rsidRPr="00E0081C">
        <w:rPr>
          <w:rFonts w:hint="cs" w:ascii="Arial" w:hAnsi="Arial"/>
          <w:b/>
          <w:bCs/>
          <w:sz w:val="28"/>
          <w:szCs w:val="28"/>
          <w:rtl/>
        </w:rPr>
        <w:tab/>
      </w:r>
      <w:r w:rsidR="00602792">
        <w:rPr>
          <w:rFonts w:hint="cs" w:ascii="Arial" w:hAnsi="Arial"/>
          <w:b/>
          <w:bCs/>
          <w:sz w:val="28"/>
          <w:szCs w:val="28"/>
          <w:rtl/>
        </w:rPr>
        <w:t>המסגרת הנורמטיבית</w:t>
      </w:r>
      <w:r w:rsidR="007559DE">
        <w:rPr>
          <w:rFonts w:hint="cs" w:ascii="Arial" w:hAnsi="Arial"/>
          <w:b/>
          <w:bCs/>
          <w:sz w:val="28"/>
          <w:szCs w:val="28"/>
          <w:rtl/>
        </w:rPr>
        <w:t xml:space="preserve"> </w:t>
      </w:r>
    </w:p>
    <w:p w:rsidRPr="000A22A7" w:rsidR="000A22A7" w:rsidP="000A22A7" w:rsidRDefault="000A22A7">
      <w:pPr>
        <w:spacing w:line="360" w:lineRule="auto"/>
        <w:jc w:val="both"/>
        <w:rPr>
          <w:rFonts w:ascii="Arial" w:hAnsi="Arial"/>
          <w:b/>
          <w:bCs/>
          <w:sz w:val="28"/>
          <w:szCs w:val="28"/>
          <w:u w:val="single"/>
          <w:rtl/>
        </w:rPr>
      </w:pPr>
    </w:p>
    <w:p w:rsidR="000A22A7" w:rsidP="00E0081C" w:rsidRDefault="000A22A7">
      <w:pPr>
        <w:spacing w:line="360" w:lineRule="auto"/>
        <w:ind w:left="720" w:hanging="720"/>
        <w:contextualSpacing/>
        <w:jc w:val="both"/>
        <w:rPr>
          <w:rFonts w:ascii="Calibri" w:hAnsi="Calibri"/>
          <w:sz w:val="28"/>
          <w:szCs w:val="28"/>
          <w:rtl/>
        </w:rPr>
      </w:pPr>
      <w:r w:rsidRPr="000A22A7">
        <w:rPr>
          <w:rFonts w:ascii="Calibri" w:hAnsi="Calibri"/>
          <w:sz w:val="28"/>
          <w:szCs w:val="28"/>
          <w:rtl/>
        </w:rPr>
        <w:tab/>
      </w:r>
      <w:hyperlink w:history="1" r:id="rId10">
        <w:r w:rsidRPr="000A22A7">
          <w:rPr>
            <w:rFonts w:hint="eastAsia" w:ascii="Calibri" w:hAnsi="Calibri"/>
            <w:sz w:val="28"/>
            <w:szCs w:val="28"/>
            <w:rtl/>
          </w:rPr>
          <w:t>סעיף</w:t>
        </w:r>
        <w:r w:rsidRPr="000A22A7">
          <w:rPr>
            <w:rFonts w:ascii="Calibri" w:hAnsi="Calibri"/>
            <w:sz w:val="28"/>
            <w:szCs w:val="28"/>
            <w:rtl/>
          </w:rPr>
          <w:t xml:space="preserve"> 123</w:t>
        </w:r>
      </w:hyperlink>
      <w:r w:rsidRPr="000A22A7">
        <w:rPr>
          <w:rFonts w:ascii="Calibri" w:hAnsi="Calibri"/>
          <w:sz w:val="28"/>
          <w:szCs w:val="28"/>
          <w:rtl/>
        </w:rPr>
        <w:t xml:space="preserve"> </w:t>
      </w:r>
      <w:r w:rsidRPr="000A22A7">
        <w:rPr>
          <w:rFonts w:hint="eastAsia" w:ascii="Calibri" w:hAnsi="Calibri"/>
          <w:sz w:val="28"/>
          <w:szCs w:val="28"/>
          <w:rtl/>
        </w:rPr>
        <w:t>ל</w:t>
      </w:r>
      <w:hyperlink w:history="1" r:id="rId11">
        <w:r w:rsidRPr="000A22A7">
          <w:rPr>
            <w:rFonts w:hint="eastAsia" w:ascii="Calibri" w:hAnsi="Calibri"/>
            <w:sz w:val="28"/>
            <w:szCs w:val="28"/>
            <w:rtl/>
          </w:rPr>
          <w:t>חוק</w:t>
        </w:r>
        <w:r w:rsidRPr="000A22A7">
          <w:rPr>
            <w:rFonts w:ascii="Calibri" w:hAnsi="Calibri"/>
            <w:sz w:val="28"/>
            <w:szCs w:val="28"/>
            <w:rtl/>
          </w:rPr>
          <w:t xml:space="preserve"> </w:t>
        </w:r>
        <w:r w:rsidRPr="000A22A7">
          <w:rPr>
            <w:rFonts w:hint="eastAsia" w:ascii="Calibri" w:hAnsi="Calibri"/>
            <w:sz w:val="28"/>
            <w:szCs w:val="28"/>
            <w:rtl/>
          </w:rPr>
          <w:t>הביטוח</w:t>
        </w:r>
        <w:r w:rsidRPr="000A22A7">
          <w:rPr>
            <w:rFonts w:ascii="Calibri" w:hAnsi="Calibri"/>
            <w:sz w:val="28"/>
            <w:szCs w:val="28"/>
            <w:rtl/>
          </w:rPr>
          <w:t xml:space="preserve"> </w:t>
        </w:r>
        <w:r w:rsidRPr="000A22A7">
          <w:rPr>
            <w:rFonts w:hint="eastAsia" w:ascii="Calibri" w:hAnsi="Calibri"/>
            <w:sz w:val="28"/>
            <w:szCs w:val="28"/>
            <w:rtl/>
          </w:rPr>
          <w:t>הלאומי</w:t>
        </w:r>
      </w:hyperlink>
      <w:r w:rsidRPr="000A22A7">
        <w:rPr>
          <w:rFonts w:ascii="Calibri" w:hAnsi="Calibri"/>
          <w:sz w:val="28"/>
          <w:szCs w:val="28"/>
          <w:rtl/>
        </w:rPr>
        <w:t xml:space="preserve"> [</w:t>
      </w:r>
      <w:r w:rsidRPr="000A22A7">
        <w:rPr>
          <w:rFonts w:hint="eastAsia" w:ascii="Calibri" w:hAnsi="Calibri"/>
          <w:sz w:val="28"/>
          <w:szCs w:val="28"/>
          <w:rtl/>
        </w:rPr>
        <w:t>נוסח</w:t>
      </w:r>
      <w:r w:rsidRPr="000A22A7">
        <w:rPr>
          <w:rFonts w:ascii="Calibri" w:hAnsi="Calibri"/>
          <w:sz w:val="28"/>
          <w:szCs w:val="28"/>
          <w:rtl/>
        </w:rPr>
        <w:t xml:space="preserve"> </w:t>
      </w:r>
      <w:r w:rsidRPr="000A22A7">
        <w:rPr>
          <w:rFonts w:hint="eastAsia" w:ascii="Calibri" w:hAnsi="Calibri"/>
          <w:sz w:val="28"/>
          <w:szCs w:val="28"/>
          <w:rtl/>
        </w:rPr>
        <w:t>משולב</w:t>
      </w:r>
      <w:r w:rsidRPr="000A22A7">
        <w:rPr>
          <w:rFonts w:ascii="Calibri" w:hAnsi="Calibri"/>
          <w:sz w:val="28"/>
          <w:szCs w:val="28"/>
          <w:rtl/>
        </w:rPr>
        <w:t xml:space="preserve">], </w:t>
      </w:r>
      <w:r w:rsidRPr="000A22A7">
        <w:rPr>
          <w:rFonts w:hint="eastAsia" w:ascii="Calibri" w:hAnsi="Calibri"/>
          <w:sz w:val="28"/>
          <w:szCs w:val="28"/>
          <w:rtl/>
        </w:rPr>
        <w:t>התשנ</w:t>
      </w:r>
      <w:r w:rsidRPr="000A22A7">
        <w:rPr>
          <w:rFonts w:ascii="Calibri" w:hAnsi="Calibri"/>
          <w:sz w:val="28"/>
          <w:szCs w:val="28"/>
          <w:rtl/>
        </w:rPr>
        <w:t>"</w:t>
      </w:r>
      <w:r w:rsidRPr="000A22A7">
        <w:rPr>
          <w:rFonts w:hint="eastAsia" w:ascii="Calibri" w:hAnsi="Calibri"/>
          <w:sz w:val="28"/>
          <w:szCs w:val="28"/>
          <w:rtl/>
        </w:rPr>
        <w:t>ה</w:t>
      </w:r>
      <w:r w:rsidRPr="000A22A7">
        <w:rPr>
          <w:rFonts w:ascii="Calibri" w:hAnsi="Calibri"/>
          <w:sz w:val="28"/>
          <w:szCs w:val="28"/>
          <w:rtl/>
        </w:rPr>
        <w:t xml:space="preserve"> </w:t>
      </w:r>
      <w:r w:rsidR="00E0081C">
        <w:rPr>
          <w:rFonts w:hint="cs" w:ascii="Calibri" w:hAnsi="Calibri"/>
          <w:sz w:val="28"/>
          <w:szCs w:val="28"/>
          <w:rtl/>
        </w:rPr>
        <w:t>-</w:t>
      </w:r>
      <w:r w:rsidRPr="000A22A7">
        <w:rPr>
          <w:rFonts w:ascii="Calibri" w:hAnsi="Calibri"/>
          <w:sz w:val="28"/>
          <w:szCs w:val="28"/>
          <w:rtl/>
        </w:rPr>
        <w:t xml:space="preserve"> 1995, </w:t>
      </w:r>
      <w:r w:rsidRPr="000A22A7">
        <w:rPr>
          <w:rFonts w:hint="eastAsia" w:ascii="Calibri" w:hAnsi="Calibri"/>
          <w:sz w:val="28"/>
          <w:szCs w:val="28"/>
          <w:rtl/>
        </w:rPr>
        <w:t>מסמיך</w:t>
      </w:r>
      <w:r w:rsidRPr="000A22A7">
        <w:rPr>
          <w:rFonts w:ascii="Calibri" w:hAnsi="Calibri"/>
          <w:sz w:val="28"/>
          <w:szCs w:val="28"/>
          <w:rtl/>
        </w:rPr>
        <w:t xml:space="preserve"> </w:t>
      </w:r>
      <w:r w:rsidRPr="000A22A7">
        <w:rPr>
          <w:rFonts w:hint="eastAsia" w:ascii="Calibri" w:hAnsi="Calibri"/>
          <w:sz w:val="28"/>
          <w:szCs w:val="28"/>
          <w:rtl/>
        </w:rPr>
        <w:t>את</w:t>
      </w:r>
      <w:r w:rsidRPr="000A22A7">
        <w:rPr>
          <w:rFonts w:ascii="Calibri" w:hAnsi="Calibri"/>
          <w:sz w:val="28"/>
          <w:szCs w:val="28"/>
          <w:rtl/>
        </w:rPr>
        <w:t xml:space="preserve"> </w:t>
      </w:r>
      <w:r w:rsidRPr="000A22A7">
        <w:rPr>
          <w:rFonts w:hint="eastAsia" w:ascii="Calibri" w:hAnsi="Calibri"/>
          <w:sz w:val="28"/>
          <w:szCs w:val="28"/>
          <w:rtl/>
        </w:rPr>
        <w:t>בית</w:t>
      </w:r>
      <w:r w:rsidRPr="000A22A7">
        <w:rPr>
          <w:rFonts w:ascii="Calibri" w:hAnsi="Calibri"/>
          <w:sz w:val="28"/>
          <w:szCs w:val="28"/>
          <w:rtl/>
        </w:rPr>
        <w:t xml:space="preserve"> </w:t>
      </w:r>
      <w:r w:rsidRPr="000A22A7">
        <w:rPr>
          <w:rFonts w:hint="eastAsia" w:ascii="Calibri" w:hAnsi="Calibri"/>
          <w:sz w:val="28"/>
          <w:szCs w:val="28"/>
          <w:rtl/>
        </w:rPr>
        <w:t>הדין</w:t>
      </w:r>
      <w:r w:rsidRPr="000A22A7">
        <w:rPr>
          <w:rFonts w:ascii="Calibri" w:hAnsi="Calibri"/>
          <w:sz w:val="28"/>
          <w:szCs w:val="28"/>
          <w:rtl/>
        </w:rPr>
        <w:t xml:space="preserve"> </w:t>
      </w:r>
      <w:r w:rsidRPr="000A22A7">
        <w:rPr>
          <w:rFonts w:hint="eastAsia" w:ascii="Calibri" w:hAnsi="Calibri"/>
          <w:sz w:val="28"/>
          <w:szCs w:val="28"/>
          <w:rtl/>
        </w:rPr>
        <w:t>לדון</w:t>
      </w:r>
      <w:r w:rsidRPr="000A22A7">
        <w:rPr>
          <w:rFonts w:ascii="Calibri" w:hAnsi="Calibri"/>
          <w:sz w:val="28"/>
          <w:szCs w:val="28"/>
          <w:rtl/>
        </w:rPr>
        <w:t xml:space="preserve">  </w:t>
      </w:r>
      <w:r w:rsidRPr="000A22A7">
        <w:rPr>
          <w:rFonts w:hint="eastAsia" w:ascii="Calibri" w:hAnsi="Calibri"/>
          <w:sz w:val="28"/>
          <w:szCs w:val="28"/>
          <w:rtl/>
        </w:rPr>
        <w:t>בערעור</w:t>
      </w:r>
      <w:r w:rsidRPr="000A22A7">
        <w:rPr>
          <w:rFonts w:ascii="Calibri" w:hAnsi="Calibri"/>
          <w:sz w:val="28"/>
          <w:szCs w:val="28"/>
          <w:rtl/>
        </w:rPr>
        <w:t xml:space="preserve"> </w:t>
      </w:r>
      <w:r w:rsidRPr="000A22A7">
        <w:rPr>
          <w:rFonts w:hint="eastAsia" w:ascii="Calibri" w:hAnsi="Calibri"/>
          <w:sz w:val="28"/>
          <w:szCs w:val="28"/>
          <w:rtl/>
        </w:rPr>
        <w:t>על</w:t>
      </w:r>
      <w:r w:rsidRPr="000A22A7">
        <w:rPr>
          <w:rFonts w:ascii="Calibri" w:hAnsi="Calibri"/>
          <w:sz w:val="28"/>
          <w:szCs w:val="28"/>
          <w:rtl/>
        </w:rPr>
        <w:t xml:space="preserve"> </w:t>
      </w:r>
      <w:r w:rsidRPr="000A22A7">
        <w:rPr>
          <w:rFonts w:hint="eastAsia" w:ascii="Calibri" w:hAnsi="Calibri"/>
          <w:sz w:val="28"/>
          <w:szCs w:val="28"/>
          <w:rtl/>
        </w:rPr>
        <w:t>החלטה</w:t>
      </w:r>
      <w:r w:rsidRPr="000A22A7">
        <w:rPr>
          <w:rFonts w:ascii="Calibri" w:hAnsi="Calibri"/>
          <w:sz w:val="28"/>
          <w:szCs w:val="28"/>
          <w:rtl/>
        </w:rPr>
        <w:t xml:space="preserve"> </w:t>
      </w:r>
      <w:r w:rsidRPr="000A22A7">
        <w:rPr>
          <w:rFonts w:hint="eastAsia" w:ascii="Calibri" w:hAnsi="Calibri"/>
          <w:sz w:val="28"/>
          <w:szCs w:val="28"/>
          <w:rtl/>
        </w:rPr>
        <w:t>של</w:t>
      </w:r>
      <w:r w:rsidRPr="000A22A7">
        <w:rPr>
          <w:rFonts w:ascii="Calibri" w:hAnsi="Calibri"/>
          <w:sz w:val="28"/>
          <w:szCs w:val="28"/>
          <w:rtl/>
        </w:rPr>
        <w:t xml:space="preserve"> </w:t>
      </w:r>
      <w:r w:rsidRPr="000A22A7">
        <w:rPr>
          <w:rFonts w:hint="eastAsia" w:ascii="Calibri" w:hAnsi="Calibri"/>
          <w:sz w:val="28"/>
          <w:szCs w:val="28"/>
          <w:rtl/>
        </w:rPr>
        <w:t>הועדה</w:t>
      </w:r>
      <w:r w:rsidRPr="000A22A7">
        <w:rPr>
          <w:rFonts w:ascii="Calibri" w:hAnsi="Calibri"/>
          <w:sz w:val="28"/>
          <w:szCs w:val="28"/>
          <w:rtl/>
        </w:rPr>
        <w:t xml:space="preserve"> </w:t>
      </w:r>
      <w:r w:rsidRPr="000A22A7">
        <w:rPr>
          <w:rFonts w:hint="eastAsia" w:ascii="Calibri" w:hAnsi="Calibri"/>
          <w:sz w:val="28"/>
          <w:szCs w:val="28"/>
          <w:rtl/>
        </w:rPr>
        <w:t>הרפואית</w:t>
      </w:r>
      <w:r w:rsidRPr="000A22A7">
        <w:rPr>
          <w:rFonts w:ascii="Calibri" w:hAnsi="Calibri"/>
          <w:sz w:val="28"/>
          <w:szCs w:val="28"/>
          <w:rtl/>
        </w:rPr>
        <w:t xml:space="preserve"> </w:t>
      </w:r>
      <w:r w:rsidRPr="000A22A7">
        <w:rPr>
          <w:rFonts w:hint="eastAsia" w:ascii="Calibri" w:hAnsi="Calibri"/>
          <w:sz w:val="28"/>
          <w:szCs w:val="28"/>
          <w:rtl/>
        </w:rPr>
        <w:t>לעררים</w:t>
      </w:r>
      <w:r w:rsidRPr="000A22A7">
        <w:rPr>
          <w:rFonts w:ascii="Calibri" w:hAnsi="Calibri"/>
          <w:sz w:val="28"/>
          <w:szCs w:val="28"/>
          <w:rtl/>
        </w:rPr>
        <w:t xml:space="preserve"> </w:t>
      </w:r>
      <w:r w:rsidRPr="000A22A7">
        <w:rPr>
          <w:rFonts w:hint="eastAsia" w:ascii="Calibri" w:hAnsi="Calibri"/>
          <w:sz w:val="28"/>
          <w:szCs w:val="28"/>
          <w:rtl/>
        </w:rPr>
        <w:t>בשאלות</w:t>
      </w:r>
      <w:r w:rsidRPr="000A22A7">
        <w:rPr>
          <w:rFonts w:ascii="Calibri" w:hAnsi="Calibri"/>
          <w:sz w:val="28"/>
          <w:szCs w:val="28"/>
          <w:rtl/>
        </w:rPr>
        <w:t xml:space="preserve"> </w:t>
      </w:r>
      <w:r w:rsidRPr="000A22A7">
        <w:rPr>
          <w:rFonts w:hint="eastAsia" w:ascii="Calibri" w:hAnsi="Calibri"/>
          <w:sz w:val="28"/>
          <w:szCs w:val="28"/>
          <w:rtl/>
        </w:rPr>
        <w:t>משפטיות</w:t>
      </w:r>
      <w:r w:rsidRPr="000A22A7">
        <w:rPr>
          <w:rFonts w:ascii="Calibri" w:hAnsi="Calibri"/>
          <w:sz w:val="28"/>
          <w:szCs w:val="28"/>
          <w:rtl/>
        </w:rPr>
        <w:t xml:space="preserve"> </w:t>
      </w:r>
      <w:r w:rsidRPr="000A22A7">
        <w:rPr>
          <w:rFonts w:hint="eastAsia" w:ascii="Calibri" w:hAnsi="Calibri"/>
          <w:sz w:val="28"/>
          <w:szCs w:val="28"/>
          <w:rtl/>
        </w:rPr>
        <w:t>בלבד</w:t>
      </w:r>
      <w:r w:rsidRPr="000A22A7">
        <w:rPr>
          <w:rFonts w:ascii="Calibri" w:hAnsi="Calibri"/>
          <w:sz w:val="28"/>
          <w:szCs w:val="28"/>
          <w:rtl/>
        </w:rPr>
        <w:t xml:space="preserve">, </w:t>
      </w:r>
      <w:r w:rsidRPr="000A22A7">
        <w:rPr>
          <w:rFonts w:hint="eastAsia" w:ascii="Calibri" w:hAnsi="Calibri"/>
          <w:sz w:val="28"/>
          <w:szCs w:val="28"/>
          <w:rtl/>
        </w:rPr>
        <w:t>ולבחון</w:t>
      </w:r>
      <w:r w:rsidRPr="000A22A7">
        <w:rPr>
          <w:rFonts w:ascii="Calibri" w:hAnsi="Calibri"/>
          <w:sz w:val="28"/>
          <w:szCs w:val="28"/>
          <w:rtl/>
        </w:rPr>
        <w:t xml:space="preserve"> </w:t>
      </w:r>
      <w:r w:rsidRPr="000A22A7">
        <w:rPr>
          <w:rFonts w:hint="eastAsia" w:ascii="Calibri" w:hAnsi="Calibri"/>
          <w:sz w:val="28"/>
          <w:szCs w:val="28"/>
          <w:rtl/>
        </w:rPr>
        <w:t>אם</w:t>
      </w:r>
      <w:r w:rsidRPr="000A22A7">
        <w:rPr>
          <w:rFonts w:ascii="Calibri" w:hAnsi="Calibri"/>
          <w:sz w:val="28"/>
          <w:szCs w:val="28"/>
          <w:rtl/>
        </w:rPr>
        <w:t xml:space="preserve"> </w:t>
      </w:r>
      <w:r w:rsidRPr="000A22A7">
        <w:rPr>
          <w:rFonts w:hint="eastAsia" w:ascii="Calibri" w:hAnsi="Calibri"/>
          <w:sz w:val="28"/>
          <w:szCs w:val="28"/>
          <w:rtl/>
        </w:rPr>
        <w:t>טעתה</w:t>
      </w:r>
      <w:r w:rsidRPr="000A22A7">
        <w:rPr>
          <w:rFonts w:ascii="Calibri" w:hAnsi="Calibri"/>
          <w:sz w:val="28"/>
          <w:szCs w:val="28"/>
          <w:rtl/>
        </w:rPr>
        <w:t xml:space="preserve"> </w:t>
      </w:r>
      <w:r w:rsidRPr="000A22A7">
        <w:rPr>
          <w:rFonts w:hint="eastAsia" w:ascii="Calibri" w:hAnsi="Calibri"/>
          <w:sz w:val="28"/>
          <w:szCs w:val="28"/>
          <w:rtl/>
        </w:rPr>
        <w:t>הוועדה</w:t>
      </w:r>
      <w:r w:rsidRPr="000A22A7">
        <w:rPr>
          <w:rFonts w:ascii="Calibri" w:hAnsi="Calibri"/>
          <w:sz w:val="28"/>
          <w:szCs w:val="28"/>
          <w:rtl/>
        </w:rPr>
        <w:t xml:space="preserve"> </w:t>
      </w:r>
      <w:r w:rsidRPr="000A22A7">
        <w:rPr>
          <w:rFonts w:hint="eastAsia" w:ascii="Calibri" w:hAnsi="Calibri"/>
          <w:sz w:val="28"/>
          <w:szCs w:val="28"/>
          <w:rtl/>
        </w:rPr>
        <w:t>בשאלה</w:t>
      </w:r>
      <w:r w:rsidRPr="000A22A7">
        <w:rPr>
          <w:rFonts w:ascii="Calibri" w:hAnsi="Calibri"/>
          <w:sz w:val="28"/>
          <w:szCs w:val="28"/>
          <w:rtl/>
        </w:rPr>
        <w:t xml:space="preserve"> </w:t>
      </w:r>
      <w:r w:rsidRPr="000A22A7">
        <w:rPr>
          <w:rFonts w:hint="eastAsia" w:ascii="Calibri" w:hAnsi="Calibri"/>
          <w:sz w:val="28"/>
          <w:szCs w:val="28"/>
          <w:rtl/>
        </w:rPr>
        <w:t>שבחוק</w:t>
      </w:r>
      <w:r w:rsidRPr="000A22A7">
        <w:rPr>
          <w:rFonts w:ascii="Calibri" w:hAnsi="Calibri"/>
          <w:sz w:val="28"/>
          <w:szCs w:val="28"/>
          <w:rtl/>
        </w:rPr>
        <w:t xml:space="preserve">, </w:t>
      </w:r>
      <w:r w:rsidRPr="000A22A7">
        <w:rPr>
          <w:rFonts w:hint="eastAsia" w:ascii="Calibri" w:hAnsi="Calibri"/>
          <w:sz w:val="28"/>
          <w:szCs w:val="28"/>
          <w:rtl/>
        </w:rPr>
        <w:t>חרגה</w:t>
      </w:r>
      <w:r w:rsidRPr="000A22A7">
        <w:rPr>
          <w:rFonts w:ascii="Calibri" w:hAnsi="Calibri"/>
          <w:sz w:val="28"/>
          <w:szCs w:val="28"/>
          <w:rtl/>
        </w:rPr>
        <w:t xml:space="preserve"> </w:t>
      </w:r>
      <w:r w:rsidRPr="000A22A7">
        <w:rPr>
          <w:rFonts w:hint="eastAsia" w:ascii="Calibri" w:hAnsi="Calibri"/>
          <w:sz w:val="28"/>
          <w:szCs w:val="28"/>
          <w:rtl/>
        </w:rPr>
        <w:t>מסמכותה</w:t>
      </w:r>
      <w:r w:rsidRPr="000A22A7">
        <w:rPr>
          <w:rFonts w:ascii="Calibri" w:hAnsi="Calibri"/>
          <w:sz w:val="28"/>
          <w:szCs w:val="28"/>
          <w:rtl/>
        </w:rPr>
        <w:t xml:space="preserve">, </w:t>
      </w:r>
      <w:r w:rsidRPr="000A22A7">
        <w:rPr>
          <w:rFonts w:hint="eastAsia" w:ascii="Calibri" w:hAnsi="Calibri"/>
          <w:sz w:val="28"/>
          <w:szCs w:val="28"/>
          <w:rtl/>
        </w:rPr>
        <w:t>הסתמכה</w:t>
      </w:r>
      <w:r w:rsidRPr="000A22A7">
        <w:rPr>
          <w:rFonts w:ascii="Calibri" w:hAnsi="Calibri"/>
          <w:sz w:val="28"/>
          <w:szCs w:val="28"/>
          <w:rtl/>
        </w:rPr>
        <w:t xml:space="preserve"> </w:t>
      </w:r>
      <w:r w:rsidRPr="000A22A7">
        <w:rPr>
          <w:rFonts w:hint="eastAsia" w:ascii="Calibri" w:hAnsi="Calibri"/>
          <w:sz w:val="28"/>
          <w:szCs w:val="28"/>
          <w:rtl/>
        </w:rPr>
        <w:t>על</w:t>
      </w:r>
      <w:r w:rsidRPr="000A22A7">
        <w:rPr>
          <w:rFonts w:ascii="Calibri" w:hAnsi="Calibri"/>
          <w:sz w:val="28"/>
          <w:szCs w:val="28"/>
          <w:rtl/>
        </w:rPr>
        <w:t xml:space="preserve"> </w:t>
      </w:r>
      <w:r w:rsidRPr="000A22A7">
        <w:rPr>
          <w:rFonts w:hint="eastAsia" w:ascii="Calibri" w:hAnsi="Calibri"/>
          <w:sz w:val="28"/>
          <w:szCs w:val="28"/>
          <w:rtl/>
        </w:rPr>
        <w:t>שיקולים</w:t>
      </w:r>
      <w:r w:rsidRPr="000A22A7">
        <w:rPr>
          <w:rFonts w:ascii="Calibri" w:hAnsi="Calibri"/>
          <w:sz w:val="28"/>
          <w:szCs w:val="28"/>
          <w:rtl/>
        </w:rPr>
        <w:t xml:space="preserve"> </w:t>
      </w:r>
      <w:r w:rsidRPr="000A22A7">
        <w:rPr>
          <w:rFonts w:hint="eastAsia" w:ascii="Calibri" w:hAnsi="Calibri"/>
          <w:sz w:val="28"/>
          <w:szCs w:val="28"/>
          <w:rtl/>
        </w:rPr>
        <w:t>זרים</w:t>
      </w:r>
      <w:r w:rsidRPr="000A22A7">
        <w:rPr>
          <w:rFonts w:ascii="Calibri" w:hAnsi="Calibri"/>
          <w:sz w:val="28"/>
          <w:szCs w:val="28"/>
          <w:rtl/>
        </w:rPr>
        <w:t xml:space="preserve"> </w:t>
      </w:r>
      <w:r w:rsidRPr="000A22A7">
        <w:rPr>
          <w:rFonts w:hint="eastAsia" w:ascii="Calibri" w:hAnsi="Calibri"/>
          <w:sz w:val="28"/>
          <w:szCs w:val="28"/>
          <w:rtl/>
        </w:rPr>
        <w:t>או</w:t>
      </w:r>
      <w:r w:rsidRPr="000A22A7">
        <w:rPr>
          <w:rFonts w:ascii="Calibri" w:hAnsi="Calibri"/>
          <w:sz w:val="28"/>
          <w:szCs w:val="28"/>
          <w:rtl/>
        </w:rPr>
        <w:t xml:space="preserve"> </w:t>
      </w:r>
      <w:r w:rsidRPr="000A22A7">
        <w:rPr>
          <w:rFonts w:hint="eastAsia" w:ascii="Calibri" w:hAnsi="Calibri"/>
          <w:sz w:val="28"/>
          <w:szCs w:val="28"/>
          <w:rtl/>
        </w:rPr>
        <w:t>התעלמה</w:t>
      </w:r>
      <w:r w:rsidRPr="000A22A7">
        <w:rPr>
          <w:rFonts w:ascii="Calibri" w:hAnsi="Calibri"/>
          <w:sz w:val="28"/>
          <w:szCs w:val="28"/>
          <w:rtl/>
        </w:rPr>
        <w:t xml:space="preserve"> </w:t>
      </w:r>
      <w:r w:rsidRPr="000A22A7">
        <w:rPr>
          <w:rFonts w:hint="eastAsia" w:ascii="Calibri" w:hAnsi="Calibri"/>
          <w:sz w:val="28"/>
          <w:szCs w:val="28"/>
          <w:rtl/>
        </w:rPr>
        <w:t>מהוראה</w:t>
      </w:r>
      <w:r w:rsidRPr="000A22A7">
        <w:rPr>
          <w:rFonts w:ascii="Calibri" w:hAnsi="Calibri"/>
          <w:sz w:val="28"/>
          <w:szCs w:val="28"/>
          <w:rtl/>
        </w:rPr>
        <w:t xml:space="preserve"> </w:t>
      </w:r>
      <w:r w:rsidRPr="000A22A7">
        <w:rPr>
          <w:rFonts w:hint="eastAsia" w:ascii="Calibri" w:hAnsi="Calibri"/>
          <w:sz w:val="28"/>
          <w:szCs w:val="28"/>
          <w:rtl/>
        </w:rPr>
        <w:t>המחייבת</w:t>
      </w:r>
      <w:r w:rsidRPr="000A22A7">
        <w:rPr>
          <w:rFonts w:ascii="Calibri" w:hAnsi="Calibri"/>
          <w:sz w:val="28"/>
          <w:szCs w:val="28"/>
          <w:rtl/>
        </w:rPr>
        <w:t xml:space="preserve"> </w:t>
      </w:r>
      <w:r w:rsidRPr="000A22A7">
        <w:rPr>
          <w:rFonts w:hint="eastAsia" w:ascii="Calibri" w:hAnsi="Calibri"/>
          <w:sz w:val="28"/>
          <w:szCs w:val="28"/>
          <w:rtl/>
        </w:rPr>
        <w:t>אותה</w:t>
      </w:r>
      <w:r w:rsidRPr="000A22A7">
        <w:rPr>
          <w:rFonts w:ascii="Calibri" w:hAnsi="Calibri"/>
          <w:sz w:val="28"/>
          <w:szCs w:val="28"/>
          <w:rtl/>
        </w:rPr>
        <w:t xml:space="preserve"> (</w:t>
      </w:r>
      <w:hyperlink w:history="1" r:id="rId12">
        <w:r w:rsidRPr="000A22A7">
          <w:rPr>
            <w:rFonts w:hint="eastAsia" w:ascii="Calibri" w:hAnsi="Calibri"/>
            <w:sz w:val="28"/>
            <w:szCs w:val="28"/>
            <w:rtl/>
          </w:rPr>
          <w:t>עב</w:t>
        </w:r>
        <w:r w:rsidRPr="000A22A7">
          <w:rPr>
            <w:rFonts w:ascii="Calibri" w:hAnsi="Calibri"/>
            <w:sz w:val="28"/>
            <w:szCs w:val="28"/>
            <w:rtl/>
          </w:rPr>
          <w:t>"</w:t>
        </w:r>
        <w:r w:rsidRPr="000A22A7">
          <w:rPr>
            <w:rFonts w:hint="eastAsia" w:ascii="Calibri" w:hAnsi="Calibri"/>
            <w:sz w:val="28"/>
            <w:szCs w:val="28"/>
            <w:rtl/>
          </w:rPr>
          <w:t>ל</w:t>
        </w:r>
        <w:r w:rsidRPr="000A22A7">
          <w:rPr>
            <w:rFonts w:ascii="Calibri" w:hAnsi="Calibri"/>
            <w:sz w:val="28"/>
            <w:szCs w:val="28"/>
            <w:rtl/>
          </w:rPr>
          <w:t xml:space="preserve"> (</w:t>
        </w:r>
        <w:r w:rsidRPr="000A22A7">
          <w:rPr>
            <w:rFonts w:hint="eastAsia" w:ascii="Calibri" w:hAnsi="Calibri"/>
            <w:sz w:val="28"/>
            <w:szCs w:val="28"/>
            <w:rtl/>
          </w:rPr>
          <w:t>ארצי</w:t>
        </w:r>
        <w:r w:rsidRPr="000A22A7">
          <w:rPr>
            <w:rFonts w:ascii="Calibri" w:hAnsi="Calibri"/>
            <w:sz w:val="28"/>
            <w:szCs w:val="28"/>
            <w:rtl/>
          </w:rPr>
          <w:t>) 10014/98</w:t>
        </w:r>
      </w:hyperlink>
      <w:r w:rsidRPr="000A22A7">
        <w:rPr>
          <w:rFonts w:ascii="Calibri" w:hAnsi="Calibri"/>
          <w:sz w:val="28"/>
          <w:szCs w:val="28"/>
          <w:rtl/>
        </w:rPr>
        <w:t xml:space="preserve"> </w:t>
      </w:r>
      <w:r w:rsidRPr="000A22A7">
        <w:rPr>
          <w:rFonts w:hint="eastAsia" w:ascii="Calibri" w:hAnsi="Calibri"/>
          <w:b/>
          <w:bCs/>
          <w:sz w:val="28"/>
          <w:szCs w:val="28"/>
          <w:rtl/>
        </w:rPr>
        <w:t>יצחק</w:t>
      </w:r>
      <w:r w:rsidRPr="000A22A7">
        <w:rPr>
          <w:rFonts w:ascii="Calibri" w:hAnsi="Calibri"/>
          <w:b/>
          <w:bCs/>
          <w:sz w:val="28"/>
          <w:szCs w:val="28"/>
          <w:rtl/>
        </w:rPr>
        <w:t xml:space="preserve"> </w:t>
      </w:r>
      <w:r w:rsidRPr="000A22A7">
        <w:rPr>
          <w:rFonts w:hint="eastAsia" w:ascii="Calibri" w:hAnsi="Calibri"/>
          <w:b/>
          <w:bCs/>
          <w:sz w:val="28"/>
          <w:szCs w:val="28"/>
          <w:rtl/>
        </w:rPr>
        <w:t>הוד</w:t>
      </w:r>
      <w:r w:rsidRPr="000A22A7">
        <w:rPr>
          <w:rFonts w:ascii="Calibri" w:hAnsi="Calibri"/>
          <w:b/>
          <w:bCs/>
          <w:sz w:val="28"/>
          <w:szCs w:val="28"/>
          <w:rtl/>
        </w:rPr>
        <w:t xml:space="preserve"> </w:t>
      </w:r>
      <w:r w:rsidR="00E0081C">
        <w:rPr>
          <w:rFonts w:hint="cs" w:ascii="Calibri" w:hAnsi="Calibri"/>
          <w:b/>
          <w:bCs/>
          <w:sz w:val="28"/>
          <w:szCs w:val="28"/>
          <w:rtl/>
        </w:rPr>
        <w:t>-</w:t>
      </w:r>
      <w:r w:rsidRPr="000A22A7">
        <w:rPr>
          <w:rFonts w:ascii="Calibri" w:hAnsi="Calibri"/>
          <w:b/>
          <w:bCs/>
          <w:sz w:val="28"/>
          <w:szCs w:val="28"/>
          <w:rtl/>
        </w:rPr>
        <w:t xml:space="preserve"> </w:t>
      </w:r>
      <w:r w:rsidRPr="000A22A7">
        <w:rPr>
          <w:rFonts w:hint="eastAsia" w:ascii="Calibri" w:hAnsi="Calibri"/>
          <w:b/>
          <w:bCs/>
          <w:sz w:val="28"/>
          <w:szCs w:val="28"/>
          <w:rtl/>
        </w:rPr>
        <w:t>המוסד</w:t>
      </w:r>
      <w:r w:rsidRPr="000A22A7">
        <w:rPr>
          <w:rFonts w:ascii="Calibri" w:hAnsi="Calibri"/>
          <w:b/>
          <w:bCs/>
          <w:sz w:val="28"/>
          <w:szCs w:val="28"/>
          <w:rtl/>
        </w:rPr>
        <w:t xml:space="preserve"> </w:t>
      </w:r>
      <w:r w:rsidRPr="000A22A7">
        <w:rPr>
          <w:rFonts w:hint="eastAsia" w:ascii="Calibri" w:hAnsi="Calibri"/>
          <w:b/>
          <w:bCs/>
          <w:sz w:val="28"/>
          <w:szCs w:val="28"/>
          <w:rtl/>
        </w:rPr>
        <w:t>לביטוח</w:t>
      </w:r>
      <w:r w:rsidRPr="000A22A7">
        <w:rPr>
          <w:rFonts w:ascii="Calibri" w:hAnsi="Calibri"/>
          <w:b/>
          <w:bCs/>
          <w:sz w:val="28"/>
          <w:szCs w:val="28"/>
          <w:rtl/>
        </w:rPr>
        <w:t xml:space="preserve"> </w:t>
      </w:r>
      <w:r w:rsidRPr="000A22A7">
        <w:rPr>
          <w:rFonts w:hint="eastAsia" w:ascii="Calibri" w:hAnsi="Calibri"/>
          <w:b/>
          <w:bCs/>
          <w:sz w:val="28"/>
          <w:szCs w:val="28"/>
          <w:rtl/>
        </w:rPr>
        <w:t>לאומי</w:t>
      </w:r>
      <w:r w:rsidRPr="000A22A7">
        <w:rPr>
          <w:rFonts w:ascii="Calibri" w:hAnsi="Calibri"/>
          <w:sz w:val="28"/>
          <w:szCs w:val="28"/>
          <w:rtl/>
        </w:rPr>
        <w:t xml:space="preserve">, </w:t>
      </w:r>
      <w:r w:rsidRPr="000A22A7">
        <w:rPr>
          <w:rFonts w:hint="eastAsia" w:ascii="Calibri" w:hAnsi="Calibri"/>
          <w:sz w:val="28"/>
          <w:szCs w:val="28"/>
          <w:rtl/>
        </w:rPr>
        <w:t>פד</w:t>
      </w:r>
      <w:r w:rsidRPr="000A22A7">
        <w:rPr>
          <w:rFonts w:ascii="Calibri" w:hAnsi="Calibri"/>
          <w:sz w:val="28"/>
          <w:szCs w:val="28"/>
          <w:rtl/>
        </w:rPr>
        <w:t>"</w:t>
      </w:r>
      <w:r w:rsidRPr="000A22A7">
        <w:rPr>
          <w:rFonts w:hint="eastAsia" w:ascii="Calibri" w:hAnsi="Calibri"/>
          <w:sz w:val="28"/>
          <w:szCs w:val="28"/>
          <w:rtl/>
        </w:rPr>
        <w:t>ע</w:t>
      </w:r>
      <w:r w:rsidRPr="000A22A7">
        <w:rPr>
          <w:rFonts w:ascii="Calibri" w:hAnsi="Calibri"/>
          <w:sz w:val="28"/>
          <w:szCs w:val="28"/>
          <w:rtl/>
        </w:rPr>
        <w:t xml:space="preserve"> </w:t>
      </w:r>
      <w:r w:rsidRPr="000A22A7">
        <w:rPr>
          <w:rFonts w:hint="eastAsia" w:ascii="Calibri" w:hAnsi="Calibri"/>
          <w:sz w:val="28"/>
          <w:szCs w:val="28"/>
          <w:rtl/>
        </w:rPr>
        <w:t>לד</w:t>
      </w:r>
      <w:r w:rsidRPr="000A22A7">
        <w:rPr>
          <w:rFonts w:ascii="Calibri" w:hAnsi="Calibri"/>
          <w:sz w:val="28"/>
          <w:szCs w:val="28"/>
          <w:rtl/>
        </w:rPr>
        <w:t>, 213).</w:t>
      </w:r>
    </w:p>
    <w:p w:rsidR="00602792" w:rsidP="00602792" w:rsidRDefault="00602792">
      <w:pPr>
        <w:spacing w:line="360" w:lineRule="auto"/>
        <w:contextualSpacing/>
        <w:jc w:val="both"/>
        <w:rPr>
          <w:rFonts w:ascii="Calibri" w:hAnsi="Calibri"/>
          <w:sz w:val="28"/>
          <w:szCs w:val="28"/>
          <w:rtl/>
        </w:rPr>
      </w:pPr>
    </w:p>
    <w:p w:rsidR="00E0081C" w:rsidP="00BF118D" w:rsidRDefault="00602792">
      <w:pPr>
        <w:spacing w:line="360" w:lineRule="auto"/>
        <w:ind w:left="720" w:hanging="720"/>
        <w:contextualSpacing/>
        <w:jc w:val="both"/>
        <w:rPr>
          <w:rFonts w:ascii="Calibri" w:hAnsi="Calibri"/>
          <w:sz w:val="28"/>
          <w:szCs w:val="28"/>
          <w:rtl/>
        </w:rPr>
      </w:pPr>
      <w:r w:rsidRPr="00602792">
        <w:rPr>
          <w:rFonts w:hint="cs" w:ascii="Calibri" w:hAnsi="Calibri"/>
          <w:b/>
          <w:bCs/>
          <w:sz w:val="28"/>
          <w:szCs w:val="28"/>
          <w:rtl/>
        </w:rPr>
        <w:t>7.</w:t>
      </w:r>
      <w:r>
        <w:rPr>
          <w:rFonts w:hint="cs" w:ascii="Calibri" w:hAnsi="Calibri"/>
          <w:sz w:val="28"/>
          <w:szCs w:val="28"/>
          <w:rtl/>
        </w:rPr>
        <w:tab/>
      </w:r>
      <w:r w:rsidR="00E0081C">
        <w:rPr>
          <w:rFonts w:hint="cs" w:ascii="Calibri" w:hAnsi="Calibri"/>
          <w:sz w:val="28"/>
          <w:szCs w:val="28"/>
          <w:rtl/>
        </w:rPr>
        <w:t xml:space="preserve">בעניינה של המערערת מתמקד </w:t>
      </w:r>
      <w:r w:rsidR="006D20D0">
        <w:rPr>
          <w:rFonts w:hint="cs" w:ascii="Calibri" w:hAnsi="Calibri"/>
          <w:sz w:val="28"/>
          <w:szCs w:val="28"/>
          <w:rtl/>
        </w:rPr>
        <w:t>ערעורה בהחלטת ועדת</w:t>
      </w:r>
      <w:r w:rsidR="00BF118D">
        <w:rPr>
          <w:rFonts w:hint="cs" w:ascii="Calibri" w:hAnsi="Calibri"/>
          <w:sz w:val="28"/>
          <w:szCs w:val="28"/>
          <w:rtl/>
        </w:rPr>
        <w:t xml:space="preserve"> ה</w:t>
      </w:r>
      <w:r w:rsidR="006D20D0">
        <w:rPr>
          <w:rFonts w:hint="cs" w:ascii="Calibri" w:hAnsi="Calibri"/>
          <w:sz w:val="28"/>
          <w:szCs w:val="28"/>
          <w:rtl/>
        </w:rPr>
        <w:t>רשות, אשר אומצה על ידי הועדה, שלא להפעיל את תקנה 15.</w:t>
      </w:r>
    </w:p>
    <w:p w:rsidR="006D20D0" w:rsidP="006D20D0" w:rsidRDefault="006D20D0">
      <w:pPr>
        <w:spacing w:line="360" w:lineRule="auto"/>
        <w:ind w:left="720"/>
        <w:contextualSpacing/>
        <w:jc w:val="both"/>
        <w:rPr>
          <w:rFonts w:ascii="Calibri" w:hAnsi="Calibri"/>
          <w:sz w:val="28"/>
          <w:szCs w:val="28"/>
          <w:rtl/>
        </w:rPr>
      </w:pPr>
    </w:p>
    <w:p w:rsidRPr="00602792" w:rsidR="00602792" w:rsidP="00602792" w:rsidRDefault="00602792">
      <w:pPr>
        <w:spacing w:line="360" w:lineRule="auto"/>
        <w:contextualSpacing/>
        <w:jc w:val="both"/>
        <w:rPr>
          <w:rFonts w:ascii="Calibri" w:hAnsi="Calibri"/>
          <w:b/>
          <w:bCs/>
          <w:sz w:val="28"/>
          <w:szCs w:val="28"/>
          <w:rtl/>
        </w:rPr>
      </w:pPr>
      <w:r w:rsidRPr="00602792">
        <w:rPr>
          <w:rFonts w:hint="cs" w:ascii="Calibri" w:hAnsi="Calibri"/>
          <w:b/>
          <w:bCs/>
          <w:sz w:val="28"/>
          <w:szCs w:val="28"/>
          <w:rtl/>
        </w:rPr>
        <w:t>8.</w:t>
      </w:r>
      <w:r w:rsidRPr="00602792">
        <w:rPr>
          <w:rFonts w:hint="cs" w:ascii="Calibri" w:hAnsi="Calibri"/>
          <w:b/>
          <w:bCs/>
          <w:sz w:val="28"/>
          <w:szCs w:val="28"/>
          <w:rtl/>
        </w:rPr>
        <w:tab/>
        <w:t>דיון והכרעה</w:t>
      </w:r>
    </w:p>
    <w:p w:rsidR="006D20D0" w:rsidP="00602792" w:rsidRDefault="006D20D0">
      <w:pPr>
        <w:spacing w:line="360" w:lineRule="auto"/>
        <w:ind w:firstLine="720"/>
        <w:contextualSpacing/>
        <w:jc w:val="both"/>
        <w:rPr>
          <w:rFonts w:ascii="Calibri" w:hAnsi="Calibri"/>
          <w:sz w:val="28"/>
          <w:szCs w:val="28"/>
          <w:rtl/>
        </w:rPr>
      </w:pPr>
      <w:r>
        <w:rPr>
          <w:rFonts w:hint="cs" w:ascii="Calibri" w:hAnsi="Calibri"/>
          <w:sz w:val="28"/>
          <w:szCs w:val="28"/>
          <w:rtl/>
        </w:rPr>
        <w:t>תקנה 15 לאחר תיקון תש"ס, קובעת כי:</w:t>
      </w:r>
    </w:p>
    <w:p w:rsidRPr="006D20D0" w:rsidR="006D20D0" w:rsidP="00602792" w:rsidRDefault="00602792">
      <w:pPr>
        <w:spacing w:line="360" w:lineRule="auto"/>
        <w:ind w:left="2880" w:right="1134" w:hanging="1455"/>
        <w:jc w:val="both"/>
        <w:rPr>
          <w:b/>
          <w:bCs/>
          <w:sz w:val="28"/>
          <w:szCs w:val="28"/>
          <w:rtl/>
        </w:rPr>
      </w:pPr>
      <w:r>
        <w:rPr>
          <w:rFonts w:hint="cs"/>
          <w:b/>
          <w:bCs/>
          <w:sz w:val="28"/>
          <w:szCs w:val="28"/>
          <w:rtl/>
        </w:rPr>
        <w:t>"</w:t>
      </w:r>
      <w:r w:rsidRPr="006D20D0" w:rsidR="006D20D0">
        <w:rPr>
          <w:b/>
          <w:bCs/>
          <w:sz w:val="28"/>
          <w:szCs w:val="28"/>
          <w:rtl/>
        </w:rPr>
        <w:t>15.</w:t>
      </w:r>
      <w:r>
        <w:rPr>
          <w:rFonts w:hint="cs"/>
          <w:b/>
          <w:bCs/>
          <w:sz w:val="28"/>
          <w:szCs w:val="28"/>
          <w:rtl/>
        </w:rPr>
        <w:t xml:space="preserve">       א.</w:t>
      </w:r>
      <w:r>
        <w:rPr>
          <w:b/>
          <w:bCs/>
          <w:sz w:val="28"/>
          <w:szCs w:val="28"/>
          <w:rtl/>
        </w:rPr>
        <w:tab/>
      </w:r>
      <w:r w:rsidRPr="006D20D0" w:rsidR="006D20D0">
        <w:rPr>
          <w:b/>
          <w:bCs/>
          <w:sz w:val="28"/>
          <w:szCs w:val="28"/>
          <w:rtl/>
        </w:rPr>
        <w:t>הועדה  רשאית  לקבוע  דרגת  נכות  יציבה  גדולה  עד</w:t>
      </w:r>
      <w:r w:rsidRPr="006D20D0" w:rsidR="006D20D0">
        <w:rPr>
          <w:b/>
          <w:bCs/>
          <w:sz w:val="28"/>
          <w:szCs w:val="28"/>
          <w:rtl/>
        </w:rPr>
        <w:tab/>
        <w:t>מחצית מזו שנקבעה לצד המבחנים, או מזו שנקבעה מכוח תקנות 14 או 31(ב) בשים לב למקצועו ולגילו של הנפגע, ובלבד שדרגת הנכות היציבה כתוצאה משינוי זה לא תעלה על 19% אם דרגת הנכות פחותה מ-20%, ובכל מקרה אחר לא תעלה על 100%.</w:t>
      </w:r>
    </w:p>
    <w:p w:rsidRPr="006D20D0" w:rsidR="006D20D0" w:rsidP="00147B53" w:rsidRDefault="006D20D0">
      <w:pPr>
        <w:spacing w:line="360" w:lineRule="auto"/>
        <w:ind w:left="2880" w:right="1134" w:hanging="720"/>
        <w:jc w:val="both"/>
        <w:rPr>
          <w:b/>
          <w:bCs/>
          <w:sz w:val="28"/>
          <w:szCs w:val="28"/>
          <w:rtl/>
        </w:rPr>
      </w:pPr>
      <w:r w:rsidRPr="006D20D0">
        <w:rPr>
          <w:b/>
          <w:bCs/>
          <w:sz w:val="28"/>
          <w:szCs w:val="28"/>
          <w:rtl/>
        </w:rPr>
        <w:t>ב.</w:t>
      </w:r>
      <w:r w:rsidRPr="006D20D0">
        <w:rPr>
          <w:b/>
          <w:bCs/>
          <w:sz w:val="28"/>
          <w:szCs w:val="28"/>
          <w:rtl/>
        </w:rPr>
        <w:tab/>
        <w:t>הועדה תתחשב במקצועו של הנפגע כאשר לדעתה הוא אינו מסוגל לחזור לעבודתו או לעיסוקו והנכות הביאה לירידה ניכרת ולא לזמן מוגבל בהכנסותיו.</w:t>
      </w:r>
    </w:p>
    <w:p w:rsidRPr="006D20D0" w:rsidR="006D20D0" w:rsidP="00147B53" w:rsidRDefault="006D20D0">
      <w:pPr>
        <w:spacing w:line="360" w:lineRule="auto"/>
        <w:ind w:left="2880" w:right="1134" w:hanging="720"/>
        <w:jc w:val="both"/>
        <w:rPr>
          <w:b/>
          <w:bCs/>
          <w:sz w:val="28"/>
          <w:szCs w:val="28"/>
          <w:rtl/>
        </w:rPr>
      </w:pPr>
      <w:r w:rsidRPr="006D20D0">
        <w:rPr>
          <w:b/>
          <w:bCs/>
          <w:sz w:val="28"/>
          <w:szCs w:val="28"/>
          <w:rtl/>
        </w:rPr>
        <w:t>ג.</w:t>
      </w:r>
      <w:r w:rsidRPr="006D20D0">
        <w:rPr>
          <w:b/>
          <w:bCs/>
          <w:sz w:val="28"/>
          <w:szCs w:val="28"/>
          <w:rtl/>
        </w:rPr>
        <w:tab/>
        <w:t>בוטל.</w:t>
      </w:r>
    </w:p>
    <w:p w:rsidRPr="006D20D0" w:rsidR="006D20D0" w:rsidP="00147B53" w:rsidRDefault="006D20D0">
      <w:pPr>
        <w:spacing w:line="360" w:lineRule="auto"/>
        <w:ind w:left="2880" w:right="1134" w:hanging="720"/>
        <w:jc w:val="both"/>
        <w:rPr>
          <w:b/>
          <w:bCs/>
          <w:sz w:val="28"/>
          <w:szCs w:val="28"/>
          <w:rtl/>
        </w:rPr>
      </w:pPr>
      <w:r w:rsidRPr="006D20D0">
        <w:rPr>
          <w:b/>
          <w:bCs/>
          <w:sz w:val="28"/>
          <w:szCs w:val="28"/>
          <w:rtl/>
        </w:rPr>
        <w:t>ד.</w:t>
      </w:r>
      <w:r w:rsidRPr="006D20D0">
        <w:rPr>
          <w:b/>
          <w:bCs/>
          <w:sz w:val="28"/>
          <w:szCs w:val="28"/>
          <w:rtl/>
        </w:rPr>
        <w:tab/>
        <w:t>הועדה תקבע את דרגת הנכות לפי תקנה זו רק לגבי אותן הפגימות הנובעות מהפגיעה בעבודה שבקשר אתה נקבעה דרגת הנכות, ולאחר שנוכו פגימות שאינן קשורות באותה פגיעה בעבודה."</w:t>
      </w:r>
      <w:r w:rsidRPr="006D20D0">
        <w:rPr>
          <w:b/>
          <w:bCs/>
          <w:sz w:val="28"/>
          <w:szCs w:val="28"/>
          <w:rtl/>
        </w:rPr>
        <w:tab/>
      </w:r>
    </w:p>
    <w:p w:rsidR="006D20D0" w:rsidP="006D20D0" w:rsidRDefault="006D20D0">
      <w:pPr>
        <w:spacing w:line="360" w:lineRule="auto"/>
        <w:ind w:left="720" w:hanging="720"/>
        <w:jc w:val="both"/>
        <w:rPr>
          <w:sz w:val="28"/>
          <w:szCs w:val="28"/>
          <w:rtl/>
        </w:rPr>
      </w:pPr>
    </w:p>
    <w:p w:rsidR="006D20D0" w:rsidP="006D20D0" w:rsidRDefault="006D20D0">
      <w:pPr>
        <w:spacing w:line="360" w:lineRule="auto"/>
        <w:ind w:left="720"/>
        <w:jc w:val="both"/>
        <w:rPr>
          <w:sz w:val="28"/>
          <w:szCs w:val="28"/>
          <w:rtl/>
        </w:rPr>
      </w:pPr>
      <w:r>
        <w:rPr>
          <w:rFonts w:hint="cs"/>
          <w:sz w:val="28"/>
          <w:szCs w:val="28"/>
          <w:rtl/>
        </w:rPr>
        <w:lastRenderedPageBreak/>
        <w:t>ב</w:t>
      </w:r>
      <w:r>
        <w:rPr>
          <w:rFonts w:hint="cs" w:ascii="Arial" w:hAnsi="Arial"/>
          <w:sz w:val="28"/>
          <w:szCs w:val="28"/>
          <w:rtl/>
        </w:rPr>
        <w:t xml:space="preserve">עב"ל 180/09 </w:t>
      </w:r>
      <w:r w:rsidRPr="006D20D0">
        <w:rPr>
          <w:rFonts w:hint="cs" w:ascii="Arial" w:hAnsi="Arial"/>
          <w:b/>
          <w:bCs/>
          <w:sz w:val="28"/>
          <w:szCs w:val="28"/>
          <w:rtl/>
        </w:rPr>
        <w:t>המוסד לביטוח לאומי - שמריה בן אלטא</w:t>
      </w:r>
      <w:r w:rsidR="00147B53">
        <w:rPr>
          <w:rFonts w:hint="cs" w:ascii="Arial" w:hAnsi="Arial"/>
          <w:sz w:val="28"/>
          <w:szCs w:val="28"/>
          <w:rtl/>
        </w:rPr>
        <w:t xml:space="preserve"> (להלן:"</w:t>
      </w:r>
      <w:r w:rsidRPr="00147B53" w:rsidR="00147B53">
        <w:rPr>
          <w:rFonts w:hint="cs" w:ascii="Arial" w:hAnsi="Arial"/>
          <w:b/>
          <w:bCs/>
          <w:sz w:val="28"/>
          <w:szCs w:val="28"/>
          <w:rtl/>
        </w:rPr>
        <w:t>ענין בן אלטא</w:t>
      </w:r>
      <w:r w:rsidR="00147B53">
        <w:rPr>
          <w:rFonts w:hint="cs" w:ascii="Arial" w:hAnsi="Arial"/>
          <w:sz w:val="28"/>
          <w:szCs w:val="28"/>
          <w:rtl/>
        </w:rPr>
        <w:t>")</w:t>
      </w:r>
      <w:r>
        <w:rPr>
          <w:rFonts w:hint="cs"/>
          <w:sz w:val="28"/>
          <w:szCs w:val="28"/>
          <w:rtl/>
        </w:rPr>
        <w:t xml:space="preserve"> הובהר ההבדל </w:t>
      </w:r>
      <w:r w:rsidRPr="006D20D0">
        <w:rPr>
          <w:sz w:val="28"/>
          <w:szCs w:val="28"/>
          <w:rtl/>
        </w:rPr>
        <w:t xml:space="preserve"> בין </w:t>
      </w:r>
      <w:hyperlink w:history="1" r:id="rId13">
        <w:r w:rsidRPr="006D20D0">
          <w:rPr>
            <w:sz w:val="28"/>
            <w:szCs w:val="28"/>
            <w:rtl/>
          </w:rPr>
          <w:t>תקנה 15</w:t>
        </w:r>
      </w:hyperlink>
      <w:r w:rsidRPr="006D20D0">
        <w:rPr>
          <w:sz w:val="28"/>
          <w:szCs w:val="28"/>
          <w:rtl/>
        </w:rPr>
        <w:t xml:space="preserve"> לפני תיקונה ולאחריו</w:t>
      </w:r>
      <w:r>
        <w:rPr>
          <w:rFonts w:hint="cs"/>
          <w:sz w:val="28"/>
          <w:szCs w:val="28"/>
          <w:rtl/>
        </w:rPr>
        <w:t>, באופן הבא:</w:t>
      </w:r>
    </w:p>
    <w:p w:rsidRPr="006D20D0" w:rsidR="006D20D0" w:rsidP="00147B53" w:rsidRDefault="006D20D0">
      <w:pPr>
        <w:spacing w:line="360" w:lineRule="auto"/>
        <w:ind w:left="1440" w:right="1134"/>
        <w:jc w:val="both"/>
        <w:rPr>
          <w:b/>
          <w:bCs/>
          <w:sz w:val="28"/>
          <w:szCs w:val="28"/>
          <w:rtl/>
        </w:rPr>
      </w:pPr>
      <w:r w:rsidRPr="00147B53">
        <w:rPr>
          <w:rFonts w:hint="cs"/>
          <w:b/>
          <w:bCs/>
          <w:sz w:val="28"/>
          <w:szCs w:val="28"/>
          <w:rtl/>
        </w:rPr>
        <w:t>"</w:t>
      </w:r>
      <w:r w:rsidRPr="006D20D0">
        <w:rPr>
          <w:b/>
          <w:bCs/>
          <w:sz w:val="28"/>
          <w:szCs w:val="28"/>
          <w:rtl/>
        </w:rPr>
        <w:t xml:space="preserve">לפני תיקון </w:t>
      </w:r>
      <w:hyperlink w:history="1" r:id="rId14">
        <w:r w:rsidRPr="006D20D0">
          <w:rPr>
            <w:b/>
            <w:bCs/>
            <w:sz w:val="28"/>
            <w:szCs w:val="28"/>
            <w:rtl/>
          </w:rPr>
          <w:t>תקנה 15</w:t>
        </w:r>
      </w:hyperlink>
      <w:r w:rsidRPr="006D20D0">
        <w:rPr>
          <w:b/>
          <w:bCs/>
          <w:sz w:val="28"/>
          <w:szCs w:val="28"/>
          <w:rtl/>
        </w:rPr>
        <w:t xml:space="preserve"> ניתן היה להגדיל את דרגת הנכות בגין חלופת המקצוע בשני אופנים:</w:t>
      </w:r>
    </w:p>
    <w:p w:rsidRPr="006D20D0" w:rsidR="006D20D0" w:rsidP="00147B53" w:rsidRDefault="006D20D0">
      <w:pPr>
        <w:spacing w:line="360" w:lineRule="auto"/>
        <w:ind w:left="1440" w:right="1134"/>
        <w:jc w:val="both"/>
        <w:rPr>
          <w:b/>
          <w:bCs/>
          <w:sz w:val="28"/>
          <w:szCs w:val="28"/>
          <w:rtl/>
        </w:rPr>
      </w:pPr>
      <w:r w:rsidRPr="006D20D0">
        <w:rPr>
          <w:b/>
          <w:bCs/>
          <w:sz w:val="28"/>
          <w:szCs w:val="28"/>
          <w:rtl/>
        </w:rPr>
        <w:t>האחד - כאשר הנפגע אינו מסוגל לחזור לעבודתו או לעיסוקו.</w:t>
      </w:r>
    </w:p>
    <w:p w:rsidRPr="006D20D0" w:rsidR="006D20D0" w:rsidP="00147B53" w:rsidRDefault="006D20D0">
      <w:pPr>
        <w:spacing w:line="360" w:lineRule="auto"/>
        <w:ind w:left="1440" w:right="1134"/>
        <w:jc w:val="both"/>
        <w:rPr>
          <w:b/>
          <w:bCs/>
          <w:sz w:val="28"/>
          <w:szCs w:val="28"/>
          <w:rtl/>
        </w:rPr>
      </w:pPr>
      <w:r w:rsidRPr="006D20D0">
        <w:rPr>
          <w:b/>
          <w:bCs/>
          <w:sz w:val="28"/>
          <w:szCs w:val="28"/>
          <w:rtl/>
        </w:rPr>
        <w:t xml:space="preserve">השני - כאשר הנכות גרמה לירידה ניכרת ולא לזמן מוגבל בהכנסותיו. </w:t>
      </w:r>
    </w:p>
    <w:p w:rsidRPr="006D20D0" w:rsidR="006D20D0" w:rsidP="00147B53" w:rsidRDefault="006D20D0">
      <w:pPr>
        <w:spacing w:line="360" w:lineRule="auto"/>
        <w:ind w:left="1440" w:right="1134"/>
        <w:jc w:val="both"/>
        <w:rPr>
          <w:b/>
          <w:bCs/>
          <w:sz w:val="28"/>
          <w:szCs w:val="28"/>
          <w:rtl/>
        </w:rPr>
      </w:pPr>
      <w:r w:rsidRPr="006D20D0">
        <w:rPr>
          <w:b/>
          <w:bCs/>
          <w:sz w:val="28"/>
          <w:szCs w:val="28"/>
          <w:rtl/>
        </w:rPr>
        <w:t xml:space="preserve">ובמילים אחרות על פי נוסחה הקודם של </w:t>
      </w:r>
      <w:hyperlink w:history="1" r:id="rId15">
        <w:r w:rsidRPr="006D20D0">
          <w:rPr>
            <w:b/>
            <w:bCs/>
            <w:sz w:val="28"/>
            <w:szCs w:val="28"/>
            <w:rtl/>
          </w:rPr>
          <w:t>תקנה 15</w:t>
        </w:r>
      </w:hyperlink>
      <w:r w:rsidRPr="006D20D0">
        <w:rPr>
          <w:b/>
          <w:bCs/>
          <w:sz w:val="28"/>
          <w:szCs w:val="28"/>
          <w:rtl/>
        </w:rPr>
        <w:t xml:space="preserve">, גם כאשר לא חלה ירידה בהכנסות, אך הנכה לא היה מסוגל לחזור לעבודתו ניתן היה להפעיל לגביו את </w:t>
      </w:r>
      <w:hyperlink w:history="1" r:id="rId16">
        <w:r w:rsidRPr="006D20D0">
          <w:rPr>
            <w:b/>
            <w:bCs/>
            <w:sz w:val="28"/>
            <w:szCs w:val="28"/>
            <w:rtl/>
          </w:rPr>
          <w:t>תקנה 15</w:t>
        </w:r>
      </w:hyperlink>
      <w:r w:rsidRPr="006D20D0">
        <w:rPr>
          <w:b/>
          <w:bCs/>
          <w:sz w:val="28"/>
          <w:szCs w:val="28"/>
          <w:rtl/>
        </w:rPr>
        <w:t xml:space="preserve">. אופן ההפעלה היה על פי בחינות מיוחדות אותו פגיעה בו לאור מקצועו בהשוואה למי שלאותה פגיעה לא הייתה משמעות לגביו לאור מקצועו. </w:t>
      </w:r>
    </w:p>
    <w:p w:rsidR="006D20D0" w:rsidP="00147B53" w:rsidRDefault="006D20D0">
      <w:pPr>
        <w:spacing w:line="360" w:lineRule="auto"/>
        <w:ind w:left="1440" w:right="1134"/>
        <w:jc w:val="both"/>
        <w:rPr>
          <w:sz w:val="28"/>
          <w:szCs w:val="28"/>
          <w:rtl/>
        </w:rPr>
      </w:pPr>
      <w:r w:rsidRPr="006D20D0">
        <w:rPr>
          <w:b/>
          <w:bCs/>
          <w:sz w:val="28"/>
          <w:szCs w:val="28"/>
          <w:rtl/>
        </w:rPr>
        <w:t xml:space="preserve">לאחר תיקון </w:t>
      </w:r>
      <w:hyperlink w:history="1" r:id="rId17">
        <w:r w:rsidRPr="006D20D0">
          <w:rPr>
            <w:b/>
            <w:bCs/>
            <w:sz w:val="28"/>
            <w:szCs w:val="28"/>
            <w:rtl/>
          </w:rPr>
          <w:t>תקנה 15</w:t>
        </w:r>
      </w:hyperlink>
      <w:r w:rsidRPr="006D20D0">
        <w:rPr>
          <w:b/>
          <w:bCs/>
          <w:sz w:val="28"/>
          <w:szCs w:val="28"/>
          <w:rtl/>
        </w:rPr>
        <w:t xml:space="preserve"> גם אם הנפגע אינו מסוגל לחזור לעבודתו, אך לא חלה ירידה ניכרת ולא לזמן מוגבל בהכנסותיו - אין מקום להגדלת נכותו לפי אותה תקנה, זאת מחד; ומאידך, אם הוא מסוגל לחזור לעבודתו ולא חזר אליה אזי למרות שחלה ירידה ניכרת בהכנסותיו - אין מקום להגדלת דרגת נכותו על פי אותה התקנה</w:t>
      </w:r>
      <w:r w:rsidRPr="00147B53">
        <w:rPr>
          <w:rFonts w:hint="cs"/>
          <w:b/>
          <w:bCs/>
          <w:sz w:val="28"/>
          <w:szCs w:val="28"/>
          <w:rtl/>
        </w:rPr>
        <w:t>"</w:t>
      </w:r>
      <w:r w:rsidRPr="006D20D0">
        <w:rPr>
          <w:sz w:val="28"/>
          <w:szCs w:val="28"/>
          <w:rtl/>
        </w:rPr>
        <w:t>.</w:t>
      </w:r>
    </w:p>
    <w:p w:rsidR="00147B53" w:rsidP="00147B53" w:rsidRDefault="00147B53">
      <w:pPr>
        <w:spacing w:line="360" w:lineRule="auto"/>
        <w:ind w:left="1440" w:right="1134"/>
        <w:jc w:val="both"/>
        <w:rPr>
          <w:sz w:val="28"/>
          <w:szCs w:val="28"/>
          <w:rtl/>
        </w:rPr>
      </w:pPr>
    </w:p>
    <w:p w:rsidRPr="006F4521" w:rsidR="00147B53" w:rsidP="006F4521" w:rsidRDefault="00147B53">
      <w:pPr>
        <w:spacing w:line="360" w:lineRule="auto"/>
        <w:ind w:left="720"/>
        <w:jc w:val="both"/>
        <w:rPr>
          <w:sz w:val="28"/>
          <w:szCs w:val="28"/>
          <w:rtl/>
        </w:rPr>
      </w:pPr>
      <w:r w:rsidRPr="006F4521">
        <w:rPr>
          <w:rFonts w:hint="cs"/>
          <w:sz w:val="28"/>
          <w:szCs w:val="28"/>
          <w:rtl/>
        </w:rPr>
        <w:t>קרי, מדובר, כפי שטען ב"כ המשיב, בתנאים מצטברים, כאשר רק אם הנ</w:t>
      </w:r>
      <w:r w:rsidR="006F4521">
        <w:rPr>
          <w:rFonts w:hint="cs"/>
          <w:sz w:val="28"/>
          <w:szCs w:val="28"/>
          <w:rtl/>
        </w:rPr>
        <w:t>פ</w:t>
      </w:r>
      <w:r w:rsidRPr="006F4521">
        <w:rPr>
          <w:rFonts w:hint="cs"/>
          <w:sz w:val="28"/>
          <w:szCs w:val="28"/>
          <w:rtl/>
        </w:rPr>
        <w:t>גע אינו מסוגל לחזור לעבודתו או לעיסוקו, נבחן התנאי השני של "</w:t>
      </w:r>
      <w:r w:rsidRPr="00602792">
        <w:rPr>
          <w:rFonts w:hint="cs"/>
          <w:b/>
          <w:bCs/>
          <w:sz w:val="26"/>
          <w:szCs w:val="26"/>
          <w:rtl/>
        </w:rPr>
        <w:t>הנכות הביאה לירידה בהכנסות הנפגע ולא לזמן מוגבל</w:t>
      </w:r>
      <w:r w:rsidRPr="006F4521">
        <w:rPr>
          <w:rFonts w:hint="cs"/>
          <w:sz w:val="28"/>
          <w:szCs w:val="28"/>
          <w:rtl/>
        </w:rPr>
        <w:t>"</w:t>
      </w:r>
      <w:r w:rsidR="00602792">
        <w:rPr>
          <w:rFonts w:hint="cs"/>
          <w:sz w:val="28"/>
          <w:szCs w:val="28"/>
          <w:rtl/>
        </w:rPr>
        <w:t xml:space="preserve"> וכאשר רק אם שני התנאים מתקיימים יש מקום להפעיל את תקנה 15</w:t>
      </w:r>
      <w:r w:rsidRPr="006F4521">
        <w:rPr>
          <w:rFonts w:hint="cs"/>
          <w:sz w:val="28"/>
          <w:szCs w:val="28"/>
          <w:rtl/>
        </w:rPr>
        <w:t>.</w:t>
      </w:r>
    </w:p>
    <w:p w:rsidR="00147B53" w:rsidP="006D20D0" w:rsidRDefault="00147B53">
      <w:pPr>
        <w:spacing w:line="360" w:lineRule="auto"/>
        <w:jc w:val="both"/>
        <w:rPr>
          <w:b/>
          <w:bCs/>
          <w:sz w:val="28"/>
          <w:szCs w:val="28"/>
          <w:rtl/>
        </w:rPr>
      </w:pPr>
    </w:p>
    <w:p w:rsidR="007559DE" w:rsidP="007559DE" w:rsidRDefault="007559DE">
      <w:pPr>
        <w:spacing w:line="360" w:lineRule="auto"/>
        <w:ind w:left="720"/>
        <w:jc w:val="both"/>
        <w:rPr>
          <w:sz w:val="28"/>
          <w:szCs w:val="28"/>
          <w:rtl/>
        </w:rPr>
      </w:pPr>
      <w:r>
        <w:rPr>
          <w:rFonts w:hint="cs"/>
          <w:sz w:val="28"/>
          <w:szCs w:val="28"/>
          <w:rtl/>
        </w:rPr>
        <w:t>מעיון בפרוטוקול וועדת הרשות אשר התכנסה ביום 2/8/17, ואשר המלצתה, אומצה, כאמור לעיל, על ידי הועדה, עולה כי היו לפניה, "</w:t>
      </w:r>
      <w:r w:rsidRPr="00602792">
        <w:rPr>
          <w:rFonts w:hint="cs"/>
          <w:b/>
          <w:bCs/>
          <w:sz w:val="26"/>
          <w:szCs w:val="26"/>
          <w:rtl/>
        </w:rPr>
        <w:t>תיק נכות מעבודה, דו"ח ועדה לעררים מיום 9/7/17, מסמכים נוספים</w:t>
      </w:r>
      <w:r>
        <w:rPr>
          <w:rFonts w:hint="cs"/>
          <w:sz w:val="28"/>
          <w:szCs w:val="28"/>
          <w:rtl/>
        </w:rPr>
        <w:t>".</w:t>
      </w:r>
    </w:p>
    <w:p w:rsidRPr="00984904" w:rsidR="00453FAB" w:rsidP="007559DE" w:rsidRDefault="007559DE">
      <w:pPr>
        <w:spacing w:line="360" w:lineRule="auto"/>
        <w:ind w:left="720"/>
        <w:jc w:val="both"/>
        <w:rPr>
          <w:b/>
          <w:bCs/>
          <w:sz w:val="26"/>
          <w:szCs w:val="26"/>
          <w:rtl/>
        </w:rPr>
      </w:pPr>
      <w:r>
        <w:rPr>
          <w:rFonts w:hint="cs"/>
          <w:sz w:val="28"/>
          <w:szCs w:val="28"/>
          <w:rtl/>
        </w:rPr>
        <w:lastRenderedPageBreak/>
        <w:t>הועדה ערכה דיון במסגרתו רשמה את האבחנות:"</w:t>
      </w:r>
      <w:r w:rsidRPr="00984904">
        <w:rPr>
          <w:rFonts w:hint="cs"/>
          <w:b/>
          <w:bCs/>
          <w:sz w:val="26"/>
          <w:szCs w:val="26"/>
          <w:rtl/>
        </w:rPr>
        <w:t xml:space="preserve">מ/א שחזור </w:t>
      </w:r>
      <w:r w:rsidRPr="00984904" w:rsidR="00453FAB">
        <w:rPr>
          <w:rFonts w:hint="cs"/>
          <w:b/>
          <w:bCs/>
          <w:sz w:val="26"/>
          <w:szCs w:val="26"/>
          <w:rtl/>
        </w:rPr>
        <w:t>פתוח וקיבוע פנימי שבר של קיר אחורי אצטבואלום משמאל וצלקת 30% לפי סעיף   ובגין הצלקת 10%..סה"כ 37% לצמיתות מיום 1/11/16.</w:t>
      </w:r>
    </w:p>
    <w:p w:rsidR="00453FAB" w:rsidP="007559DE" w:rsidRDefault="007559DE">
      <w:pPr>
        <w:spacing w:line="360" w:lineRule="auto"/>
        <w:ind w:left="720"/>
        <w:jc w:val="both"/>
        <w:rPr>
          <w:sz w:val="28"/>
          <w:szCs w:val="28"/>
          <w:rtl/>
        </w:rPr>
      </w:pPr>
      <w:r w:rsidRPr="00984904">
        <w:rPr>
          <w:b/>
          <w:bCs/>
          <w:sz w:val="26"/>
          <w:szCs w:val="26"/>
          <w:rtl/>
        </w:rPr>
        <w:t>תעסוקה:עו"ד עצמאית בעלת משרד ליטיגטורית מופיעה בבתי משפט בתחום דיני אישות, חזרה לעיסוקה. בבדיקת הכנסות קימת ירידה ניכרת</w:t>
      </w:r>
      <w:r w:rsidR="00453FAB">
        <w:rPr>
          <w:rFonts w:hint="cs"/>
          <w:sz w:val="28"/>
          <w:szCs w:val="28"/>
          <w:rtl/>
        </w:rPr>
        <w:t>"</w:t>
      </w:r>
    </w:p>
    <w:p w:rsidRPr="007559DE" w:rsidR="007559DE" w:rsidP="00453FAB" w:rsidRDefault="00453FAB">
      <w:pPr>
        <w:spacing w:line="360" w:lineRule="auto"/>
        <w:ind w:left="720"/>
        <w:jc w:val="both"/>
        <w:rPr>
          <w:rFonts w:cstheme="minorBidi"/>
          <w:sz w:val="28"/>
          <w:szCs w:val="28"/>
        </w:rPr>
      </w:pPr>
      <w:r>
        <w:rPr>
          <w:rFonts w:hint="cs"/>
          <w:sz w:val="28"/>
          <w:szCs w:val="28"/>
          <w:rtl/>
        </w:rPr>
        <w:t>בסעיף ההמלצה רשמה ועדת הרשות:</w:t>
      </w:r>
      <w:r w:rsidRPr="007559DE" w:rsidR="007559DE">
        <w:rPr>
          <w:sz w:val="28"/>
          <w:szCs w:val="28"/>
          <w:rtl/>
        </w:rPr>
        <w:t>"</w:t>
      </w:r>
      <w:r w:rsidRPr="00453FAB" w:rsidR="007559DE">
        <w:rPr>
          <w:b/>
          <w:bCs/>
          <w:sz w:val="26"/>
          <w:szCs w:val="26"/>
          <w:rtl/>
        </w:rPr>
        <w:t>לדעת הועדה התובעת מסוגלת לחזור לעיסוקה כעו"ד. עפ"י פרוטוקול ועדת עררים מיום   מתוארת הליכה תקינה, ללא צליעה, ללא מגבלות מינימליות של תנועות סיבוביות של פרק הירך, למרות שיש ירידה ניכרת בהכנסות לקריטריון מקצוע אין השפעה ואין להפעיל התקנה</w:t>
      </w:r>
      <w:r w:rsidRPr="007559DE" w:rsidR="007559DE">
        <w:rPr>
          <w:sz w:val="28"/>
          <w:szCs w:val="28"/>
          <w:rtl/>
        </w:rPr>
        <w:t xml:space="preserve">". </w:t>
      </w:r>
    </w:p>
    <w:p w:rsidR="007559DE" w:rsidP="006D20D0" w:rsidRDefault="007559DE">
      <w:pPr>
        <w:spacing w:line="360" w:lineRule="auto"/>
        <w:jc w:val="both"/>
        <w:rPr>
          <w:b/>
          <w:bCs/>
          <w:sz w:val="28"/>
          <w:szCs w:val="28"/>
          <w:rtl/>
        </w:rPr>
      </w:pPr>
    </w:p>
    <w:p w:rsidR="00984904" w:rsidP="00D648C6" w:rsidRDefault="00984904">
      <w:pPr>
        <w:spacing w:line="360" w:lineRule="auto"/>
        <w:ind w:left="720"/>
        <w:jc w:val="both"/>
        <w:rPr>
          <w:sz w:val="28"/>
          <w:szCs w:val="28"/>
          <w:rtl/>
        </w:rPr>
      </w:pPr>
      <w:r w:rsidRPr="00984904">
        <w:rPr>
          <w:rFonts w:hint="cs"/>
          <w:sz w:val="28"/>
          <w:szCs w:val="28"/>
          <w:rtl/>
        </w:rPr>
        <w:t>קרי, ועד</w:t>
      </w:r>
      <w:r w:rsidR="00304BBC">
        <w:rPr>
          <w:rFonts w:hint="cs"/>
          <w:sz w:val="28"/>
          <w:szCs w:val="28"/>
          <w:rtl/>
        </w:rPr>
        <w:t>ת</w:t>
      </w:r>
      <w:r>
        <w:rPr>
          <w:rFonts w:hint="cs"/>
          <w:sz w:val="28"/>
          <w:szCs w:val="28"/>
          <w:rtl/>
        </w:rPr>
        <w:t xml:space="preserve"> הרשות</w:t>
      </w:r>
      <w:r w:rsidRPr="00984904">
        <w:rPr>
          <w:rFonts w:hint="cs"/>
          <w:sz w:val="28"/>
          <w:szCs w:val="28"/>
          <w:rtl/>
        </w:rPr>
        <w:t xml:space="preserve"> היתה מודעת לנכותה של המערערת, בעקבות התאונה, לתחום עיסוקה,</w:t>
      </w:r>
      <w:r w:rsidR="00D648C6">
        <w:rPr>
          <w:rFonts w:hint="cs"/>
          <w:sz w:val="28"/>
          <w:szCs w:val="28"/>
          <w:rtl/>
        </w:rPr>
        <w:t xml:space="preserve">לתיאור הועדה הרפואית את אופן הילוכה התקין ואת העדר מגבלות מינימליות של תנועות סיבוב הירך וכן היתה מודעת </w:t>
      </w:r>
      <w:r w:rsidRPr="00984904">
        <w:rPr>
          <w:rFonts w:hint="cs"/>
          <w:sz w:val="28"/>
          <w:szCs w:val="28"/>
          <w:rtl/>
        </w:rPr>
        <w:t>לירידה בהכנסותיה ולעובדה שהלכה למעשה היא המשיכה וממשיכה לעסוק בתחום עיסוקה כעו"ד עצמאית, בעלת משרד, ליטיגטורית המופיעה בבתי משפט בתחום דיני האישות</w:t>
      </w:r>
      <w:r>
        <w:rPr>
          <w:rFonts w:hint="cs"/>
          <w:sz w:val="28"/>
          <w:szCs w:val="28"/>
          <w:rtl/>
        </w:rPr>
        <w:t>.</w:t>
      </w:r>
    </w:p>
    <w:p w:rsidR="00984904" w:rsidP="00984904" w:rsidRDefault="00984904">
      <w:pPr>
        <w:spacing w:line="360" w:lineRule="auto"/>
        <w:ind w:left="720"/>
        <w:jc w:val="both"/>
        <w:rPr>
          <w:sz w:val="28"/>
          <w:szCs w:val="28"/>
          <w:rtl/>
        </w:rPr>
      </w:pPr>
    </w:p>
    <w:p w:rsidR="00984904" w:rsidP="00984904" w:rsidRDefault="00984904">
      <w:pPr>
        <w:spacing w:line="360" w:lineRule="auto"/>
        <w:ind w:left="720"/>
        <w:jc w:val="both"/>
        <w:rPr>
          <w:sz w:val="28"/>
          <w:szCs w:val="28"/>
          <w:rtl/>
        </w:rPr>
      </w:pPr>
      <w:r>
        <w:rPr>
          <w:rFonts w:hint="cs"/>
          <w:sz w:val="28"/>
          <w:szCs w:val="28"/>
          <w:rtl/>
        </w:rPr>
        <w:t>הועדה, נשואת הערעור, בישיבתה מיום 29/10/17, לאחר ששמעה ורשמה את דברי המערערת ובא כוחה, סיכמה:</w:t>
      </w:r>
      <w:r>
        <w:rPr>
          <w:rFonts w:hint="cs" w:ascii="Arial" w:hAnsi="Arial"/>
          <w:sz w:val="28"/>
          <w:szCs w:val="28"/>
          <w:rtl/>
        </w:rPr>
        <w:t>"</w:t>
      </w:r>
      <w:r w:rsidRPr="00984904">
        <w:rPr>
          <w:rFonts w:hint="cs" w:ascii="Arial" w:hAnsi="Arial"/>
          <w:b/>
          <w:bCs/>
          <w:sz w:val="26"/>
          <w:szCs w:val="26"/>
          <w:rtl/>
        </w:rPr>
        <w:t>הוועדה הקשיבה לטענות בא כוחה של התובעת והתובעת. לפי דבריו הפרטים שנמסרו בועדה היו גם ברשות של ועדת הרשות ולכן הועדה מקבלת את המלצות וועדת הרשות. ולכן הועדה סבורה שאין מקום להפעלת תקנה 15 לפי תקנות המל"ל, לא עומדת בקריטריון של אובדן מקצוע למרות הירידה בהכנסות</w:t>
      </w:r>
      <w:r>
        <w:rPr>
          <w:rFonts w:hint="cs" w:ascii="Arial" w:hAnsi="Arial"/>
          <w:sz w:val="28"/>
          <w:szCs w:val="28"/>
          <w:rtl/>
        </w:rPr>
        <w:t>"</w:t>
      </w:r>
      <w:r>
        <w:rPr>
          <w:rFonts w:hint="cs"/>
          <w:sz w:val="28"/>
          <w:szCs w:val="28"/>
          <w:rtl/>
        </w:rPr>
        <w:t>.</w:t>
      </w:r>
    </w:p>
    <w:p w:rsidR="00984904" w:rsidP="00984904" w:rsidRDefault="00984904">
      <w:pPr>
        <w:spacing w:line="360" w:lineRule="auto"/>
        <w:ind w:left="720"/>
        <w:jc w:val="both"/>
        <w:rPr>
          <w:sz w:val="28"/>
          <w:szCs w:val="28"/>
          <w:rtl/>
        </w:rPr>
      </w:pPr>
    </w:p>
    <w:p w:rsidR="00984904" w:rsidP="00BF118D" w:rsidRDefault="00984904">
      <w:pPr>
        <w:spacing w:line="360" w:lineRule="auto"/>
        <w:ind w:left="720"/>
        <w:jc w:val="both"/>
        <w:rPr>
          <w:sz w:val="28"/>
          <w:szCs w:val="28"/>
          <w:rtl/>
        </w:rPr>
      </w:pPr>
      <w:r>
        <w:rPr>
          <w:rFonts w:hint="cs"/>
          <w:sz w:val="28"/>
          <w:szCs w:val="28"/>
          <w:rtl/>
        </w:rPr>
        <w:t xml:space="preserve">כלומר </w:t>
      </w:r>
      <w:r w:rsidR="00BF118D">
        <w:rPr>
          <w:rFonts w:hint="cs"/>
          <w:sz w:val="28"/>
          <w:szCs w:val="28"/>
          <w:rtl/>
        </w:rPr>
        <w:t>-</w:t>
      </w:r>
      <w:r>
        <w:rPr>
          <w:rFonts w:hint="cs"/>
          <w:sz w:val="28"/>
          <w:szCs w:val="28"/>
          <w:rtl/>
        </w:rPr>
        <w:t xml:space="preserve"> הועדה </w:t>
      </w:r>
      <w:r w:rsidR="00BF118D">
        <w:rPr>
          <w:rFonts w:hint="cs"/>
          <w:sz w:val="28"/>
          <w:szCs w:val="28"/>
          <w:rtl/>
        </w:rPr>
        <w:t>אימצה את החלטת וועדת הרשות, תוך שהבהירה כי המערערת אינה עומדת בקריטריון אובדן המקצוע שבתקנה</w:t>
      </w:r>
      <w:r w:rsidR="00D648C6">
        <w:rPr>
          <w:rFonts w:hint="cs"/>
          <w:sz w:val="28"/>
          <w:szCs w:val="28"/>
          <w:rtl/>
        </w:rPr>
        <w:t>, שהוא כאמור לעיל, אחד משני התנאים המצטברים הקבועים בתקנה 15</w:t>
      </w:r>
      <w:r w:rsidR="00BF118D">
        <w:rPr>
          <w:rFonts w:hint="cs"/>
          <w:sz w:val="28"/>
          <w:szCs w:val="28"/>
          <w:rtl/>
        </w:rPr>
        <w:t>.</w:t>
      </w:r>
    </w:p>
    <w:p w:rsidRPr="00984904" w:rsidR="00984904" w:rsidP="00984904" w:rsidRDefault="00984904">
      <w:pPr>
        <w:spacing w:line="360" w:lineRule="auto"/>
        <w:ind w:left="720"/>
        <w:jc w:val="both"/>
        <w:rPr>
          <w:sz w:val="28"/>
          <w:szCs w:val="28"/>
          <w:rtl/>
        </w:rPr>
      </w:pPr>
    </w:p>
    <w:p w:rsidRPr="006D20D0" w:rsidR="006D20D0" w:rsidP="00BF118D" w:rsidRDefault="00147B53">
      <w:pPr>
        <w:spacing w:line="360" w:lineRule="auto"/>
        <w:ind w:left="720"/>
        <w:jc w:val="both"/>
        <w:rPr>
          <w:sz w:val="28"/>
          <w:szCs w:val="28"/>
          <w:rtl/>
        </w:rPr>
      </w:pPr>
      <w:r w:rsidRPr="007559DE">
        <w:rPr>
          <w:rFonts w:hint="cs"/>
          <w:sz w:val="28"/>
          <w:szCs w:val="28"/>
          <w:rtl/>
        </w:rPr>
        <w:t>בענ</w:t>
      </w:r>
      <w:r w:rsidR="008C1F47">
        <w:rPr>
          <w:rFonts w:hint="cs"/>
          <w:sz w:val="28"/>
          <w:szCs w:val="28"/>
          <w:rtl/>
        </w:rPr>
        <w:t>י</w:t>
      </w:r>
      <w:r w:rsidRPr="007559DE">
        <w:rPr>
          <w:rFonts w:hint="cs"/>
          <w:sz w:val="28"/>
          <w:szCs w:val="28"/>
          <w:rtl/>
        </w:rPr>
        <w:t>ינו של בן אלטא צויין כי</w:t>
      </w:r>
      <w:r>
        <w:rPr>
          <w:rFonts w:hint="cs"/>
          <w:b/>
          <w:bCs/>
          <w:sz w:val="28"/>
          <w:szCs w:val="28"/>
          <w:rtl/>
        </w:rPr>
        <w:t>:"</w:t>
      </w:r>
      <w:r w:rsidRPr="00BF118D" w:rsidR="006D20D0">
        <w:rPr>
          <w:b/>
          <w:bCs/>
          <w:sz w:val="26"/>
          <w:szCs w:val="26"/>
          <w:rtl/>
        </w:rPr>
        <w:t>יודגש כי המשיב לא עסק אך ורק בעבודות כפיים של "מבלטן" בחברה שבבעלותו, כי אם גם בניהול ושיווק כאמור בטופס דמי הפגיעה, לפיכך על פניהן סבירות החלטות וועדות העררים הקודמות, כי הוא מסוגל לחזור לעבודתו</w:t>
      </w:r>
      <w:r>
        <w:rPr>
          <w:rFonts w:hint="cs"/>
          <w:sz w:val="28"/>
          <w:szCs w:val="28"/>
          <w:rtl/>
        </w:rPr>
        <w:t xml:space="preserve">" </w:t>
      </w:r>
      <w:r w:rsidR="00BF118D">
        <w:rPr>
          <w:rFonts w:hint="cs"/>
          <w:sz w:val="28"/>
          <w:szCs w:val="28"/>
          <w:rtl/>
        </w:rPr>
        <w:t>-</w:t>
      </w:r>
      <w:r>
        <w:rPr>
          <w:rFonts w:hint="cs"/>
          <w:sz w:val="28"/>
          <w:szCs w:val="28"/>
          <w:rtl/>
        </w:rPr>
        <w:t xml:space="preserve"> ומכאן, שגם מקום שענין לנו בעורכת דין שעסקה בליטיגציה </w:t>
      </w:r>
      <w:r>
        <w:rPr>
          <w:rFonts w:hint="cs"/>
          <w:sz w:val="28"/>
          <w:szCs w:val="28"/>
          <w:rtl/>
        </w:rPr>
        <w:lastRenderedPageBreak/>
        <w:t>וכעת מתקשה לעסוק באותו היקף, בתחום זה, אין הדבר מספיק מבחינת התקנה שהרי התקנה מדברת</w:t>
      </w:r>
      <w:r w:rsidR="006F4521">
        <w:rPr>
          <w:rFonts w:hint="cs"/>
          <w:sz w:val="28"/>
          <w:szCs w:val="28"/>
          <w:rtl/>
        </w:rPr>
        <w:t xml:space="preserve"> על "עבודתו או עיסוקו".</w:t>
      </w:r>
      <w:r w:rsidRPr="006D20D0" w:rsidR="006D20D0">
        <w:rPr>
          <w:sz w:val="28"/>
          <w:szCs w:val="28"/>
          <w:rtl/>
        </w:rPr>
        <w:t xml:space="preserve"> </w:t>
      </w:r>
    </w:p>
    <w:p w:rsidR="008C1F47" w:rsidP="000A22A7" w:rsidRDefault="008C1F47">
      <w:pPr>
        <w:spacing w:line="360" w:lineRule="auto"/>
        <w:ind w:left="720"/>
        <w:jc w:val="both"/>
        <w:rPr>
          <w:rFonts w:ascii="Arial" w:hAnsi="Arial"/>
          <w:sz w:val="28"/>
          <w:szCs w:val="28"/>
          <w:rtl/>
        </w:rPr>
      </w:pPr>
    </w:p>
    <w:p w:rsidRPr="000A22A7" w:rsidR="000A22A7" w:rsidP="008C1F47" w:rsidRDefault="008C1F47">
      <w:pPr>
        <w:spacing w:line="360" w:lineRule="auto"/>
        <w:ind w:left="720"/>
        <w:jc w:val="both"/>
        <w:rPr>
          <w:sz w:val="28"/>
          <w:szCs w:val="28"/>
        </w:rPr>
      </w:pPr>
      <w:r>
        <w:rPr>
          <w:rFonts w:hint="cs" w:ascii="Arial" w:hAnsi="Arial"/>
          <w:sz w:val="28"/>
          <w:szCs w:val="28"/>
          <w:rtl/>
        </w:rPr>
        <w:t>בשולי הדברים יצויין כי לא מצאתי לנכון לדחות על הסף את הערעור שכן, גם אם שגתה המערערת עת הגישה את ערעורה, אחרי ישיבת</w:t>
      </w:r>
      <w:r w:rsidR="00304BBC">
        <w:rPr>
          <w:rFonts w:hint="cs" w:ascii="Arial" w:hAnsi="Arial"/>
          <w:sz w:val="28"/>
          <w:szCs w:val="28"/>
          <w:rtl/>
        </w:rPr>
        <w:t xml:space="preserve">ה </w:t>
      </w:r>
      <w:r>
        <w:rPr>
          <w:rFonts w:hint="cs" w:ascii="Arial" w:hAnsi="Arial"/>
          <w:sz w:val="28"/>
          <w:szCs w:val="28"/>
          <w:rtl/>
        </w:rPr>
        <w:t xml:space="preserve"> הראשונה של הועדה (כשהכוונה לישיבה מיום 9/7/17), הרי שאת הערעור המתוקן, הגישה לאחר שוועדת הרשות התכנסה לדון בעניינה ולאחר שהועדה סיכמה את הדיון ביום 29/10/17</w:t>
      </w:r>
      <w:r w:rsidR="00AB2DB3">
        <w:rPr>
          <w:rFonts w:hint="cs" w:ascii="Arial" w:hAnsi="Arial"/>
          <w:sz w:val="28"/>
          <w:szCs w:val="28"/>
          <w:rtl/>
        </w:rPr>
        <w:t xml:space="preserve"> ותו</w:t>
      </w:r>
      <w:r w:rsidR="00D648C6">
        <w:rPr>
          <w:rFonts w:hint="cs" w:ascii="Arial" w:hAnsi="Arial"/>
          <w:sz w:val="28"/>
          <w:szCs w:val="28"/>
          <w:rtl/>
        </w:rPr>
        <w:t>ך שהתייחסה להחלטות שניתנו בדיונים אלו</w:t>
      </w:r>
      <w:r>
        <w:rPr>
          <w:rFonts w:hint="cs" w:ascii="Arial" w:hAnsi="Arial"/>
          <w:sz w:val="28"/>
          <w:szCs w:val="28"/>
          <w:rtl/>
        </w:rPr>
        <w:t>.</w:t>
      </w:r>
      <w:r w:rsidRPr="000A22A7">
        <w:rPr>
          <w:sz w:val="28"/>
          <w:szCs w:val="28"/>
        </w:rPr>
        <w:t xml:space="preserve"> </w:t>
      </w:r>
    </w:p>
    <w:p w:rsidRPr="000A22A7" w:rsidR="00694556" w:rsidP="00B10DA3" w:rsidRDefault="00694556">
      <w:pPr>
        <w:spacing w:line="360" w:lineRule="auto"/>
        <w:jc w:val="both"/>
        <w:rPr>
          <w:rFonts w:ascii="Arial" w:hAnsi="Arial"/>
          <w:sz w:val="28"/>
          <w:szCs w:val="28"/>
          <w:rtl/>
        </w:rPr>
      </w:pPr>
    </w:p>
    <w:p w:rsidRPr="0060603A" w:rsidR="00694556" w:rsidP="0060603A" w:rsidRDefault="008C1F47">
      <w:pPr>
        <w:spacing w:line="360" w:lineRule="auto"/>
        <w:jc w:val="both"/>
        <w:rPr>
          <w:rFonts w:ascii="Arial" w:hAnsi="Arial"/>
          <w:b/>
          <w:bCs/>
          <w:sz w:val="28"/>
          <w:szCs w:val="28"/>
          <w:rtl/>
        </w:rPr>
      </w:pPr>
      <w:r w:rsidRPr="0060603A">
        <w:rPr>
          <w:rFonts w:hint="cs" w:ascii="Arial" w:hAnsi="Arial"/>
          <w:b/>
          <w:bCs/>
          <w:sz w:val="28"/>
          <w:szCs w:val="28"/>
          <w:rtl/>
        </w:rPr>
        <w:t>9.</w:t>
      </w:r>
      <w:r w:rsidRPr="0060603A">
        <w:rPr>
          <w:rFonts w:hint="cs" w:ascii="Arial" w:hAnsi="Arial"/>
          <w:b/>
          <w:bCs/>
          <w:sz w:val="28"/>
          <w:szCs w:val="28"/>
          <w:rtl/>
        </w:rPr>
        <w:tab/>
      </w:r>
      <w:r w:rsidR="0060603A">
        <w:rPr>
          <w:rFonts w:hint="cs" w:ascii="Arial" w:hAnsi="Arial"/>
          <w:b/>
          <w:bCs/>
          <w:sz w:val="28"/>
          <w:szCs w:val="28"/>
          <w:rtl/>
        </w:rPr>
        <w:t>לסיכום</w:t>
      </w:r>
    </w:p>
    <w:p w:rsidR="0060603A" w:rsidP="00D648C6" w:rsidRDefault="0060603A">
      <w:pPr>
        <w:spacing w:line="360" w:lineRule="auto"/>
        <w:ind w:left="720"/>
        <w:jc w:val="both"/>
        <w:rPr>
          <w:rFonts w:ascii="Arial" w:hAnsi="Arial"/>
          <w:sz w:val="28"/>
          <w:szCs w:val="28"/>
          <w:rtl/>
        </w:rPr>
      </w:pPr>
      <w:r>
        <w:rPr>
          <w:rFonts w:hint="cs" w:ascii="Arial" w:hAnsi="Arial"/>
          <w:sz w:val="28"/>
          <w:szCs w:val="28"/>
          <w:rtl/>
        </w:rPr>
        <w:t>לנוכח כל האמור לעיל ובשים לב לטעם שמצאתי בטענות המשיב וחרף טענות המערערת</w:t>
      </w:r>
      <w:r w:rsidR="00D648C6">
        <w:rPr>
          <w:rFonts w:hint="cs" w:ascii="Arial" w:hAnsi="Arial"/>
          <w:sz w:val="28"/>
          <w:szCs w:val="28"/>
          <w:rtl/>
        </w:rPr>
        <w:t>,</w:t>
      </w:r>
      <w:r>
        <w:rPr>
          <w:rFonts w:hint="cs" w:ascii="Arial" w:hAnsi="Arial"/>
          <w:sz w:val="28"/>
          <w:szCs w:val="28"/>
          <w:rtl/>
        </w:rPr>
        <w:t xml:space="preserve"> הריני מורה על דחיית ערעורה שכן לא מצאתי כי נפל פגם משפטי בהחלטת הועדה.</w:t>
      </w:r>
    </w:p>
    <w:p w:rsidR="0060603A" w:rsidP="008C1F47" w:rsidRDefault="0060603A">
      <w:pPr>
        <w:spacing w:line="360" w:lineRule="auto"/>
        <w:ind w:left="720"/>
        <w:jc w:val="both"/>
        <w:rPr>
          <w:rFonts w:ascii="Arial" w:hAnsi="Arial"/>
          <w:sz w:val="28"/>
          <w:szCs w:val="28"/>
          <w:rtl/>
        </w:rPr>
      </w:pPr>
    </w:p>
    <w:p w:rsidRPr="0060603A" w:rsidR="008C1F47" w:rsidP="00B10DA3" w:rsidRDefault="0060603A">
      <w:pPr>
        <w:spacing w:line="360" w:lineRule="auto"/>
        <w:jc w:val="both"/>
        <w:rPr>
          <w:rFonts w:ascii="Arial" w:hAnsi="Arial"/>
          <w:b/>
          <w:bCs/>
          <w:sz w:val="28"/>
          <w:szCs w:val="28"/>
          <w:rtl/>
        </w:rPr>
      </w:pPr>
      <w:r w:rsidRPr="0060603A">
        <w:rPr>
          <w:rFonts w:hint="cs" w:ascii="Arial" w:hAnsi="Arial"/>
          <w:b/>
          <w:bCs/>
          <w:sz w:val="28"/>
          <w:szCs w:val="28"/>
          <w:rtl/>
        </w:rPr>
        <w:t>10.</w:t>
      </w:r>
      <w:r w:rsidRPr="0060603A">
        <w:rPr>
          <w:rFonts w:hint="cs" w:ascii="Arial" w:hAnsi="Arial"/>
          <w:b/>
          <w:bCs/>
          <w:sz w:val="28"/>
          <w:szCs w:val="28"/>
          <w:rtl/>
        </w:rPr>
        <w:tab/>
        <w:t>אין צו להוצאות.</w:t>
      </w:r>
    </w:p>
    <w:p w:rsidR="0060603A" w:rsidP="00B10DA3" w:rsidRDefault="0060603A">
      <w:pPr>
        <w:spacing w:line="360" w:lineRule="auto"/>
        <w:jc w:val="both"/>
        <w:rPr>
          <w:rFonts w:ascii="Arial" w:hAnsi="Arial"/>
          <w:sz w:val="28"/>
          <w:szCs w:val="28"/>
          <w:rtl/>
        </w:rPr>
      </w:pPr>
    </w:p>
    <w:p w:rsidRPr="007874A9" w:rsidR="0060603A" w:rsidP="0060603A" w:rsidRDefault="0060603A">
      <w:pPr>
        <w:spacing w:line="360" w:lineRule="auto"/>
        <w:ind w:left="720" w:hanging="720"/>
        <w:jc w:val="both"/>
        <w:rPr>
          <w:rFonts w:ascii="Arial" w:hAnsi="Arial"/>
          <w:sz w:val="28"/>
          <w:szCs w:val="28"/>
          <w:rtl/>
        </w:rPr>
      </w:pPr>
      <w:r w:rsidRPr="0060603A">
        <w:rPr>
          <w:rFonts w:hint="cs" w:ascii="Arial" w:hAnsi="Arial"/>
          <w:b/>
          <w:bCs/>
          <w:sz w:val="28"/>
          <w:szCs w:val="28"/>
          <w:rtl/>
        </w:rPr>
        <w:t>11.</w:t>
      </w:r>
      <w:r>
        <w:rPr>
          <w:rFonts w:hint="cs" w:ascii="Arial" w:hAnsi="Arial"/>
          <w:sz w:val="28"/>
          <w:szCs w:val="28"/>
          <w:rtl/>
        </w:rPr>
        <w:tab/>
        <w:t>ניתן להגיש בקשת רשות ערעור על פסק דין זה, לביה"ד הארצי לעבודה בירושלים וזאת בתוך 30 יום מקבלת פסק הדין.</w:t>
      </w:r>
    </w:p>
    <w:p w:rsidRPr="007874A9" w:rsidR="00694556" w:rsidP="00B10DA3" w:rsidRDefault="00694556">
      <w:pPr>
        <w:spacing w:line="360" w:lineRule="auto"/>
        <w:jc w:val="both"/>
        <w:rPr>
          <w:rFonts w:ascii="Arial" w:hAnsi="Arial"/>
          <w:sz w:val="28"/>
          <w:szCs w:val="28"/>
          <w:rtl/>
        </w:rPr>
      </w:pPr>
    </w:p>
    <w:p w:rsidRPr="007874A9" w:rsidR="00694556" w:rsidP="00B10DA3" w:rsidRDefault="00694556">
      <w:pPr>
        <w:spacing w:line="360" w:lineRule="auto"/>
        <w:jc w:val="both"/>
        <w:rPr>
          <w:rFonts w:ascii="Arial" w:hAnsi="Arial"/>
          <w:sz w:val="28"/>
          <w:szCs w:val="28"/>
          <w:rtl/>
        </w:rPr>
      </w:pPr>
    </w:p>
    <w:p w:rsidRPr="007874A9" w:rsidR="00694556" w:rsidP="00202EDD" w:rsidRDefault="0060603A">
      <w:pPr>
        <w:spacing w:line="360" w:lineRule="auto"/>
        <w:jc w:val="both"/>
        <w:rPr>
          <w:rFonts w:ascii="Arial" w:hAnsi="Arial"/>
          <w:b/>
          <w:bCs/>
          <w:sz w:val="28"/>
          <w:szCs w:val="28"/>
          <w:rtl/>
        </w:rPr>
      </w:pPr>
      <w:r>
        <w:rPr>
          <w:rFonts w:ascii="Arial" w:hAnsi="Arial"/>
          <w:b/>
          <w:bCs/>
          <w:sz w:val="28"/>
          <w:szCs w:val="28"/>
          <w:rtl/>
        </w:rPr>
        <w:t>ניתן היום</w:t>
      </w:r>
      <w:r>
        <w:rPr>
          <w:rFonts w:hint="cs" w:ascii="Arial" w:hAnsi="Arial"/>
          <w:b/>
          <w:bCs/>
          <w:sz w:val="28"/>
          <w:szCs w:val="28"/>
          <w:rtl/>
        </w:rPr>
        <w:t xml:space="preserve">, </w:t>
      </w:r>
      <w:r w:rsidR="00D648C6">
        <w:rPr>
          <w:rFonts w:hint="cs" w:ascii="Arial" w:hAnsi="Arial"/>
          <w:b/>
          <w:bCs/>
          <w:sz w:val="28"/>
          <w:szCs w:val="28"/>
          <w:rtl/>
        </w:rPr>
        <w:t>כ"</w:t>
      </w:r>
      <w:r w:rsidR="00202EDD">
        <w:rPr>
          <w:rFonts w:hint="cs" w:ascii="Arial" w:hAnsi="Arial"/>
          <w:b/>
          <w:bCs/>
          <w:sz w:val="28"/>
          <w:szCs w:val="28"/>
          <w:rtl/>
        </w:rPr>
        <w:t>ו</w:t>
      </w:r>
      <w:r w:rsidR="00D648C6">
        <w:rPr>
          <w:rFonts w:hint="cs" w:ascii="Arial" w:hAnsi="Arial"/>
          <w:b/>
          <w:bCs/>
          <w:sz w:val="28"/>
          <w:szCs w:val="28"/>
          <w:rtl/>
        </w:rPr>
        <w:t xml:space="preserve"> </w:t>
      </w:r>
      <w:r>
        <w:rPr>
          <w:rFonts w:hint="cs" w:ascii="Arial" w:hAnsi="Arial"/>
          <w:b/>
          <w:bCs/>
          <w:sz w:val="28"/>
          <w:szCs w:val="28"/>
          <w:rtl/>
        </w:rPr>
        <w:t>ב</w:t>
      </w:r>
      <w:r w:rsidR="00005C8B">
        <w:rPr>
          <w:rFonts w:ascii="Arial" w:hAnsi="Arial"/>
          <w:b/>
          <w:bCs/>
          <w:sz w:val="28"/>
          <w:szCs w:val="28"/>
          <w:rtl/>
        </w:rPr>
        <w:t>ניסן תשע"ח</w:t>
      </w:r>
      <w:r w:rsidRPr="007874A9" w:rsidR="00005C8B">
        <w:rPr>
          <w:rFonts w:ascii="Arial" w:hAnsi="Arial"/>
          <w:b/>
          <w:bCs/>
          <w:sz w:val="28"/>
          <w:szCs w:val="28"/>
          <w:rtl/>
        </w:rPr>
        <w:t xml:space="preserve">, </w:t>
      </w:r>
      <w:r w:rsidRPr="007874A9" w:rsidR="000F7B2A">
        <w:rPr>
          <w:rFonts w:hint="cs" w:ascii="Arial" w:hAnsi="Arial"/>
          <w:b/>
          <w:bCs/>
          <w:sz w:val="28"/>
          <w:szCs w:val="28"/>
          <w:rtl/>
        </w:rPr>
        <w:t>(</w:t>
      </w:r>
      <w:r w:rsidR="00202EDD">
        <w:rPr>
          <w:rFonts w:hint="cs" w:ascii="Arial" w:hAnsi="Arial"/>
          <w:b/>
          <w:bCs/>
          <w:sz w:val="28"/>
          <w:szCs w:val="28"/>
          <w:rtl/>
        </w:rPr>
        <w:t>11 ב</w:t>
      </w:r>
      <w:bookmarkStart w:name="_GoBack" w:id="0"/>
      <w:bookmarkEnd w:id="0"/>
      <w:r w:rsidR="00005C8B">
        <w:rPr>
          <w:rFonts w:ascii="Arial" w:hAnsi="Arial"/>
          <w:b/>
          <w:bCs/>
          <w:sz w:val="28"/>
          <w:szCs w:val="28"/>
          <w:rtl/>
        </w:rPr>
        <w:t>אפריל 2018</w:t>
      </w:r>
      <w:r w:rsidRPr="007874A9" w:rsidR="000F7B2A">
        <w:rPr>
          <w:rFonts w:hint="cs"/>
          <w:b/>
          <w:bCs/>
          <w:sz w:val="28"/>
          <w:szCs w:val="28"/>
          <w:rtl/>
        </w:rPr>
        <w:t>)</w:t>
      </w:r>
      <w:r w:rsidRPr="007874A9" w:rsidR="00005C8B">
        <w:rPr>
          <w:rFonts w:ascii="Arial" w:hAnsi="Arial"/>
          <w:b/>
          <w:bCs/>
          <w:sz w:val="28"/>
          <w:szCs w:val="28"/>
          <w:rtl/>
        </w:rPr>
        <w:t>, בהעדר הצדדים.</w:t>
      </w:r>
    </w:p>
    <w:p w:rsidRPr="007874A9" w:rsidR="00694556" w:rsidP="00B10DA3" w:rsidRDefault="00694556">
      <w:pPr>
        <w:spacing w:line="360" w:lineRule="auto"/>
        <w:jc w:val="both"/>
        <w:rPr>
          <w:rFonts w:ascii="Arial" w:hAnsi="Arial"/>
          <w:sz w:val="28"/>
          <w:szCs w:val="28"/>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62"/>
      </w:tblGrid>
      <w:tr w:rsidRPr="007F1A3B" w:rsidR="0060603A" w:rsidTr="007F1A3B">
        <w:trPr>
          <w:trHeight w:val="1352"/>
          <w:jc w:val="right"/>
        </w:trPr>
        <w:tc>
          <w:tcPr>
            <w:tcW w:w="2962" w:type="dxa"/>
            <w:tcBorders>
              <w:top w:val="nil"/>
              <w:left w:val="nil"/>
              <w:bottom w:val="single" w:color="auto" w:sz="4" w:space="0"/>
              <w:right w:val="nil"/>
            </w:tcBorders>
            <w:vAlign w:val="center"/>
            <w:hideMark/>
          </w:tcPr>
          <w:p w:rsidRPr="0060603A" w:rsidR="0060603A" w:rsidP="007F1A3B" w:rsidRDefault="0060603A">
            <w:pPr>
              <w:jc w:val="center"/>
              <w:rPr>
                <w:rFonts w:ascii="Courier New" w:hAnsi="Courier New"/>
                <w:b/>
                <w:bCs/>
                <w:sz w:val="28"/>
                <w:szCs w:val="28"/>
                <w:lang w:eastAsia="he-IL"/>
              </w:rPr>
            </w:pPr>
            <w:r w:rsidRPr="0060603A">
              <w:rPr>
                <w:rFonts w:ascii="Courier New" w:hAnsi="Courier New"/>
                <w:b/>
                <w:bCs/>
                <w:noProof/>
                <w:sz w:val="28"/>
                <w:szCs w:val="28"/>
              </w:rPr>
              <w:drawing>
                <wp:anchor distT="0" distB="0" distL="114300" distR="114300" simplePos="0" relativeHeight="251659264" behindDoc="0" locked="0" layoutInCell="1" allowOverlap="1">
                  <wp:simplePos x="0" y="0"/>
                  <wp:positionH relativeFrom="column">
                    <wp:posOffset>445770</wp:posOffset>
                  </wp:positionH>
                  <wp:positionV relativeFrom="paragraph">
                    <wp:posOffset>224155</wp:posOffset>
                  </wp:positionV>
                  <wp:extent cx="857250" cy="56197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19178"/>
                          <a:stretch/>
                        </pic:blipFill>
                        <pic:spPr bwMode="auto">
                          <a:xfrm>
                            <a:off x="0" y="0"/>
                            <a:ext cx="857250"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Pr="007F1A3B" w:rsidR="0060603A" w:rsidTr="007F1A3B">
        <w:trPr>
          <w:jc w:val="right"/>
        </w:trPr>
        <w:tc>
          <w:tcPr>
            <w:tcW w:w="2962" w:type="dxa"/>
            <w:tcBorders>
              <w:top w:val="single" w:color="auto" w:sz="4" w:space="0"/>
              <w:left w:val="nil"/>
              <w:bottom w:val="nil"/>
              <w:right w:val="nil"/>
            </w:tcBorders>
            <w:vAlign w:val="bottom"/>
            <w:hideMark/>
          </w:tcPr>
          <w:p w:rsidRPr="0060603A" w:rsidR="0060603A" w:rsidP="007F1A3B" w:rsidRDefault="0060603A">
            <w:pPr>
              <w:jc w:val="center"/>
              <w:rPr>
                <w:rFonts w:ascii="Courier New" w:hAnsi="Courier New"/>
                <w:b/>
                <w:bCs/>
                <w:sz w:val="28"/>
                <w:szCs w:val="28"/>
                <w:lang w:eastAsia="he-IL"/>
              </w:rPr>
            </w:pPr>
            <w:r w:rsidRPr="0060603A">
              <w:rPr>
                <w:rFonts w:hint="cs" w:ascii="Courier New" w:hAnsi="Courier New"/>
                <w:b/>
                <w:bCs/>
                <w:sz w:val="28"/>
                <w:szCs w:val="28"/>
                <w:rtl/>
                <w:lang w:eastAsia="he-IL"/>
              </w:rPr>
              <w:t>יעקבס אורית, שופטת</w:t>
            </w:r>
          </w:p>
        </w:tc>
      </w:tr>
    </w:tbl>
    <w:p w:rsidRPr="007874A9" w:rsidR="00694556" w:rsidP="0060603A" w:rsidRDefault="00694556">
      <w:pPr>
        <w:suppressLineNumbers/>
        <w:spacing w:line="360" w:lineRule="auto"/>
        <w:jc w:val="both"/>
        <w:rPr>
          <w:rFonts w:ascii="Arial" w:hAnsi="Arial"/>
          <w:sz w:val="28"/>
          <w:szCs w:val="28"/>
          <w:rtl/>
        </w:rPr>
      </w:pPr>
    </w:p>
    <w:sectPr w:rsidRPr="007874A9" w:rsidR="00694556" w:rsidSect="00903896">
      <w:headerReference w:type="default" r:id="rId19"/>
      <w:footerReference w:type="default" r:id="rId2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A6F25">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628F8">
      <w:rPr>
        <w:rStyle w:val="ae"/>
        <w:rFonts w:cs="Times New Roman"/>
        <w:noProof/>
        <w:rtl/>
      </w:rPr>
      <w:t>8</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628F8">
      <w:rPr>
        <w:rStyle w:val="ae"/>
        <w:noProof/>
        <w:rtl/>
      </w:rPr>
      <w:t>8</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628F8">
    <w:pPr>
      <w:pStyle w:val="a5"/>
      <w:jc w:val="center"/>
      <w:rPr>
        <w:rFonts w:cs="FrankRuehl"/>
        <w:sz w:val="28"/>
        <w:szCs w:val="28"/>
        <w:rtl/>
      </w:rPr>
    </w:pPr>
    <w:r>
      <w:rPr>
        <w:rFonts w:cs="FrankRuehl"/>
        <w:sz w:val="28"/>
        <w:szCs w:val="28"/>
        <w:rtl/>
      </w:rPr>
    </w:r>
    <w:r w:rsidR="006E7743">
      <w:rPr>
        <w:rFonts w:cs="FrankRuehl"/>
        <w:noProof/>
        <w:sz w:val="28"/>
        <w:szCs w:val="28"/>
      </w:rPr>
      <w:drawing>
        <wp:inline distT="0" distB="0" distL="0" distR="0" wp14:anchorId="2297D8DD" wp14:editId="36675D51">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tc>
        <w:tcPr>
          <w:tcW w:w="8721" w:type="dxa"/>
          <w:gridSpan w:val="2"/>
        </w:tcPr>
        <w:p w:rsidRPr="00B34ED7" w:rsidR="00694556" w:rsidRDefault="00E702BE">
          <w:pPr>
            <w:pStyle w:val="a5"/>
            <w:jc w:val="center"/>
            <w:rPr>
              <w:rFonts w:ascii="Tahoma" w:hAnsi="Tahoma"/>
              <w:color w:val="000080"/>
              <w:sz w:val="30"/>
              <w:szCs w:val="30"/>
              <w:rtl/>
            </w:rPr>
          </w:pPr>
          <w:r w:rsidRPr="00B34ED7">
            <w:rPr>
              <w:rFonts w:ascii="Tahoma" w:hAnsi="Tahoma"/>
              <w:b/>
              <w:bCs/>
              <w:color w:val="000080"/>
              <w:sz w:val="30"/>
              <w:szCs w:val="30"/>
              <w:rtl/>
            </w:rPr>
            <w:t>בית הדין האזורי לעבודה בנצרת</w:t>
          </w:r>
        </w:p>
      </w:tc>
    </w:tr>
    <w:tr w:rsidR="00694556">
      <w:trPr>
        <w:trHeight w:val="337"/>
        <w:jc w:val="center"/>
      </w:trPr>
      <w:tc>
        <w:tcPr>
          <w:tcW w:w="5047" w:type="dxa"/>
        </w:tcPr>
        <w:p w:rsidR="00694556" w:rsidRDefault="00694556">
          <w:pPr>
            <w:rPr>
              <w:b/>
              <w:bCs/>
              <w:sz w:val="26"/>
              <w:szCs w:val="26"/>
              <w:rtl/>
            </w:rPr>
          </w:pPr>
        </w:p>
      </w:tc>
      <w:tc>
        <w:tcPr>
          <w:tcW w:w="3674" w:type="dxa"/>
        </w:tcPr>
        <w:p w:rsidRPr="00B34ED7" w:rsidR="00B34ED7" w:rsidP="00B34ED7" w:rsidRDefault="00F628F8">
          <w:pPr>
            <w:rPr>
              <w:sz w:val="28"/>
              <w:szCs w:val="28"/>
            </w:rPr>
          </w:pPr>
          <w:sdt>
            <w:sdtPr>
              <w:rPr>
                <w:sz w:val="28"/>
                <w:szCs w:val="28"/>
                <w:rtl/>
              </w:rPr>
              <w:alias w:val="1170"/>
              <w:tag w:val="1170"/>
              <w:id w:val="-374088807"/>
              <w:text w:multiLine="1"/>
            </w:sdtPr>
            <w:sdtEndPr/>
            <w:sdtContent>
              <w:r w:rsidR="007B26B0">
                <w:rPr>
                  <w:b/>
                  <w:bCs/>
                  <w:sz w:val="28"/>
                  <w:szCs w:val="28"/>
                  <w:rtl/>
                </w:rPr>
                <w:t>ב"ל</w:t>
              </w:r>
            </w:sdtContent>
          </w:sdt>
          <w:r w:rsidRPr="00B34ED7" w:rsidR="00B34ED7">
            <w:rPr>
              <w:b/>
              <w:bCs/>
              <w:sz w:val="28"/>
              <w:szCs w:val="28"/>
              <w:rtl/>
            </w:rPr>
            <w:t xml:space="preserve"> </w:t>
          </w:r>
          <w:sdt>
            <w:sdtPr>
              <w:rPr>
                <w:sz w:val="28"/>
                <w:szCs w:val="28"/>
                <w:rtl/>
              </w:rPr>
              <w:alias w:val="1171"/>
              <w:tag w:val="1171"/>
              <w:id w:val="-125174745"/>
              <w:text w:multiLine="1"/>
            </w:sdtPr>
            <w:sdtEndPr/>
            <w:sdtContent>
              <w:r w:rsidR="007B26B0">
                <w:rPr>
                  <w:b/>
                  <w:bCs/>
                  <w:sz w:val="28"/>
                  <w:szCs w:val="28"/>
                  <w:rtl/>
                </w:rPr>
                <w:t>17136-09-17</w:t>
              </w:r>
            </w:sdtContent>
          </w:sdt>
        </w:p>
        <w:p w:rsidR="00694556" w:rsidP="002C5F73" w:rsidRDefault="00B34ED7">
          <w:pPr>
            <w:pStyle w:val="a5"/>
            <w:rPr>
              <w:b/>
              <w:bCs/>
              <w:sz w:val="26"/>
              <w:szCs w:val="26"/>
              <w:rtl/>
            </w:rPr>
          </w:pPr>
          <w:r w:rsidRPr="00B34ED7">
            <w:rPr>
              <w:sz w:val="28"/>
              <w:szCs w:val="28"/>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1CE01C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2940DD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B7C8C3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15AD57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1F25D8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AC5CB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26D4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CF3E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B49AC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95CA0B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6498"/>
    <o:shapelayout v:ext="edit">
      <o:idmap v:ext="edit" data="10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47992"/>
    <w:rsid w:val="000564AB"/>
    <w:rsid w:val="00062180"/>
    <w:rsid w:val="00063046"/>
    <w:rsid w:val="000A22A7"/>
    <w:rsid w:val="000F7B2A"/>
    <w:rsid w:val="0014234E"/>
    <w:rsid w:val="00147B53"/>
    <w:rsid w:val="001A66A7"/>
    <w:rsid w:val="001C4003"/>
    <w:rsid w:val="001C516C"/>
    <w:rsid w:val="00202EDD"/>
    <w:rsid w:val="00230FCE"/>
    <w:rsid w:val="00263C44"/>
    <w:rsid w:val="002C5F73"/>
    <w:rsid w:val="00304BBC"/>
    <w:rsid w:val="0033608F"/>
    <w:rsid w:val="00341F96"/>
    <w:rsid w:val="003839BF"/>
    <w:rsid w:val="00417B80"/>
    <w:rsid w:val="00453FAB"/>
    <w:rsid w:val="00495B17"/>
    <w:rsid w:val="004E6E3C"/>
    <w:rsid w:val="00541A11"/>
    <w:rsid w:val="00547DB7"/>
    <w:rsid w:val="00565306"/>
    <w:rsid w:val="005A236B"/>
    <w:rsid w:val="00602792"/>
    <w:rsid w:val="0060603A"/>
    <w:rsid w:val="00622BAA"/>
    <w:rsid w:val="00625C89"/>
    <w:rsid w:val="00671BD5"/>
    <w:rsid w:val="006805C1"/>
    <w:rsid w:val="00694556"/>
    <w:rsid w:val="006D20D0"/>
    <w:rsid w:val="006D5CA7"/>
    <w:rsid w:val="006E1A53"/>
    <w:rsid w:val="006E7743"/>
    <w:rsid w:val="006F4521"/>
    <w:rsid w:val="00701E17"/>
    <w:rsid w:val="007056AA"/>
    <w:rsid w:val="0070719A"/>
    <w:rsid w:val="007327DB"/>
    <w:rsid w:val="007559DE"/>
    <w:rsid w:val="007874A9"/>
    <w:rsid w:val="007A24FE"/>
    <w:rsid w:val="007B26B0"/>
    <w:rsid w:val="007D277B"/>
    <w:rsid w:val="007E3211"/>
    <w:rsid w:val="007E4351"/>
    <w:rsid w:val="007E6AB6"/>
    <w:rsid w:val="00820005"/>
    <w:rsid w:val="00846A54"/>
    <w:rsid w:val="00846D27"/>
    <w:rsid w:val="0086697F"/>
    <w:rsid w:val="008B1FA1"/>
    <w:rsid w:val="008C1F47"/>
    <w:rsid w:val="00903896"/>
    <w:rsid w:val="00984904"/>
    <w:rsid w:val="009C61CA"/>
    <w:rsid w:val="009E0263"/>
    <w:rsid w:val="00A05377"/>
    <w:rsid w:val="00A55E32"/>
    <w:rsid w:val="00AB2DB3"/>
    <w:rsid w:val="00AF1ED6"/>
    <w:rsid w:val="00B10DA3"/>
    <w:rsid w:val="00B34ED7"/>
    <w:rsid w:val="00B80CBD"/>
    <w:rsid w:val="00B960EE"/>
    <w:rsid w:val="00BC3369"/>
    <w:rsid w:val="00BF118D"/>
    <w:rsid w:val="00CF4631"/>
    <w:rsid w:val="00CF6F65"/>
    <w:rsid w:val="00D3421D"/>
    <w:rsid w:val="00D53924"/>
    <w:rsid w:val="00D648C6"/>
    <w:rsid w:val="00D80C20"/>
    <w:rsid w:val="00D96D8C"/>
    <w:rsid w:val="00DC53BE"/>
    <w:rsid w:val="00DD32DA"/>
    <w:rsid w:val="00E0081C"/>
    <w:rsid w:val="00E54642"/>
    <w:rsid w:val="00E702BE"/>
    <w:rsid w:val="00E90326"/>
    <w:rsid w:val="00E97908"/>
    <w:rsid w:val="00F54559"/>
    <w:rsid w:val="00F628F8"/>
    <w:rsid w:val="00F657B3"/>
    <w:rsid w:val="00F82F06"/>
    <w:rsid w:val="00FA6F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14:docId w14:val="2A70971A"/>
  <w15:docId w15:val="{5BCE74B5-48D5-4736-AFA1-AC765EC1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0603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060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0603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0603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0603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0603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060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060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E90326"/>
    <w:rPr>
      <w:noProof w:val="0"/>
      <w:color w:val="808080"/>
    </w:rPr>
  </w:style>
  <w:style w:type="character" w:styleId="FollowedHyperlink">
    <w:name w:val="FollowedHyperlink"/>
    <w:basedOn w:val="a2"/>
    <w:semiHidden/>
    <w:unhideWhenUsed/>
    <w:rsid w:val="0060603A"/>
    <w:rPr>
      <w:noProof w:val="0"/>
      <w:color w:val="800080" w:themeColor="followedHyperlink"/>
      <w:u w:val="single"/>
    </w:rPr>
  </w:style>
  <w:style w:type="character" w:styleId="HTMLCite">
    <w:name w:val="HTML Cite"/>
    <w:basedOn w:val="a2"/>
    <w:semiHidden/>
    <w:unhideWhenUsed/>
    <w:rsid w:val="0060603A"/>
    <w:rPr>
      <w:i/>
      <w:iCs/>
      <w:noProof w:val="0"/>
    </w:rPr>
  </w:style>
  <w:style w:type="character" w:styleId="HTMLCode">
    <w:name w:val="HTML Code"/>
    <w:basedOn w:val="a2"/>
    <w:semiHidden/>
    <w:unhideWhenUsed/>
    <w:rsid w:val="0060603A"/>
    <w:rPr>
      <w:rFonts w:ascii="Consolas" w:hAnsi="Consolas"/>
      <w:noProof w:val="0"/>
      <w:sz w:val="20"/>
      <w:szCs w:val="20"/>
    </w:rPr>
  </w:style>
  <w:style w:type="character" w:styleId="HTMLDefinition">
    <w:name w:val="HTML Definition"/>
    <w:basedOn w:val="a2"/>
    <w:semiHidden/>
    <w:unhideWhenUsed/>
    <w:rsid w:val="0060603A"/>
    <w:rPr>
      <w:i/>
      <w:iCs/>
      <w:noProof w:val="0"/>
    </w:rPr>
  </w:style>
  <w:style w:type="character" w:styleId="HTMLVariable">
    <w:name w:val="HTML Variable"/>
    <w:basedOn w:val="a2"/>
    <w:semiHidden/>
    <w:unhideWhenUsed/>
    <w:rsid w:val="0060603A"/>
    <w:rPr>
      <w:i/>
      <w:iCs/>
      <w:noProof w:val="0"/>
    </w:rPr>
  </w:style>
  <w:style w:type="paragraph" w:styleId="HTML">
    <w:name w:val="HTML Preformatted"/>
    <w:basedOn w:val="a1"/>
    <w:link w:val="HTML0"/>
    <w:semiHidden/>
    <w:unhideWhenUsed/>
    <w:rsid w:val="0060603A"/>
    <w:rPr>
      <w:rFonts w:ascii="Consolas" w:hAnsi="Consolas"/>
      <w:sz w:val="20"/>
      <w:szCs w:val="20"/>
    </w:rPr>
  </w:style>
  <w:style w:type="character" w:customStyle="1" w:styleId="HTML0">
    <w:name w:val="HTML מעוצב מראש תו"/>
    <w:basedOn w:val="a2"/>
    <w:link w:val="HTML"/>
    <w:semiHidden/>
    <w:rsid w:val="0060603A"/>
    <w:rPr>
      <w:rFonts w:ascii="Consolas" w:hAnsi="Consolas" w:cs="David"/>
      <w:noProof w:val="0"/>
    </w:rPr>
  </w:style>
  <w:style w:type="character" w:styleId="Hyperlink">
    <w:name w:val="Hyperlink"/>
    <w:basedOn w:val="a2"/>
    <w:semiHidden/>
    <w:unhideWhenUsed/>
    <w:rsid w:val="0060603A"/>
    <w:rPr>
      <w:noProof w:val="0"/>
      <w:color w:val="0000FF" w:themeColor="hyperlink"/>
      <w:u w:val="single"/>
    </w:rPr>
  </w:style>
  <w:style w:type="paragraph" w:styleId="Index1">
    <w:name w:val="index 1"/>
    <w:basedOn w:val="a1"/>
    <w:next w:val="a1"/>
    <w:autoRedefine/>
    <w:semiHidden/>
    <w:unhideWhenUsed/>
    <w:rsid w:val="0060603A"/>
    <w:pPr>
      <w:ind w:left="240" w:hanging="240"/>
    </w:pPr>
  </w:style>
  <w:style w:type="paragraph" w:styleId="Index2">
    <w:name w:val="index 2"/>
    <w:basedOn w:val="a1"/>
    <w:next w:val="a1"/>
    <w:autoRedefine/>
    <w:semiHidden/>
    <w:unhideWhenUsed/>
    <w:rsid w:val="0060603A"/>
    <w:pPr>
      <w:ind w:left="480" w:hanging="240"/>
    </w:pPr>
  </w:style>
  <w:style w:type="paragraph" w:styleId="Index3">
    <w:name w:val="index 3"/>
    <w:basedOn w:val="a1"/>
    <w:next w:val="a1"/>
    <w:autoRedefine/>
    <w:semiHidden/>
    <w:unhideWhenUsed/>
    <w:rsid w:val="0060603A"/>
    <w:pPr>
      <w:ind w:left="720" w:hanging="240"/>
    </w:pPr>
  </w:style>
  <w:style w:type="paragraph" w:styleId="Index4">
    <w:name w:val="index 4"/>
    <w:basedOn w:val="a1"/>
    <w:next w:val="a1"/>
    <w:autoRedefine/>
    <w:semiHidden/>
    <w:unhideWhenUsed/>
    <w:rsid w:val="0060603A"/>
    <w:pPr>
      <w:ind w:left="960" w:hanging="240"/>
    </w:pPr>
  </w:style>
  <w:style w:type="paragraph" w:styleId="Index5">
    <w:name w:val="index 5"/>
    <w:basedOn w:val="a1"/>
    <w:next w:val="a1"/>
    <w:autoRedefine/>
    <w:semiHidden/>
    <w:unhideWhenUsed/>
    <w:rsid w:val="0060603A"/>
    <w:pPr>
      <w:ind w:left="1200" w:hanging="240"/>
    </w:pPr>
  </w:style>
  <w:style w:type="paragraph" w:styleId="Index6">
    <w:name w:val="index 6"/>
    <w:basedOn w:val="a1"/>
    <w:next w:val="a1"/>
    <w:autoRedefine/>
    <w:semiHidden/>
    <w:unhideWhenUsed/>
    <w:rsid w:val="0060603A"/>
    <w:pPr>
      <w:ind w:left="1440" w:hanging="240"/>
    </w:pPr>
  </w:style>
  <w:style w:type="paragraph" w:styleId="Index7">
    <w:name w:val="index 7"/>
    <w:basedOn w:val="a1"/>
    <w:next w:val="a1"/>
    <w:autoRedefine/>
    <w:semiHidden/>
    <w:unhideWhenUsed/>
    <w:rsid w:val="0060603A"/>
    <w:pPr>
      <w:ind w:left="1680" w:hanging="240"/>
    </w:pPr>
  </w:style>
  <w:style w:type="paragraph" w:styleId="Index8">
    <w:name w:val="index 8"/>
    <w:basedOn w:val="a1"/>
    <w:next w:val="a1"/>
    <w:autoRedefine/>
    <w:semiHidden/>
    <w:unhideWhenUsed/>
    <w:rsid w:val="0060603A"/>
    <w:pPr>
      <w:ind w:left="1920" w:hanging="240"/>
    </w:pPr>
  </w:style>
  <w:style w:type="paragraph" w:styleId="Index9">
    <w:name w:val="index 9"/>
    <w:basedOn w:val="a1"/>
    <w:next w:val="a1"/>
    <w:autoRedefine/>
    <w:semiHidden/>
    <w:unhideWhenUsed/>
    <w:rsid w:val="0060603A"/>
    <w:pPr>
      <w:ind w:left="2160" w:hanging="240"/>
    </w:pPr>
  </w:style>
  <w:style w:type="paragraph" w:styleId="NormalWeb">
    <w:name w:val="Normal (Web)"/>
    <w:basedOn w:val="a1"/>
    <w:semiHidden/>
    <w:unhideWhenUsed/>
    <w:rsid w:val="0060603A"/>
    <w:rPr>
      <w:rFonts w:cs="Times New Roman"/>
    </w:rPr>
  </w:style>
  <w:style w:type="paragraph" w:styleId="TOC1">
    <w:name w:val="toc 1"/>
    <w:basedOn w:val="a1"/>
    <w:next w:val="a1"/>
    <w:autoRedefine/>
    <w:semiHidden/>
    <w:unhideWhenUsed/>
    <w:rsid w:val="0060603A"/>
    <w:pPr>
      <w:spacing w:after="100"/>
    </w:pPr>
  </w:style>
  <w:style w:type="paragraph" w:styleId="TOC2">
    <w:name w:val="toc 2"/>
    <w:basedOn w:val="a1"/>
    <w:next w:val="a1"/>
    <w:autoRedefine/>
    <w:semiHidden/>
    <w:unhideWhenUsed/>
    <w:rsid w:val="0060603A"/>
    <w:pPr>
      <w:spacing w:after="100"/>
      <w:ind w:left="240"/>
    </w:pPr>
  </w:style>
  <w:style w:type="paragraph" w:styleId="TOC3">
    <w:name w:val="toc 3"/>
    <w:basedOn w:val="a1"/>
    <w:next w:val="a1"/>
    <w:autoRedefine/>
    <w:semiHidden/>
    <w:unhideWhenUsed/>
    <w:rsid w:val="0060603A"/>
    <w:pPr>
      <w:spacing w:after="100"/>
      <w:ind w:left="480"/>
    </w:pPr>
  </w:style>
  <w:style w:type="paragraph" w:styleId="TOC4">
    <w:name w:val="toc 4"/>
    <w:basedOn w:val="a1"/>
    <w:next w:val="a1"/>
    <w:autoRedefine/>
    <w:semiHidden/>
    <w:unhideWhenUsed/>
    <w:rsid w:val="0060603A"/>
    <w:pPr>
      <w:spacing w:after="100"/>
      <w:ind w:left="720"/>
    </w:pPr>
  </w:style>
  <w:style w:type="paragraph" w:styleId="TOC5">
    <w:name w:val="toc 5"/>
    <w:basedOn w:val="a1"/>
    <w:next w:val="a1"/>
    <w:autoRedefine/>
    <w:semiHidden/>
    <w:unhideWhenUsed/>
    <w:rsid w:val="0060603A"/>
    <w:pPr>
      <w:spacing w:after="100"/>
      <w:ind w:left="960"/>
    </w:pPr>
  </w:style>
  <w:style w:type="paragraph" w:styleId="TOC6">
    <w:name w:val="toc 6"/>
    <w:basedOn w:val="a1"/>
    <w:next w:val="a1"/>
    <w:autoRedefine/>
    <w:semiHidden/>
    <w:unhideWhenUsed/>
    <w:rsid w:val="0060603A"/>
    <w:pPr>
      <w:spacing w:after="100"/>
      <w:ind w:left="1200"/>
    </w:pPr>
  </w:style>
  <w:style w:type="paragraph" w:styleId="TOC7">
    <w:name w:val="toc 7"/>
    <w:basedOn w:val="a1"/>
    <w:next w:val="a1"/>
    <w:autoRedefine/>
    <w:semiHidden/>
    <w:unhideWhenUsed/>
    <w:rsid w:val="0060603A"/>
    <w:pPr>
      <w:spacing w:after="100"/>
      <w:ind w:left="1440"/>
    </w:pPr>
  </w:style>
  <w:style w:type="paragraph" w:styleId="TOC8">
    <w:name w:val="toc 8"/>
    <w:basedOn w:val="a1"/>
    <w:next w:val="a1"/>
    <w:autoRedefine/>
    <w:semiHidden/>
    <w:unhideWhenUsed/>
    <w:rsid w:val="0060603A"/>
    <w:pPr>
      <w:spacing w:after="100"/>
      <w:ind w:left="1680"/>
    </w:pPr>
  </w:style>
  <w:style w:type="paragraph" w:styleId="TOC9">
    <w:name w:val="toc 9"/>
    <w:basedOn w:val="a1"/>
    <w:next w:val="a1"/>
    <w:autoRedefine/>
    <w:semiHidden/>
    <w:unhideWhenUsed/>
    <w:rsid w:val="0060603A"/>
    <w:pPr>
      <w:spacing w:after="100"/>
      <w:ind w:left="1920"/>
    </w:pPr>
  </w:style>
  <w:style w:type="table" w:styleId="-1">
    <w:name w:val="Table 3D effects 1"/>
    <w:basedOn w:val="a3"/>
    <w:semiHidden/>
    <w:unhideWhenUsed/>
    <w:rsid w:val="0060603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0603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0603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0603A"/>
  </w:style>
  <w:style w:type="paragraph" w:styleId="af1">
    <w:name w:val="Salutation"/>
    <w:basedOn w:val="a1"/>
    <w:next w:val="a1"/>
    <w:link w:val="af2"/>
    <w:rsid w:val="0060603A"/>
  </w:style>
  <w:style w:type="character" w:customStyle="1" w:styleId="af2">
    <w:name w:val="ברכה תו"/>
    <w:basedOn w:val="a2"/>
    <w:link w:val="af1"/>
    <w:rsid w:val="0060603A"/>
    <w:rPr>
      <w:rFonts w:cs="David"/>
      <w:noProof w:val="0"/>
      <w:sz w:val="24"/>
      <w:szCs w:val="24"/>
    </w:rPr>
  </w:style>
  <w:style w:type="paragraph" w:styleId="af3">
    <w:name w:val="Body Text"/>
    <w:basedOn w:val="a1"/>
    <w:link w:val="af4"/>
    <w:semiHidden/>
    <w:unhideWhenUsed/>
    <w:rsid w:val="0060603A"/>
    <w:pPr>
      <w:spacing w:after="120"/>
    </w:pPr>
  </w:style>
  <w:style w:type="character" w:customStyle="1" w:styleId="af4">
    <w:name w:val="גוף טקסט תו"/>
    <w:basedOn w:val="a2"/>
    <w:link w:val="af3"/>
    <w:semiHidden/>
    <w:rsid w:val="0060603A"/>
    <w:rPr>
      <w:rFonts w:cs="David"/>
      <w:noProof w:val="0"/>
      <w:sz w:val="24"/>
      <w:szCs w:val="24"/>
    </w:rPr>
  </w:style>
  <w:style w:type="paragraph" w:styleId="23">
    <w:name w:val="Body Text 2"/>
    <w:basedOn w:val="a1"/>
    <w:link w:val="24"/>
    <w:semiHidden/>
    <w:unhideWhenUsed/>
    <w:rsid w:val="0060603A"/>
    <w:pPr>
      <w:spacing w:after="120" w:line="480" w:lineRule="auto"/>
    </w:pPr>
  </w:style>
  <w:style w:type="character" w:customStyle="1" w:styleId="24">
    <w:name w:val="גוף טקסט 2 תו"/>
    <w:basedOn w:val="a2"/>
    <w:link w:val="23"/>
    <w:semiHidden/>
    <w:rsid w:val="0060603A"/>
    <w:rPr>
      <w:rFonts w:cs="David"/>
      <w:noProof w:val="0"/>
      <w:sz w:val="24"/>
      <w:szCs w:val="24"/>
    </w:rPr>
  </w:style>
  <w:style w:type="paragraph" w:styleId="33">
    <w:name w:val="Body Text 3"/>
    <w:basedOn w:val="a1"/>
    <w:link w:val="34"/>
    <w:semiHidden/>
    <w:unhideWhenUsed/>
    <w:rsid w:val="0060603A"/>
    <w:pPr>
      <w:spacing w:after="120"/>
    </w:pPr>
    <w:rPr>
      <w:sz w:val="16"/>
      <w:szCs w:val="16"/>
    </w:rPr>
  </w:style>
  <w:style w:type="character" w:customStyle="1" w:styleId="34">
    <w:name w:val="גוף טקסט 3 תו"/>
    <w:basedOn w:val="a2"/>
    <w:link w:val="33"/>
    <w:semiHidden/>
    <w:rsid w:val="0060603A"/>
    <w:rPr>
      <w:rFonts w:cs="David"/>
      <w:noProof w:val="0"/>
      <w:sz w:val="16"/>
      <w:szCs w:val="16"/>
    </w:rPr>
  </w:style>
  <w:style w:type="character" w:styleId="HTML1">
    <w:name w:val="HTML Sample"/>
    <w:basedOn w:val="a2"/>
    <w:semiHidden/>
    <w:unhideWhenUsed/>
    <w:rsid w:val="0060603A"/>
    <w:rPr>
      <w:rFonts w:ascii="Consolas" w:hAnsi="Consolas"/>
      <w:noProof w:val="0"/>
      <w:sz w:val="24"/>
      <w:szCs w:val="24"/>
    </w:rPr>
  </w:style>
  <w:style w:type="character" w:styleId="af5">
    <w:name w:val="Emphasis"/>
    <w:basedOn w:val="a2"/>
    <w:qFormat/>
    <w:rsid w:val="0060603A"/>
    <w:rPr>
      <w:i/>
      <w:iCs/>
      <w:noProof w:val="0"/>
    </w:rPr>
  </w:style>
  <w:style w:type="character" w:styleId="af6">
    <w:name w:val="Intense Emphasis"/>
    <w:basedOn w:val="a2"/>
    <w:uiPriority w:val="21"/>
    <w:qFormat/>
    <w:rsid w:val="0060603A"/>
    <w:rPr>
      <w:i/>
      <w:iCs/>
      <w:noProof w:val="0"/>
      <w:color w:val="4F81BD" w:themeColor="accent1"/>
    </w:rPr>
  </w:style>
  <w:style w:type="character" w:styleId="af7">
    <w:name w:val="Subtle Emphasis"/>
    <w:basedOn w:val="a2"/>
    <w:uiPriority w:val="19"/>
    <w:qFormat/>
    <w:rsid w:val="0060603A"/>
    <w:rPr>
      <w:i/>
      <w:iCs/>
      <w:noProof w:val="0"/>
      <w:color w:val="404040" w:themeColor="text1" w:themeTint="BF"/>
    </w:rPr>
  </w:style>
  <w:style w:type="paragraph" w:styleId="af8">
    <w:name w:val="List Continue"/>
    <w:basedOn w:val="a1"/>
    <w:semiHidden/>
    <w:unhideWhenUsed/>
    <w:rsid w:val="0060603A"/>
    <w:pPr>
      <w:spacing w:after="120"/>
      <w:ind w:left="283"/>
      <w:contextualSpacing/>
    </w:pPr>
  </w:style>
  <w:style w:type="paragraph" w:styleId="25">
    <w:name w:val="List Continue 2"/>
    <w:basedOn w:val="a1"/>
    <w:semiHidden/>
    <w:unhideWhenUsed/>
    <w:rsid w:val="0060603A"/>
    <w:pPr>
      <w:spacing w:after="120"/>
      <w:ind w:left="566"/>
      <w:contextualSpacing/>
    </w:pPr>
  </w:style>
  <w:style w:type="paragraph" w:styleId="35">
    <w:name w:val="List Continue 3"/>
    <w:basedOn w:val="a1"/>
    <w:semiHidden/>
    <w:unhideWhenUsed/>
    <w:rsid w:val="0060603A"/>
    <w:pPr>
      <w:spacing w:after="120"/>
      <w:ind w:left="849"/>
      <w:contextualSpacing/>
    </w:pPr>
  </w:style>
  <w:style w:type="paragraph" w:styleId="42">
    <w:name w:val="List Continue 4"/>
    <w:basedOn w:val="a1"/>
    <w:semiHidden/>
    <w:unhideWhenUsed/>
    <w:rsid w:val="0060603A"/>
    <w:pPr>
      <w:spacing w:after="120"/>
      <w:ind w:left="1132"/>
      <w:contextualSpacing/>
    </w:pPr>
  </w:style>
  <w:style w:type="paragraph" w:styleId="53">
    <w:name w:val="List Continue 5"/>
    <w:basedOn w:val="a1"/>
    <w:semiHidden/>
    <w:unhideWhenUsed/>
    <w:rsid w:val="0060603A"/>
    <w:pPr>
      <w:spacing w:after="120"/>
      <w:ind w:left="1415"/>
      <w:contextualSpacing/>
    </w:pPr>
  </w:style>
  <w:style w:type="character" w:styleId="af9">
    <w:name w:val="Intense Reference"/>
    <w:basedOn w:val="a2"/>
    <w:uiPriority w:val="32"/>
    <w:qFormat/>
    <w:rsid w:val="0060603A"/>
    <w:rPr>
      <w:b/>
      <w:bCs/>
      <w:smallCaps/>
      <w:noProof w:val="0"/>
      <w:color w:val="4F81BD" w:themeColor="accent1"/>
      <w:spacing w:val="5"/>
    </w:rPr>
  </w:style>
  <w:style w:type="character" w:styleId="afa">
    <w:name w:val="endnote reference"/>
    <w:basedOn w:val="a2"/>
    <w:semiHidden/>
    <w:unhideWhenUsed/>
    <w:rsid w:val="0060603A"/>
    <w:rPr>
      <w:noProof w:val="0"/>
      <w:vertAlign w:val="superscript"/>
    </w:rPr>
  </w:style>
  <w:style w:type="character" w:styleId="afb">
    <w:name w:val="footnote reference"/>
    <w:basedOn w:val="a2"/>
    <w:semiHidden/>
    <w:unhideWhenUsed/>
    <w:rsid w:val="0060603A"/>
    <w:rPr>
      <w:noProof w:val="0"/>
      <w:vertAlign w:val="superscript"/>
    </w:rPr>
  </w:style>
  <w:style w:type="character" w:styleId="afc">
    <w:name w:val="Subtle Reference"/>
    <w:basedOn w:val="a2"/>
    <w:uiPriority w:val="31"/>
    <w:qFormat/>
    <w:rsid w:val="0060603A"/>
    <w:rPr>
      <w:smallCaps/>
      <w:noProof w:val="0"/>
      <w:color w:val="5A5A5A" w:themeColor="text1" w:themeTint="A5"/>
    </w:rPr>
  </w:style>
  <w:style w:type="table" w:styleId="afd">
    <w:name w:val="Light Shading"/>
    <w:basedOn w:val="a3"/>
    <w:uiPriority w:val="60"/>
    <w:semiHidden/>
    <w:unhideWhenUsed/>
    <w:rsid w:val="006060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060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0603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0603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0603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060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0603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06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060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060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060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060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060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060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060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606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06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06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06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06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060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0603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0603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0603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0603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0603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0603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0603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0603A"/>
    <w:rPr>
      <w:b/>
      <w:bCs/>
      <w:noProof w:val="0"/>
    </w:rPr>
  </w:style>
  <w:style w:type="paragraph" w:styleId="aff0">
    <w:name w:val="Signature"/>
    <w:basedOn w:val="a1"/>
    <w:link w:val="aff1"/>
    <w:semiHidden/>
    <w:unhideWhenUsed/>
    <w:rsid w:val="0060603A"/>
    <w:pPr>
      <w:ind w:left="4252"/>
    </w:pPr>
  </w:style>
  <w:style w:type="character" w:customStyle="1" w:styleId="aff1">
    <w:name w:val="חתימה תו"/>
    <w:basedOn w:val="a2"/>
    <w:link w:val="aff0"/>
    <w:semiHidden/>
    <w:rsid w:val="0060603A"/>
    <w:rPr>
      <w:rFonts w:cs="David"/>
      <w:noProof w:val="0"/>
      <w:sz w:val="24"/>
      <w:szCs w:val="24"/>
    </w:rPr>
  </w:style>
  <w:style w:type="paragraph" w:styleId="aff2">
    <w:name w:val="E-mail Signature"/>
    <w:basedOn w:val="a1"/>
    <w:link w:val="aff3"/>
    <w:semiHidden/>
    <w:unhideWhenUsed/>
    <w:rsid w:val="0060603A"/>
  </w:style>
  <w:style w:type="character" w:customStyle="1" w:styleId="aff3">
    <w:name w:val="חתימת דואר אלקטרוני תו"/>
    <w:basedOn w:val="a2"/>
    <w:link w:val="aff2"/>
    <w:semiHidden/>
    <w:rsid w:val="0060603A"/>
    <w:rPr>
      <w:rFonts w:cs="David"/>
      <w:noProof w:val="0"/>
      <w:sz w:val="24"/>
      <w:szCs w:val="24"/>
    </w:rPr>
  </w:style>
  <w:style w:type="table" w:styleId="aff4">
    <w:name w:val="Table Elegant"/>
    <w:basedOn w:val="a3"/>
    <w:semiHidden/>
    <w:unhideWhenUsed/>
    <w:rsid w:val="0060603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060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0603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0603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0603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0603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0603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0603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0603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0603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0603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0603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0603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0603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0603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060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0603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060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060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060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0603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0603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0603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060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0603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0603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0603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0603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0603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0603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0603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0603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0603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0603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0603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0603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0603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060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0603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0603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0603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0603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0603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0603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060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060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060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060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060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060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060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060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0603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0603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0603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0603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0603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0603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060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0603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0603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0603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0603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0603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0603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060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0603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0603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0603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0603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0603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0603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060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0603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0603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0603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0603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0603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0603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060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0603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0603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0603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0603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0603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0603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060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060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060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060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060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060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060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060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060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060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060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060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060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060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06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06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06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06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06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06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060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060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060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060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060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060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060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060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060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060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060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060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060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060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060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0603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0603A"/>
    <w:rPr>
      <w:sz w:val="20"/>
      <w:szCs w:val="20"/>
    </w:rPr>
  </w:style>
  <w:style w:type="character" w:customStyle="1" w:styleId="aff9">
    <w:name w:val="טקסט הערת סיום תו"/>
    <w:basedOn w:val="a2"/>
    <w:link w:val="aff8"/>
    <w:semiHidden/>
    <w:rsid w:val="0060603A"/>
    <w:rPr>
      <w:rFonts w:cs="David"/>
      <w:noProof w:val="0"/>
    </w:rPr>
  </w:style>
  <w:style w:type="paragraph" w:styleId="affa">
    <w:name w:val="footnote text"/>
    <w:basedOn w:val="a1"/>
    <w:link w:val="affb"/>
    <w:semiHidden/>
    <w:unhideWhenUsed/>
    <w:rsid w:val="0060603A"/>
    <w:rPr>
      <w:sz w:val="20"/>
      <w:szCs w:val="20"/>
    </w:rPr>
  </w:style>
  <w:style w:type="character" w:customStyle="1" w:styleId="affb">
    <w:name w:val="טקסט הערת שוליים תו"/>
    <w:basedOn w:val="a2"/>
    <w:link w:val="affa"/>
    <w:semiHidden/>
    <w:rsid w:val="0060603A"/>
    <w:rPr>
      <w:rFonts w:cs="David"/>
      <w:noProof w:val="0"/>
    </w:rPr>
  </w:style>
  <w:style w:type="paragraph" w:styleId="affc">
    <w:name w:val="macro"/>
    <w:link w:val="affd"/>
    <w:semiHidden/>
    <w:unhideWhenUsed/>
    <w:rsid w:val="0060603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0603A"/>
    <w:rPr>
      <w:rFonts w:ascii="Consolas" w:hAnsi="Consolas" w:cs="David"/>
      <w:noProof w:val="0"/>
    </w:rPr>
  </w:style>
  <w:style w:type="paragraph" w:styleId="affe">
    <w:name w:val="Plain Text"/>
    <w:basedOn w:val="a1"/>
    <w:link w:val="afff"/>
    <w:semiHidden/>
    <w:unhideWhenUsed/>
    <w:rsid w:val="0060603A"/>
    <w:rPr>
      <w:rFonts w:ascii="Consolas" w:hAnsi="Consolas"/>
      <w:sz w:val="21"/>
      <w:szCs w:val="21"/>
    </w:rPr>
  </w:style>
  <w:style w:type="character" w:customStyle="1" w:styleId="afff">
    <w:name w:val="טקסט רגיל תו"/>
    <w:basedOn w:val="a2"/>
    <w:link w:val="affe"/>
    <w:semiHidden/>
    <w:rsid w:val="0060603A"/>
    <w:rPr>
      <w:rFonts w:ascii="Consolas" w:hAnsi="Consolas" w:cs="David"/>
      <w:noProof w:val="0"/>
      <w:sz w:val="21"/>
      <w:szCs w:val="21"/>
    </w:rPr>
  </w:style>
  <w:style w:type="character" w:styleId="afff0">
    <w:name w:val="Book Title"/>
    <w:basedOn w:val="a2"/>
    <w:uiPriority w:val="33"/>
    <w:qFormat/>
    <w:rsid w:val="0060603A"/>
    <w:rPr>
      <w:b/>
      <w:bCs/>
      <w:i/>
      <w:iCs/>
      <w:noProof w:val="0"/>
      <w:spacing w:val="5"/>
    </w:rPr>
  </w:style>
  <w:style w:type="character" w:customStyle="1" w:styleId="10">
    <w:name w:val="כותרת 1 תו"/>
    <w:basedOn w:val="a2"/>
    <w:link w:val="1"/>
    <w:rsid w:val="0060603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0603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0603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0603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0603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0603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0603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0603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0603A"/>
    <w:rPr>
      <w:rFonts w:asciiTheme="majorHAnsi" w:eastAsiaTheme="majorEastAsia" w:hAnsiTheme="majorHAnsi" w:cstheme="majorBidi"/>
      <w:b/>
      <w:bCs/>
    </w:rPr>
  </w:style>
  <w:style w:type="paragraph" w:styleId="afff2">
    <w:name w:val="Note Heading"/>
    <w:basedOn w:val="a1"/>
    <w:next w:val="a1"/>
    <w:link w:val="afff3"/>
    <w:semiHidden/>
    <w:unhideWhenUsed/>
    <w:rsid w:val="0060603A"/>
  </w:style>
  <w:style w:type="character" w:customStyle="1" w:styleId="afff3">
    <w:name w:val="כותרת הערות תו"/>
    <w:basedOn w:val="a2"/>
    <w:link w:val="afff2"/>
    <w:semiHidden/>
    <w:rsid w:val="0060603A"/>
    <w:rPr>
      <w:rFonts w:cs="David"/>
      <w:noProof w:val="0"/>
      <w:sz w:val="24"/>
      <w:szCs w:val="24"/>
    </w:rPr>
  </w:style>
  <w:style w:type="paragraph" w:styleId="afff4">
    <w:name w:val="Title"/>
    <w:basedOn w:val="a1"/>
    <w:next w:val="a1"/>
    <w:link w:val="afff5"/>
    <w:qFormat/>
    <w:rsid w:val="0060603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0603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0603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0603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060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0603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0603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0603A"/>
    <w:pPr>
      <w:outlineLvl w:val="9"/>
    </w:pPr>
  </w:style>
  <w:style w:type="paragraph" w:styleId="afffc">
    <w:name w:val="caption"/>
    <w:basedOn w:val="a1"/>
    <w:next w:val="a1"/>
    <w:semiHidden/>
    <w:unhideWhenUsed/>
    <w:qFormat/>
    <w:rsid w:val="0060603A"/>
    <w:pPr>
      <w:spacing w:after="200"/>
    </w:pPr>
    <w:rPr>
      <w:i/>
      <w:iCs/>
      <w:color w:val="1F497D" w:themeColor="text2"/>
      <w:sz w:val="18"/>
      <w:szCs w:val="18"/>
    </w:rPr>
  </w:style>
  <w:style w:type="paragraph" w:styleId="afffd">
    <w:name w:val="Body Text Indent"/>
    <w:basedOn w:val="a1"/>
    <w:link w:val="afffe"/>
    <w:semiHidden/>
    <w:unhideWhenUsed/>
    <w:rsid w:val="0060603A"/>
    <w:pPr>
      <w:spacing w:after="120"/>
      <w:ind w:left="283"/>
    </w:pPr>
  </w:style>
  <w:style w:type="character" w:customStyle="1" w:styleId="afffe">
    <w:name w:val="כניסה בגוף טקסט תו"/>
    <w:basedOn w:val="a2"/>
    <w:link w:val="afffd"/>
    <w:semiHidden/>
    <w:rsid w:val="0060603A"/>
    <w:rPr>
      <w:rFonts w:cs="David"/>
      <w:noProof w:val="0"/>
      <w:sz w:val="24"/>
      <w:szCs w:val="24"/>
    </w:rPr>
  </w:style>
  <w:style w:type="paragraph" w:styleId="2f">
    <w:name w:val="Body Text Indent 2"/>
    <w:basedOn w:val="a1"/>
    <w:link w:val="2f0"/>
    <w:semiHidden/>
    <w:unhideWhenUsed/>
    <w:rsid w:val="0060603A"/>
    <w:pPr>
      <w:spacing w:after="120" w:line="480" w:lineRule="auto"/>
      <w:ind w:left="283"/>
    </w:pPr>
  </w:style>
  <w:style w:type="character" w:customStyle="1" w:styleId="2f0">
    <w:name w:val="כניסה בגוף טקסט 2 תו"/>
    <w:basedOn w:val="a2"/>
    <w:link w:val="2f"/>
    <w:semiHidden/>
    <w:rsid w:val="0060603A"/>
    <w:rPr>
      <w:rFonts w:cs="David"/>
      <w:noProof w:val="0"/>
      <w:sz w:val="24"/>
      <w:szCs w:val="24"/>
    </w:rPr>
  </w:style>
  <w:style w:type="paragraph" w:styleId="3d">
    <w:name w:val="Body Text Indent 3"/>
    <w:basedOn w:val="a1"/>
    <w:link w:val="3e"/>
    <w:semiHidden/>
    <w:unhideWhenUsed/>
    <w:rsid w:val="0060603A"/>
    <w:pPr>
      <w:spacing w:after="120"/>
      <w:ind w:left="283"/>
    </w:pPr>
    <w:rPr>
      <w:sz w:val="16"/>
      <w:szCs w:val="16"/>
    </w:rPr>
  </w:style>
  <w:style w:type="character" w:customStyle="1" w:styleId="3e">
    <w:name w:val="כניסה בגוף טקסט 3 תו"/>
    <w:basedOn w:val="a2"/>
    <w:link w:val="3d"/>
    <w:semiHidden/>
    <w:rsid w:val="0060603A"/>
    <w:rPr>
      <w:rFonts w:cs="David"/>
      <w:noProof w:val="0"/>
      <w:sz w:val="16"/>
      <w:szCs w:val="16"/>
    </w:rPr>
  </w:style>
  <w:style w:type="paragraph" w:styleId="affff">
    <w:name w:val="Normal Indent"/>
    <w:basedOn w:val="a1"/>
    <w:semiHidden/>
    <w:unhideWhenUsed/>
    <w:rsid w:val="0060603A"/>
    <w:pPr>
      <w:ind w:left="720"/>
    </w:pPr>
  </w:style>
  <w:style w:type="paragraph" w:styleId="affff0">
    <w:name w:val="Body Text First Indent"/>
    <w:basedOn w:val="af3"/>
    <w:link w:val="affff1"/>
    <w:rsid w:val="0060603A"/>
    <w:pPr>
      <w:spacing w:after="0"/>
      <w:ind w:firstLine="360"/>
    </w:pPr>
  </w:style>
  <w:style w:type="character" w:customStyle="1" w:styleId="affff1">
    <w:name w:val="כניסת שורה ראשונה בגוף טקסט תו"/>
    <w:basedOn w:val="af4"/>
    <w:link w:val="affff0"/>
    <w:rsid w:val="0060603A"/>
    <w:rPr>
      <w:rFonts w:cs="David"/>
      <w:noProof w:val="0"/>
      <w:sz w:val="24"/>
      <w:szCs w:val="24"/>
    </w:rPr>
  </w:style>
  <w:style w:type="paragraph" w:styleId="2f1">
    <w:name w:val="Body Text First Indent 2"/>
    <w:basedOn w:val="afffd"/>
    <w:link w:val="2f2"/>
    <w:semiHidden/>
    <w:unhideWhenUsed/>
    <w:rsid w:val="0060603A"/>
    <w:pPr>
      <w:spacing w:after="0"/>
      <w:ind w:left="360" w:firstLine="360"/>
    </w:pPr>
  </w:style>
  <w:style w:type="character" w:customStyle="1" w:styleId="2f2">
    <w:name w:val="כניסת שורה ראשונה בגוף טקסט 2 תו"/>
    <w:basedOn w:val="afffe"/>
    <w:link w:val="2f1"/>
    <w:semiHidden/>
    <w:rsid w:val="0060603A"/>
    <w:rPr>
      <w:rFonts w:cs="David"/>
      <w:noProof w:val="0"/>
      <w:sz w:val="24"/>
      <w:szCs w:val="24"/>
    </w:rPr>
  </w:style>
  <w:style w:type="paragraph" w:styleId="HTML2">
    <w:name w:val="HTML Address"/>
    <w:basedOn w:val="a1"/>
    <w:link w:val="HTML3"/>
    <w:semiHidden/>
    <w:unhideWhenUsed/>
    <w:rsid w:val="0060603A"/>
    <w:rPr>
      <w:i/>
      <w:iCs/>
    </w:rPr>
  </w:style>
  <w:style w:type="character" w:customStyle="1" w:styleId="HTML3">
    <w:name w:val="כתובת HTML תו"/>
    <w:basedOn w:val="a2"/>
    <w:link w:val="HTML2"/>
    <w:semiHidden/>
    <w:rsid w:val="0060603A"/>
    <w:rPr>
      <w:rFonts w:cs="David"/>
      <w:i/>
      <w:iCs/>
      <w:noProof w:val="0"/>
      <w:sz w:val="24"/>
      <w:szCs w:val="24"/>
    </w:rPr>
  </w:style>
  <w:style w:type="paragraph" w:styleId="affff2">
    <w:name w:val="envelope address"/>
    <w:basedOn w:val="a1"/>
    <w:semiHidden/>
    <w:unhideWhenUsed/>
    <w:rsid w:val="0060603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0603A"/>
    <w:rPr>
      <w:rFonts w:asciiTheme="majorHAnsi" w:eastAsiaTheme="majorEastAsia" w:hAnsiTheme="majorHAnsi" w:cstheme="majorBidi"/>
      <w:sz w:val="20"/>
      <w:szCs w:val="20"/>
    </w:rPr>
  </w:style>
  <w:style w:type="paragraph" w:styleId="affff4">
    <w:name w:val="No Spacing"/>
    <w:uiPriority w:val="1"/>
    <w:qFormat/>
    <w:rsid w:val="0060603A"/>
    <w:pPr>
      <w:bidi/>
    </w:pPr>
    <w:rPr>
      <w:rFonts w:cs="David"/>
      <w:sz w:val="24"/>
      <w:szCs w:val="24"/>
    </w:rPr>
  </w:style>
  <w:style w:type="character" w:styleId="HTML4">
    <w:name w:val="HTML Typewriter"/>
    <w:basedOn w:val="a2"/>
    <w:semiHidden/>
    <w:unhideWhenUsed/>
    <w:rsid w:val="0060603A"/>
    <w:rPr>
      <w:rFonts w:ascii="Consolas" w:hAnsi="Consolas"/>
      <w:noProof w:val="0"/>
      <w:sz w:val="20"/>
      <w:szCs w:val="20"/>
    </w:rPr>
  </w:style>
  <w:style w:type="paragraph" w:styleId="affff5">
    <w:name w:val="Document Map"/>
    <w:basedOn w:val="a1"/>
    <w:link w:val="affff6"/>
    <w:semiHidden/>
    <w:unhideWhenUsed/>
    <w:rsid w:val="0060603A"/>
    <w:rPr>
      <w:rFonts w:ascii="Tahoma" w:hAnsi="Tahoma" w:cs="Tahoma"/>
      <w:sz w:val="16"/>
      <w:szCs w:val="16"/>
    </w:rPr>
  </w:style>
  <w:style w:type="character" w:customStyle="1" w:styleId="affff6">
    <w:name w:val="מפת מסמך תו"/>
    <w:basedOn w:val="a2"/>
    <w:link w:val="affff5"/>
    <w:semiHidden/>
    <w:rsid w:val="0060603A"/>
    <w:rPr>
      <w:rFonts w:ascii="Tahoma" w:hAnsi="Tahoma" w:cs="Tahoma"/>
      <w:noProof w:val="0"/>
      <w:sz w:val="16"/>
      <w:szCs w:val="16"/>
    </w:rPr>
  </w:style>
  <w:style w:type="character" w:styleId="HTML5">
    <w:name w:val="HTML Keyboard"/>
    <w:basedOn w:val="a2"/>
    <w:semiHidden/>
    <w:unhideWhenUsed/>
    <w:rsid w:val="0060603A"/>
    <w:rPr>
      <w:rFonts w:ascii="Consolas" w:hAnsi="Consolas"/>
      <w:noProof w:val="0"/>
      <w:sz w:val="20"/>
      <w:szCs w:val="20"/>
    </w:rPr>
  </w:style>
  <w:style w:type="paragraph" w:styleId="affff7">
    <w:name w:val="annotation subject"/>
    <w:basedOn w:val="a8"/>
    <w:next w:val="a8"/>
    <w:link w:val="affff8"/>
    <w:semiHidden/>
    <w:unhideWhenUsed/>
    <w:rsid w:val="0060603A"/>
    <w:rPr>
      <w:rFonts w:cs="David"/>
      <w:b/>
      <w:bCs/>
      <w:sz w:val="20"/>
      <w:szCs w:val="20"/>
    </w:rPr>
  </w:style>
  <w:style w:type="character" w:customStyle="1" w:styleId="a9">
    <w:name w:val="טקסט הערה תו"/>
    <w:basedOn w:val="a2"/>
    <w:link w:val="a8"/>
    <w:semiHidden/>
    <w:rsid w:val="0060603A"/>
    <w:rPr>
      <w:noProof w:val="0"/>
      <w:sz w:val="24"/>
      <w:szCs w:val="24"/>
    </w:rPr>
  </w:style>
  <w:style w:type="character" w:customStyle="1" w:styleId="affff8">
    <w:name w:val="נושא הערה תו"/>
    <w:basedOn w:val="a9"/>
    <w:link w:val="affff7"/>
    <w:semiHidden/>
    <w:rsid w:val="0060603A"/>
    <w:rPr>
      <w:rFonts w:cs="David"/>
      <w:b/>
      <w:bCs/>
      <w:noProof w:val="0"/>
      <w:sz w:val="24"/>
      <w:szCs w:val="24"/>
    </w:rPr>
  </w:style>
  <w:style w:type="table" w:styleId="affff9">
    <w:name w:val="Table Theme"/>
    <w:basedOn w:val="a3"/>
    <w:semiHidden/>
    <w:unhideWhenUsed/>
    <w:rsid w:val="006060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0603A"/>
    <w:pPr>
      <w:ind w:left="4252"/>
    </w:pPr>
  </w:style>
  <w:style w:type="character" w:customStyle="1" w:styleId="affffb">
    <w:name w:val="סיום תו"/>
    <w:basedOn w:val="a2"/>
    <w:link w:val="affffa"/>
    <w:semiHidden/>
    <w:rsid w:val="0060603A"/>
    <w:rPr>
      <w:rFonts w:cs="David"/>
      <w:noProof w:val="0"/>
      <w:sz w:val="24"/>
      <w:szCs w:val="24"/>
    </w:rPr>
  </w:style>
  <w:style w:type="table" w:styleId="1b">
    <w:name w:val="Table Columns 1"/>
    <w:basedOn w:val="a3"/>
    <w:semiHidden/>
    <w:unhideWhenUsed/>
    <w:rsid w:val="0060603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0603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0603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0603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0603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0603A"/>
    <w:pPr>
      <w:ind w:left="720"/>
      <w:contextualSpacing/>
    </w:pPr>
  </w:style>
  <w:style w:type="paragraph" w:styleId="affffd">
    <w:name w:val="Quote"/>
    <w:basedOn w:val="a1"/>
    <w:next w:val="a1"/>
    <w:link w:val="affffe"/>
    <w:uiPriority w:val="29"/>
    <w:qFormat/>
    <w:rsid w:val="0060603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0603A"/>
    <w:rPr>
      <w:rFonts w:cs="David"/>
      <w:i/>
      <w:iCs/>
      <w:noProof w:val="0"/>
      <w:color w:val="404040" w:themeColor="text1" w:themeTint="BF"/>
      <w:sz w:val="24"/>
      <w:szCs w:val="24"/>
    </w:rPr>
  </w:style>
  <w:style w:type="paragraph" w:styleId="afffff">
    <w:name w:val="Intense Quote"/>
    <w:basedOn w:val="a1"/>
    <w:next w:val="a1"/>
    <w:link w:val="afffff0"/>
    <w:uiPriority w:val="30"/>
    <w:qFormat/>
    <w:rsid w:val="006060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0603A"/>
    <w:rPr>
      <w:rFonts w:cs="David"/>
      <w:i/>
      <w:iCs/>
      <w:noProof w:val="0"/>
      <w:color w:val="4F81BD" w:themeColor="accent1"/>
      <w:sz w:val="24"/>
      <w:szCs w:val="24"/>
    </w:rPr>
  </w:style>
  <w:style w:type="character" w:styleId="HTML6">
    <w:name w:val="HTML Acronym"/>
    <w:basedOn w:val="a2"/>
    <w:semiHidden/>
    <w:unhideWhenUsed/>
    <w:rsid w:val="0060603A"/>
    <w:rPr>
      <w:noProof w:val="0"/>
    </w:rPr>
  </w:style>
  <w:style w:type="paragraph" w:styleId="afffff1">
    <w:name w:val="List"/>
    <w:basedOn w:val="a1"/>
    <w:semiHidden/>
    <w:unhideWhenUsed/>
    <w:rsid w:val="0060603A"/>
    <w:pPr>
      <w:ind w:left="283" w:hanging="283"/>
      <w:contextualSpacing/>
    </w:pPr>
  </w:style>
  <w:style w:type="paragraph" w:styleId="2f4">
    <w:name w:val="List 2"/>
    <w:basedOn w:val="a1"/>
    <w:semiHidden/>
    <w:unhideWhenUsed/>
    <w:rsid w:val="0060603A"/>
    <w:pPr>
      <w:ind w:left="566" w:hanging="283"/>
      <w:contextualSpacing/>
    </w:pPr>
  </w:style>
  <w:style w:type="paragraph" w:styleId="3f0">
    <w:name w:val="List 3"/>
    <w:basedOn w:val="a1"/>
    <w:semiHidden/>
    <w:unhideWhenUsed/>
    <w:rsid w:val="0060603A"/>
    <w:pPr>
      <w:ind w:left="849" w:hanging="283"/>
      <w:contextualSpacing/>
    </w:pPr>
  </w:style>
  <w:style w:type="paragraph" w:styleId="48">
    <w:name w:val="List 4"/>
    <w:basedOn w:val="a1"/>
    <w:rsid w:val="0060603A"/>
    <w:pPr>
      <w:ind w:left="1132" w:hanging="283"/>
      <w:contextualSpacing/>
    </w:pPr>
  </w:style>
  <w:style w:type="paragraph" w:styleId="58">
    <w:name w:val="List 5"/>
    <w:basedOn w:val="a1"/>
    <w:rsid w:val="0060603A"/>
    <w:pPr>
      <w:ind w:left="1415" w:hanging="283"/>
      <w:contextualSpacing/>
    </w:pPr>
  </w:style>
  <w:style w:type="table" w:styleId="afffff2">
    <w:name w:val="Light List"/>
    <w:basedOn w:val="a3"/>
    <w:uiPriority w:val="61"/>
    <w:semiHidden/>
    <w:unhideWhenUsed/>
    <w:rsid w:val="006060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060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060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060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060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060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060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0603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0603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0603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0603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0603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0603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0603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0603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0603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0603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0603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0603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0603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0603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0603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060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0603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0603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0603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0603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0603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0603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0603A"/>
    <w:pPr>
      <w:numPr>
        <w:numId w:val="1"/>
      </w:numPr>
      <w:contextualSpacing/>
    </w:pPr>
  </w:style>
  <w:style w:type="paragraph" w:styleId="2">
    <w:name w:val="List Number 2"/>
    <w:basedOn w:val="a1"/>
    <w:semiHidden/>
    <w:unhideWhenUsed/>
    <w:rsid w:val="0060603A"/>
    <w:pPr>
      <w:numPr>
        <w:numId w:val="2"/>
      </w:numPr>
      <w:contextualSpacing/>
    </w:pPr>
  </w:style>
  <w:style w:type="paragraph" w:styleId="3">
    <w:name w:val="List Number 3"/>
    <w:basedOn w:val="a1"/>
    <w:semiHidden/>
    <w:unhideWhenUsed/>
    <w:rsid w:val="0060603A"/>
    <w:pPr>
      <w:numPr>
        <w:numId w:val="3"/>
      </w:numPr>
      <w:contextualSpacing/>
    </w:pPr>
  </w:style>
  <w:style w:type="paragraph" w:styleId="4">
    <w:name w:val="List Number 4"/>
    <w:basedOn w:val="a1"/>
    <w:semiHidden/>
    <w:unhideWhenUsed/>
    <w:rsid w:val="0060603A"/>
    <w:pPr>
      <w:numPr>
        <w:numId w:val="4"/>
      </w:numPr>
      <w:contextualSpacing/>
    </w:pPr>
  </w:style>
  <w:style w:type="paragraph" w:styleId="5">
    <w:name w:val="List Number 5"/>
    <w:basedOn w:val="a1"/>
    <w:semiHidden/>
    <w:unhideWhenUsed/>
    <w:rsid w:val="0060603A"/>
    <w:pPr>
      <w:numPr>
        <w:numId w:val="5"/>
      </w:numPr>
      <w:contextualSpacing/>
    </w:pPr>
  </w:style>
  <w:style w:type="paragraph" w:styleId="a0">
    <w:name w:val="List Bullet"/>
    <w:basedOn w:val="a1"/>
    <w:semiHidden/>
    <w:unhideWhenUsed/>
    <w:rsid w:val="0060603A"/>
    <w:pPr>
      <w:numPr>
        <w:numId w:val="6"/>
      </w:numPr>
      <w:contextualSpacing/>
    </w:pPr>
  </w:style>
  <w:style w:type="paragraph" w:styleId="20">
    <w:name w:val="List Bullet 2"/>
    <w:basedOn w:val="a1"/>
    <w:semiHidden/>
    <w:unhideWhenUsed/>
    <w:rsid w:val="0060603A"/>
    <w:pPr>
      <w:numPr>
        <w:numId w:val="7"/>
      </w:numPr>
      <w:contextualSpacing/>
    </w:pPr>
  </w:style>
  <w:style w:type="paragraph" w:styleId="30">
    <w:name w:val="List Bullet 3"/>
    <w:basedOn w:val="a1"/>
    <w:semiHidden/>
    <w:unhideWhenUsed/>
    <w:rsid w:val="0060603A"/>
    <w:pPr>
      <w:numPr>
        <w:numId w:val="8"/>
      </w:numPr>
      <w:contextualSpacing/>
    </w:pPr>
  </w:style>
  <w:style w:type="paragraph" w:styleId="40">
    <w:name w:val="List Bullet 4"/>
    <w:basedOn w:val="a1"/>
    <w:semiHidden/>
    <w:unhideWhenUsed/>
    <w:rsid w:val="0060603A"/>
    <w:pPr>
      <w:numPr>
        <w:numId w:val="9"/>
      </w:numPr>
      <w:contextualSpacing/>
    </w:pPr>
  </w:style>
  <w:style w:type="paragraph" w:styleId="50">
    <w:name w:val="List Bullet 5"/>
    <w:basedOn w:val="a1"/>
    <w:semiHidden/>
    <w:unhideWhenUsed/>
    <w:rsid w:val="0060603A"/>
    <w:pPr>
      <w:numPr>
        <w:numId w:val="10"/>
      </w:numPr>
      <w:contextualSpacing/>
    </w:pPr>
  </w:style>
  <w:style w:type="table" w:styleId="afffff4">
    <w:name w:val="Colorful List"/>
    <w:basedOn w:val="a3"/>
    <w:uiPriority w:val="72"/>
    <w:semiHidden/>
    <w:unhideWhenUsed/>
    <w:rsid w:val="0060603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0603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0603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0603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0603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0603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0603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0603A"/>
  </w:style>
  <w:style w:type="paragraph" w:styleId="afffff6">
    <w:name w:val="table of authorities"/>
    <w:basedOn w:val="a1"/>
    <w:next w:val="a1"/>
    <w:semiHidden/>
    <w:unhideWhenUsed/>
    <w:rsid w:val="0060603A"/>
    <w:pPr>
      <w:ind w:left="240" w:hanging="240"/>
    </w:pPr>
  </w:style>
  <w:style w:type="table" w:styleId="afffff7">
    <w:name w:val="Light Grid"/>
    <w:basedOn w:val="a3"/>
    <w:uiPriority w:val="62"/>
    <w:semiHidden/>
    <w:unhideWhenUsed/>
    <w:rsid w:val="006060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060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060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060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060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060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060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060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060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060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060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060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060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060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060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06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06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06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06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06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06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060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060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0603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0603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0603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0603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0603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0603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0603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060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0603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0603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0603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0603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0603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0603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0603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0603A"/>
  </w:style>
  <w:style w:type="character" w:customStyle="1" w:styleId="afffffb">
    <w:name w:val="תאריך תו"/>
    <w:basedOn w:val="a2"/>
    <w:link w:val="afffffa"/>
    <w:rsid w:val="0060603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433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84365489">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law/74515/15" TargetMode="External" Id="rId13" /><Relationship Type="http://schemas.openxmlformats.org/officeDocument/2006/relationships/image" Target="media/image1.emf" Id="rId18"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www.nevo.co.il/case/20003536" TargetMode="External" Id="rId12" /><Relationship Type="http://schemas.openxmlformats.org/officeDocument/2006/relationships/hyperlink" Target="http://www.nevo.co.il/law/74515/15" TargetMode="External" Id="rId17" /><Relationship Type="http://schemas.openxmlformats.org/officeDocument/2006/relationships/hyperlink" Target="http://www.nevo.co.il/law/74515/15" TargetMode="External" Id="rId16" /><Relationship Type="http://schemas.openxmlformats.org/officeDocument/2006/relationships/footer" Target="footer1.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74505" TargetMode="External" Id="rId11" /><Relationship Type="http://schemas.openxmlformats.org/officeDocument/2006/relationships/styles" Target="styles.xml" Id="rId5" /><Relationship Type="http://schemas.openxmlformats.org/officeDocument/2006/relationships/hyperlink" Target="http://www.nevo.co.il/law/74515/15" TargetMode="External" Id="rId15" /><Relationship Type="http://schemas.openxmlformats.org/officeDocument/2006/relationships/theme" Target="theme/theme1.xml" Id="rId23" /><Relationship Type="http://schemas.openxmlformats.org/officeDocument/2006/relationships/hyperlink" Target="http://www.nevo.co.il/law/74505/123"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law/74515/15" TargetMode="External" Id="rId14" /><Relationship Type="http://schemas.openxmlformats.org/officeDocument/2006/relationships/glossaryDocument" Target="glossary/document.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46593EF-6C33-4ADF-8D0F-12BFDB26B9D7}"/>
      </w:docPartPr>
      <w:docPartBody>
        <w:p w:rsidR="00857360" w:rsidRDefault="00C841F6">
          <w:r w:rsidRPr="006052AC">
            <w:rPr>
              <w:rStyle w:val="a3"/>
              <w:rtl/>
            </w:rPr>
            <w:t>לחץ כאן להזנת טקסט</w:t>
          </w:r>
          <w:r w:rsidRPr="006052AC">
            <w:rPr>
              <w:rStyle w:val="a3"/>
            </w:rPr>
            <w:t>.</w:t>
          </w:r>
        </w:p>
      </w:docPartBody>
    </w:docPart>
    <w:docPart>
      <w:docPartPr>
        <w:name w:val="1677DBF1868F4ABFAD3D8A35B0EB18F8"/>
        <w:category>
          <w:name w:val="כללי"/>
          <w:gallery w:val="placeholder"/>
        </w:category>
        <w:types>
          <w:type w:val="bbPlcHdr"/>
        </w:types>
        <w:behaviors>
          <w:behavior w:val="content"/>
        </w:behaviors>
        <w:guid w:val="{B9D5ABBE-2832-4F40-B87F-809F93546012}"/>
      </w:docPartPr>
      <w:docPartBody>
        <w:p w:rsidR="00A00B15" w:rsidRDefault="00A00B15" w:rsidP="00A00B15">
          <w:pPr>
            <w:pStyle w:val="1677DBF1868F4ABFAD3D8A35B0EB18F81"/>
          </w:pPr>
          <w:r w:rsidRPr="002C5F73">
            <w:rPr>
              <w:b/>
              <w:bCs/>
              <w:sz w:val="28"/>
              <w:szCs w:val="28"/>
              <w:u w:val="single"/>
              <w:rtl/>
            </w:rPr>
            <w:t>מעמד/כינוי צד א</w:t>
          </w:r>
        </w:p>
      </w:docPartBody>
    </w:docPart>
    <w:docPart>
      <w:docPartPr>
        <w:name w:val="9CABD75D67B94B49A241CCA2720F740E"/>
        <w:category>
          <w:name w:val="כללי"/>
          <w:gallery w:val="placeholder"/>
        </w:category>
        <w:types>
          <w:type w:val="bbPlcHdr"/>
        </w:types>
        <w:behaviors>
          <w:behavior w:val="content"/>
        </w:behaviors>
        <w:guid w:val="{D2A41170-213D-4D0B-966E-A6A16F92635C}"/>
      </w:docPartPr>
      <w:docPartBody>
        <w:p w:rsidR="00A00B15" w:rsidRDefault="00A00B15" w:rsidP="00A00B15">
          <w:pPr>
            <w:pStyle w:val="9CABD75D67B94B49A241CCA2720F740E1"/>
          </w:pPr>
          <w:r w:rsidRPr="002C5F73">
            <w:rPr>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F6"/>
    <w:rsid w:val="0042174A"/>
    <w:rsid w:val="00857360"/>
    <w:rsid w:val="00A00B15"/>
    <w:rsid w:val="00C84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41F6"/>
    <w:rPr>
      <w:color w:val="808080"/>
    </w:rPr>
  </w:style>
  <w:style w:type="paragraph" w:customStyle="1" w:styleId="1677DBF1868F4ABFAD3D8A35B0EB18F8">
    <w:name w:val="1677DBF1868F4ABFAD3D8A35B0EB18F8"/>
    <w:rsid w:val="0042174A"/>
    <w:pPr>
      <w:bidi/>
      <w:spacing w:after="0" w:line="240" w:lineRule="auto"/>
    </w:pPr>
    <w:rPr>
      <w:rFonts w:ascii="Times New Roman" w:eastAsia="Times New Roman" w:hAnsi="Times New Roman" w:cs="David"/>
      <w:noProof/>
      <w:sz w:val="24"/>
      <w:szCs w:val="24"/>
    </w:rPr>
  </w:style>
  <w:style w:type="paragraph" w:customStyle="1" w:styleId="9CABD75D67B94B49A241CCA2720F740E">
    <w:name w:val="9CABD75D67B94B49A241CCA2720F740E"/>
    <w:rsid w:val="0042174A"/>
    <w:pPr>
      <w:bidi/>
      <w:spacing w:after="0" w:line="240" w:lineRule="auto"/>
    </w:pPr>
    <w:rPr>
      <w:rFonts w:ascii="Times New Roman" w:eastAsia="Times New Roman" w:hAnsi="Times New Roman" w:cs="David"/>
      <w:noProof/>
      <w:sz w:val="24"/>
      <w:szCs w:val="24"/>
    </w:rPr>
  </w:style>
  <w:style w:type="paragraph" w:customStyle="1" w:styleId="1677DBF1868F4ABFAD3D8A35B0EB18F81">
    <w:name w:val="1677DBF1868F4ABFAD3D8A35B0EB18F81"/>
    <w:rsid w:val="00A00B15"/>
    <w:pPr>
      <w:bidi/>
      <w:spacing w:after="0" w:line="240" w:lineRule="auto"/>
    </w:pPr>
    <w:rPr>
      <w:rFonts w:ascii="Times New Roman" w:eastAsia="Times New Roman" w:hAnsi="Times New Roman" w:cs="David"/>
      <w:noProof/>
      <w:sz w:val="24"/>
      <w:szCs w:val="24"/>
    </w:rPr>
  </w:style>
  <w:style w:type="paragraph" w:customStyle="1" w:styleId="9CABD75D67B94B49A241CCA2720F740E1">
    <w:name w:val="9CABD75D67B94B49A241CCA2720F740E1"/>
    <w:rsid w:val="00A00B1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1865</Words>
  <Characters>9328</Characters>
  <Application>Microsoft Office Word</Application>
  <DocSecurity>0</DocSecurity>
  <Lines>77</Lines>
  <Paragraphs>22</Paragraphs>
  <ScaleCrop>false</ScaleCrop>
  <Company>Microsoft Corporation</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אורית יעקבס</cp:lastModifiedBy>
  <cp:revision>72</cp:revision>
  <dcterms:created xsi:type="dcterms:W3CDTF">2012-08-05T20:16:00Z</dcterms:created>
  <dcterms:modified xsi:type="dcterms:W3CDTF">2018-04-11T05:07:00Z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