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EB425E">
            <w:pPr>
              <w:jc w:val="both"/>
              <w:rPr>
                <w:rFonts w:ascii="Arial (W1)" w:hAnsi="Arial (W1)"/>
                <w:b/>
                <w:bCs/>
                <w:sz w:val="28"/>
                <w:szCs w:val="28"/>
              </w:rPr>
            </w:pPr>
            <w:r>
              <w:rPr>
                <w:rFonts w:hint="cs"/>
                <w:b/>
                <w:bCs/>
                <w:sz w:val="28"/>
                <w:rtl/>
              </w:rPr>
              <w:t>ל</w:t>
            </w:r>
            <w:r w:rsidR="006816EC">
              <w:rPr>
                <w:rFonts w:hint="cs"/>
                <w:b/>
                <w:bCs/>
                <w:sz w:val="28"/>
                <w:rtl/>
              </w:rPr>
              <w:t xml:space="preserve">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דוד גדעוני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AD5F7E" w:rsidP="00EB425E" w:rsidRDefault="00EB425E">
                <w:pPr>
                  <w:rPr>
                    <w:rFonts w:ascii="Arial (W1)" w:hAnsi="Arial (W1)"/>
                    <w:b/>
                    <w:bCs/>
                    <w:noProof w:val="0"/>
                    <w:sz w:val="28"/>
                    <w:szCs w:val="28"/>
                  </w:rPr>
                </w:pPr>
                <w:r>
                  <w:rPr>
                    <w:rFonts w:hint="cs"/>
                    <w:b/>
                    <w:bCs/>
                    <w:noProof w:val="0"/>
                    <w:sz w:val="28"/>
                    <w:rtl/>
                  </w:rPr>
                  <w:t>ה</w:t>
                </w:r>
                <w:r w:rsidR="009B67D3">
                  <w:rPr>
                    <w:rFonts w:hint="cs"/>
                    <w:b/>
                    <w:bCs/>
                    <w:noProof w:val="0"/>
                    <w:sz w:val="28"/>
                    <w:rtl/>
                  </w:rPr>
                  <w:t>תובע</w:t>
                </w:r>
                <w:r>
                  <w:rPr>
                    <w:rFonts w:hint="cs"/>
                    <w:b/>
                    <w:bCs/>
                    <w:noProof w:val="0"/>
                    <w:sz w:val="28"/>
                    <w:rtl/>
                  </w:rPr>
                  <w:t>ות</w:t>
                </w:r>
              </w:p>
            </w:sdtContent>
          </w:sdt>
        </w:tc>
        <w:tc>
          <w:tcPr>
            <w:tcW w:w="5571" w:type="dxa"/>
          </w:tcPr>
          <w:p w:rsidR="006816EC" w:rsidRDefault="006816EC">
            <w:pPr>
              <w:rPr>
                <w:rFonts w:ascii="Arial (W1)" w:hAnsi="Arial (W1)"/>
                <w:b/>
                <w:bCs/>
                <w:noProof w:val="0"/>
                <w:sz w:val="28"/>
                <w:szCs w:val="28"/>
                <w:rtl/>
              </w:rPr>
            </w:pPr>
          </w:p>
          <w:p w:rsidR="006816EC" w:rsidRDefault="009B67D3">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פאיזה אבו זהריה</w:t>
                </w:r>
              </w:sdtContent>
            </w:sdt>
          </w:p>
          <w:p w:rsidR="006816EC" w:rsidRDefault="009B67D3">
            <w:pPr>
              <w:rPr>
                <w:rFonts w:ascii="Arial (W1)" w:hAnsi="Arial (W1)"/>
                <w:b/>
                <w:bCs/>
                <w:noProof w:val="0"/>
                <w:sz w:val="28"/>
                <w:szCs w:val="28"/>
              </w:rPr>
            </w:pPr>
            <w:sdt>
              <w:sdtPr>
                <w:rPr>
                  <w:rFonts w:hint="cs"/>
                  <w:rtl/>
                </w:rPr>
                <w:alias w:val="1462"/>
                <w:tag w:val="1462"/>
                <w:id w:val="-916241559"/>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998499017"/>
                <w:text w:multiLine="1"/>
              </w:sdtPr>
              <w:sdtEndPr/>
              <w:sdtContent>
                <w:r w:rsidR="00D36A71">
                  <w:rPr>
                    <w:rFonts w:hint="cs"/>
                    <w:b/>
                    <w:bCs/>
                    <w:noProof w:val="0"/>
                    <w:sz w:val="28"/>
                    <w:rtl/>
                  </w:rPr>
                  <w:t>אסמהאן חאלד אברהים</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EB425E" w:rsidRDefault="009B67D3">
            <w:pPr>
              <w:rPr>
                <w:rFonts w:ascii="Arial (W1)" w:hAnsi="Arial (W1)"/>
                <w:b/>
                <w:bCs/>
                <w:noProof w:val="0"/>
                <w:sz w:val="28"/>
                <w:szCs w:val="28"/>
              </w:rPr>
            </w:pPr>
            <w:sdt>
              <w:sdtPr>
                <w:rPr>
                  <w:rFonts w:hint="cs"/>
                  <w:rtl/>
                </w:rPr>
                <w:alias w:val="1184"/>
                <w:tag w:val="1184"/>
                <w:id w:val="-910234160"/>
                <w:text w:multiLine="1"/>
              </w:sdtPr>
              <w:sdtEndPr/>
              <w:sdtContent>
                <w:r w:rsidR="00EB425E">
                  <w:rPr>
                    <w:rFonts w:hint="cs"/>
                    <w:b/>
                    <w:bCs/>
                    <w:noProof w:val="0"/>
                    <w:sz w:val="28"/>
                    <w:rtl/>
                  </w:rPr>
                  <w:t>ה</w:t>
                </w:r>
                <w:r w:rsidR="00D36A71">
                  <w:rPr>
                    <w:rFonts w:hint="cs"/>
                    <w:b/>
                    <w:bCs/>
                    <w:noProof w:val="0"/>
                    <w:sz w:val="28"/>
                    <w:rtl/>
                  </w:rPr>
                  <w:t>נתבע</w:t>
                </w:r>
              </w:sdtContent>
            </w:sdt>
          </w:p>
        </w:tc>
        <w:tc>
          <w:tcPr>
            <w:tcW w:w="5571" w:type="dxa"/>
          </w:tcPr>
          <w:p w:rsidR="006816EC" w:rsidRDefault="006816EC">
            <w:pPr>
              <w:rPr>
                <w:rFonts w:ascii="Arial (W1)" w:hAnsi="Arial (W1)"/>
                <w:b/>
                <w:bCs/>
                <w:noProof w:val="0"/>
                <w:sz w:val="28"/>
                <w:szCs w:val="28"/>
                <w:rtl/>
              </w:rPr>
            </w:pPr>
          </w:p>
          <w:p w:rsidR="006816EC" w:rsidRDefault="009B67D3">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חמדי נאבולסי</w:t>
                </w:r>
              </w:sdtContent>
            </w:sdt>
            <w:r w:rsidR="00EB425E">
              <w:rPr>
                <w:rFonts w:hint="cs"/>
                <w:rtl/>
              </w:rPr>
              <w:t xml:space="preserve"> ת.ז. 080220130</w:t>
            </w:r>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EB425E" w:rsidRDefault="00EB425E">
            <w:pPr>
              <w:bidi w:val="0"/>
              <w:jc w:val="center"/>
              <w:rPr>
                <w:rFonts w:ascii="Arial" w:hAnsi="Arial"/>
                <w:b/>
                <w:bCs/>
                <w:noProof w:val="0"/>
                <w:sz w:val="28"/>
                <w:szCs w:val="28"/>
                <w:u w:val="single"/>
              </w:rPr>
            </w:pPr>
          </w:p>
          <w:p w:rsidR="00694556" w:rsidP="00EB425E"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EB425E" w:rsidP="00EB425E" w:rsidRDefault="00EB425E">
      <w:pPr>
        <w:pStyle w:val="ad"/>
        <w:numPr>
          <w:ilvl w:val="0"/>
          <w:numId w:val="1"/>
        </w:numPr>
        <w:jc w:val="both"/>
        <w:rPr>
          <w:rFonts w:cs="David"/>
          <w:sz w:val="24"/>
          <w:szCs w:val="24"/>
        </w:rPr>
      </w:pPr>
      <w:r>
        <w:rPr>
          <w:rFonts w:hint="cs" w:cs="David"/>
          <w:sz w:val="24"/>
          <w:szCs w:val="24"/>
          <w:rtl/>
        </w:rPr>
        <w:t xml:space="preserve">פסק דין זה ניתן על יסוד כלל הסכמות הצדדים ובכלל זה לפסיקה על דרך הפשרה (ע'  2, ש' 22-17, ע' 3, ש' 23 – ע' 4 ש' 4, הודעת הצדדים מיום 24.1.18 וכן ע' 5, ש' 10-8, ע' 7, ש' 7-1, ש' 22). כלל הסכמות הצדדים מהוות חלק מפסק דין זה. </w:t>
      </w:r>
    </w:p>
    <w:p w:rsidR="00EB425E" w:rsidP="00EB425E" w:rsidRDefault="00EB425E">
      <w:pPr>
        <w:pStyle w:val="ad"/>
        <w:jc w:val="both"/>
        <w:rPr>
          <w:rFonts w:cs="David"/>
          <w:sz w:val="24"/>
          <w:szCs w:val="24"/>
        </w:rPr>
      </w:pPr>
    </w:p>
    <w:p w:rsidR="00EB425E" w:rsidP="00EB425E" w:rsidRDefault="00EB425E">
      <w:pPr>
        <w:pStyle w:val="ad"/>
        <w:numPr>
          <w:ilvl w:val="0"/>
          <w:numId w:val="1"/>
        </w:numPr>
        <w:jc w:val="both"/>
        <w:rPr>
          <w:rFonts w:cs="David"/>
          <w:sz w:val="24"/>
          <w:szCs w:val="24"/>
        </w:rPr>
      </w:pPr>
      <w:r>
        <w:rPr>
          <w:rFonts w:hint="cs" w:cs="David"/>
          <w:sz w:val="24"/>
          <w:szCs w:val="24"/>
          <w:rtl/>
        </w:rPr>
        <w:t xml:space="preserve">בהתאם להסכמת הצדדים הוסמך בית המשפט לפסוק בכל הנוגע לחובות העבר על דרך הפשרה. שבתי ועיינתי בכלל המסמכים שבתיק בית המשפט. בכלל זה עיינתי בכתבי הטענות על נספחיהם. עיינתי בכתבי בי הדין שהוגשו לאחר מכן. בחנתי את הדו"ח שהגיש הנתבע, ובכלל זה בפירוט ההוצאות שהוציא לפי טענתו על כלל האסמכתאות שצירף. נתתי דעתי לדברים שאמרו התובעת 1 והנתבע בישיבת קדם המשפט. בהתאם למוסכם השלימו הצדדים את טענותיהם ביחס לחובות העבר בדיון אתמול. שקלתי את כלל טענות הצדדים. בחנתי את הטענות ביחס לסך ההכנסות הכולל במועדים הרלבנטיים – הן בקשר עם חלקי הנכס המשמשים את הנתבע הן בקשר לחלקים המושכרים לאחרים, ותוך אבחנה בין התקופות השונות. הבאתי בחשבון את הטענות שהעלו התובעות ביחס לרכיבי הוצאה שונים. בכלל זה בחנתי את הטענות לפיהן אין מקום לחייבן בחלק היחסי של הוצאות הדירה ששימשה למגורי האם המנוחה בתקופה שלאחר פטירתה, בין היתר משום שנמנע מהן השימוש בדירה. שקלתי את טענות הנגד של הנתבע בהקשר זה, ובכלל זה נוכח עמדתן הנטענת של יתר היורשות. שקלתי את הטענות הפרטניות שהעלו התובעות ביחס להוצאות שונות, לרבות טענות להעדר אסמכתאות לתשלום חלק מהנטען, לזקיפה בכפל, לאי התאמה בין הנטען לאסמכתאות וכלל יתר הטענות. עיינתי בהקשר זה במסמך הטיעון המפורט שהוגש (ת/1) ובחנתי כל טענה וטענה אל מול הדו"ח שהגיש הנתבע ומה שצורף לו. שקלתי ביחס לכל הוצאה והוצאה את שטענו הצדדים, את התשתית שהונחה להוכחת ההוצאה הנטענת ואת סבירות הנטען. הבאתי בחשבון את טענות התובעות ביחס לשכר הטרחה לו טען הנתבע. שקלתי את שהוצג ואת שלא הוצג בהקשר זה. נתתי דעתי לטענה כי חלק הארי של דמי השכירות הגיעו מאת הנתבע עצמו ואת השלכות הדבר על שכר הטרחה המגיע ככל שזה מחושב כשיעור מהגבייה. שקלתי את הטענות לגבי הסביר והצודק בנסיבות העניין. הבאתי בחשבון את הטענות ביחס לריבית המגיעה לפי הטענה בנסיבות העניין. נתתי דעתי להוצאות הנוספות להן טען הנתבע בדיון ולאסמכתאות שהציג (נ/1). הבאתי בחשבון את הסכומים ששולמו אגב הגישור (למשל, ע' 7, ש' 19)  ובתחילת הדרך (ס' 2 לת/1). שקלתי את כלל טענות הצדדים ובאי כוחם. נתתי דעתי </w:t>
      </w:r>
      <w:r>
        <w:rPr>
          <w:rFonts w:hint="cs" w:cs="David"/>
          <w:sz w:val="24"/>
          <w:szCs w:val="24"/>
          <w:rtl/>
        </w:rPr>
        <w:lastRenderedPageBreak/>
        <w:t>גם לבקשת התובעות שהוגשה לאחר הדיון ולתשובת הנתבע בהקשר זה. בנסיבות העניין מהטעמים שהעלו התובעות לא מצאתי מניעה להורות על ביצוע התשלום לתובעות באמצעות בא כוחן.  משתשלום כאמור ייעשה מכוח הוראת פסק דין זה אף אין יסוד לחשש שהעלה הנתבע בתגובתו.</w:t>
      </w:r>
    </w:p>
    <w:p w:rsidR="00EB425E" w:rsidP="00EB425E" w:rsidRDefault="00EB425E">
      <w:pPr>
        <w:pStyle w:val="ad"/>
        <w:jc w:val="both"/>
        <w:rPr>
          <w:rFonts w:cs="David"/>
          <w:sz w:val="24"/>
          <w:szCs w:val="24"/>
        </w:rPr>
      </w:pPr>
    </w:p>
    <w:p w:rsidR="00EB425E" w:rsidP="00FA106A" w:rsidRDefault="00EB425E">
      <w:pPr>
        <w:pStyle w:val="ad"/>
        <w:jc w:val="both"/>
        <w:rPr>
          <w:rFonts w:cs="David"/>
          <w:sz w:val="24"/>
          <w:szCs w:val="24"/>
        </w:rPr>
      </w:pPr>
      <w:r>
        <w:rPr>
          <w:rFonts w:hint="cs" w:cs="David"/>
          <w:sz w:val="24"/>
          <w:szCs w:val="24"/>
          <w:rtl/>
        </w:rPr>
        <w:t>על יסוד התמונה הכוללת שהובאה לפני בית המשפט אני קובע שעל הנתבע לשלם לתובעות על חשבון חוב העבר (היינו עבור התקופה שעד ליום 30.9.17) סך כולל של 1</w:t>
      </w:r>
      <w:r w:rsidR="00FA106A">
        <w:rPr>
          <w:rFonts w:hint="cs" w:cs="David"/>
          <w:sz w:val="24"/>
          <w:szCs w:val="24"/>
          <w:rtl/>
        </w:rPr>
        <w:t>30</w:t>
      </w:r>
      <w:r>
        <w:rPr>
          <w:rFonts w:hint="cs" w:cs="David"/>
          <w:sz w:val="24"/>
          <w:szCs w:val="24"/>
          <w:rtl/>
        </w:rPr>
        <w:t xml:space="preserve">,000 ₪.  </w:t>
      </w:r>
    </w:p>
    <w:p w:rsidR="00EB425E" w:rsidP="00EB425E" w:rsidRDefault="00EB425E">
      <w:pPr>
        <w:pStyle w:val="ad"/>
        <w:jc w:val="both"/>
        <w:rPr>
          <w:rFonts w:cs="David"/>
          <w:sz w:val="24"/>
          <w:szCs w:val="24"/>
        </w:rPr>
      </w:pPr>
      <w:r>
        <w:rPr>
          <w:rFonts w:hint="cs" w:cs="David"/>
          <w:sz w:val="24"/>
          <w:szCs w:val="24"/>
          <w:rtl/>
        </w:rPr>
        <w:t xml:space="preserve"> </w:t>
      </w:r>
    </w:p>
    <w:p w:rsidR="00EB425E" w:rsidP="00FA106A" w:rsidRDefault="00EB425E">
      <w:pPr>
        <w:pStyle w:val="ad"/>
        <w:numPr>
          <w:ilvl w:val="0"/>
          <w:numId w:val="1"/>
        </w:numPr>
        <w:jc w:val="both"/>
        <w:rPr>
          <w:rFonts w:cs="David"/>
          <w:sz w:val="24"/>
          <w:szCs w:val="24"/>
        </w:rPr>
      </w:pPr>
      <w:r>
        <w:rPr>
          <w:rFonts w:hint="cs" w:cs="David"/>
          <w:sz w:val="24"/>
          <w:szCs w:val="24"/>
          <w:rtl/>
        </w:rPr>
        <w:t>נוכח האמור לעיל, ועל יסוד</w:t>
      </w:r>
      <w:r w:rsidR="00FA106A">
        <w:rPr>
          <w:rFonts w:hint="cs" w:cs="David"/>
          <w:sz w:val="24"/>
          <w:szCs w:val="24"/>
          <w:rtl/>
        </w:rPr>
        <w:t xml:space="preserve"> כלל הסכמות הצדדים, אני מורה כדלקמן</w:t>
      </w:r>
      <w:bookmarkStart w:name="_GoBack" w:id="0"/>
      <w:bookmarkEnd w:id="0"/>
      <w:r>
        <w:rPr>
          <w:rFonts w:hint="cs" w:cs="David"/>
          <w:sz w:val="24"/>
          <w:szCs w:val="24"/>
          <w:rtl/>
        </w:rPr>
        <w:t>:</w:t>
      </w:r>
    </w:p>
    <w:p w:rsidR="00EB425E" w:rsidP="00EB425E" w:rsidRDefault="00EB425E">
      <w:pPr>
        <w:pStyle w:val="ad"/>
        <w:jc w:val="both"/>
        <w:rPr>
          <w:rFonts w:cs="David"/>
          <w:sz w:val="24"/>
          <w:szCs w:val="24"/>
        </w:rPr>
      </w:pPr>
    </w:p>
    <w:p w:rsidR="00EB425E" w:rsidP="00FA106A" w:rsidRDefault="00EB425E">
      <w:pPr>
        <w:pStyle w:val="ad"/>
        <w:numPr>
          <w:ilvl w:val="0"/>
          <w:numId w:val="2"/>
        </w:numPr>
        <w:jc w:val="both"/>
        <w:rPr>
          <w:rFonts w:hint="cs" w:cs="David"/>
          <w:sz w:val="24"/>
          <w:szCs w:val="24"/>
          <w:rtl/>
        </w:rPr>
      </w:pPr>
      <w:r>
        <w:rPr>
          <w:rFonts w:hint="cs" w:cs="David"/>
          <w:sz w:val="24"/>
          <w:szCs w:val="24"/>
          <w:u w:val="single"/>
          <w:rtl/>
        </w:rPr>
        <w:t>חוב העבר</w:t>
      </w:r>
      <w:r>
        <w:rPr>
          <w:rFonts w:hint="cs" w:cs="David"/>
          <w:sz w:val="24"/>
          <w:szCs w:val="24"/>
          <w:rtl/>
        </w:rPr>
        <w:t xml:space="preserve"> – על הנתבע לשלם לתובעות סך כולל של 1</w:t>
      </w:r>
      <w:r w:rsidR="00FA106A">
        <w:rPr>
          <w:rFonts w:hint="cs" w:cs="David"/>
          <w:sz w:val="24"/>
          <w:szCs w:val="24"/>
          <w:rtl/>
        </w:rPr>
        <w:t>30</w:t>
      </w:r>
      <w:r>
        <w:rPr>
          <w:rFonts w:hint="cs" w:cs="David"/>
          <w:sz w:val="24"/>
          <w:szCs w:val="24"/>
          <w:rtl/>
        </w:rPr>
        <w:t>,000 ₪. הסך האמור ישולם ב-</w:t>
      </w:r>
      <w:r w:rsidR="00FA106A">
        <w:rPr>
          <w:rFonts w:hint="cs" w:cs="David"/>
          <w:sz w:val="24"/>
          <w:szCs w:val="24"/>
          <w:rtl/>
        </w:rPr>
        <w:t xml:space="preserve"> 13</w:t>
      </w:r>
      <w:r>
        <w:rPr>
          <w:rFonts w:hint="cs" w:cs="David"/>
          <w:sz w:val="24"/>
          <w:szCs w:val="24"/>
          <w:rtl/>
        </w:rPr>
        <w:t xml:space="preserve"> תשלומים חודשיים שווים כך שהתשלום הראשון ישולם ביום 1.7.18 ויתרת התשלומים ישולמו ביום האחד לכל חודש שלאחר מכן. הנתבע ישלם את הסך האמור לתובעות באמצעות בא כוחן.</w:t>
      </w:r>
    </w:p>
    <w:p w:rsidR="00EB425E" w:rsidP="00EB425E" w:rsidRDefault="00EB425E">
      <w:pPr>
        <w:pStyle w:val="ad"/>
        <w:ind w:left="1440"/>
        <w:jc w:val="both"/>
        <w:rPr>
          <w:rFonts w:cs="David"/>
          <w:sz w:val="24"/>
          <w:szCs w:val="24"/>
        </w:rPr>
      </w:pPr>
    </w:p>
    <w:p w:rsidR="00EB425E" w:rsidP="00EB425E" w:rsidRDefault="00EB425E">
      <w:pPr>
        <w:pStyle w:val="ad"/>
        <w:numPr>
          <w:ilvl w:val="0"/>
          <w:numId w:val="2"/>
        </w:numPr>
        <w:jc w:val="both"/>
        <w:rPr>
          <w:rFonts w:cs="David"/>
          <w:sz w:val="24"/>
          <w:szCs w:val="24"/>
        </w:rPr>
      </w:pPr>
      <w:r>
        <w:rPr>
          <w:rFonts w:hint="cs" w:cs="David"/>
          <w:sz w:val="24"/>
          <w:szCs w:val="24"/>
          <w:u w:val="single"/>
          <w:rtl/>
        </w:rPr>
        <w:t>אשר לחלק דמי השכירות לתקופה שבין 1.10.17 ועד 31.5.18 בגין החנויות המשמשות את הנתבע</w:t>
      </w:r>
      <w:r>
        <w:rPr>
          <w:rFonts w:hint="cs" w:cs="David"/>
          <w:sz w:val="24"/>
          <w:szCs w:val="24"/>
          <w:rtl/>
        </w:rPr>
        <w:t xml:space="preserve"> - הצדדים הסכימו כי הנתבע ישלם את המגיע ממנו לתקופה האמורה לתובעות או למי מטעמן (ע' 2, ש' 22-19). בהתאם מסר הנתבע המחאות לפקודת התובעות או מי מהן (ראו ס' 2 להחלטה מיום 21.11.17). נוכח הודעת התובעות לאחר הדיון אתמול, ולאחר שנתתי דעתי גם לתשובת הנתבע, אני מורה כי עד ליום 10.5.18 ימסור הנתבע המחאות חלופיות לפקודת בא כוח התובעות, בכפוף לכך שההמחאות שנתן לכתחילה יוחזרו לידיו. </w:t>
      </w:r>
    </w:p>
    <w:p w:rsidR="00EB425E" w:rsidP="00EB425E" w:rsidRDefault="00EB425E">
      <w:pPr>
        <w:pStyle w:val="ad"/>
        <w:ind w:left="1440"/>
        <w:jc w:val="both"/>
        <w:rPr>
          <w:rFonts w:cs="David"/>
          <w:sz w:val="24"/>
          <w:szCs w:val="24"/>
        </w:rPr>
      </w:pPr>
    </w:p>
    <w:p w:rsidR="00EB425E" w:rsidP="00EB425E" w:rsidRDefault="00EB425E">
      <w:pPr>
        <w:pStyle w:val="ad"/>
        <w:numPr>
          <w:ilvl w:val="0"/>
          <w:numId w:val="2"/>
        </w:numPr>
        <w:jc w:val="both"/>
        <w:rPr>
          <w:rFonts w:cs="David"/>
          <w:sz w:val="24"/>
          <w:szCs w:val="24"/>
        </w:rPr>
      </w:pPr>
      <w:r>
        <w:rPr>
          <w:rFonts w:hint="cs" w:cs="David"/>
          <w:sz w:val="24"/>
          <w:szCs w:val="24"/>
          <w:u w:val="single"/>
          <w:rtl/>
        </w:rPr>
        <w:t>אשר לחלק דמי השכירות לתקופה שהחל מיום 1.6.18 ואילך בגין החנויות המשמשות את הנתבע</w:t>
      </w:r>
      <w:r>
        <w:rPr>
          <w:rFonts w:hint="cs" w:cs="David"/>
          <w:sz w:val="24"/>
          <w:szCs w:val="24"/>
          <w:rtl/>
        </w:rPr>
        <w:t xml:space="preserve"> – בהתאם להסכמת הצדדים (ע' 3, ש' 32-25, הודעת הצדדים מיום 24.1.18, וכן ע' 7, ש' 7-5 שם הודיע הנתבע על כוונתו להמשיך ולשכור את החנויות המשמשות אותו) על הנתבע לשלם לתובעות סך בשקלים חדשים השווה ל- 11,200 דולר לשנה עבור החנויות בהן הוא משתמש.  </w:t>
      </w:r>
    </w:p>
    <w:p w:rsidR="00EB425E" w:rsidP="00EB425E" w:rsidRDefault="00EB425E">
      <w:pPr>
        <w:pStyle w:val="ad"/>
        <w:ind w:left="1440"/>
        <w:jc w:val="both"/>
        <w:rPr>
          <w:rFonts w:cs="David"/>
          <w:sz w:val="24"/>
          <w:szCs w:val="24"/>
        </w:rPr>
      </w:pPr>
    </w:p>
    <w:p w:rsidR="00EB425E" w:rsidP="00EB425E" w:rsidRDefault="00EB425E">
      <w:pPr>
        <w:pStyle w:val="ad"/>
        <w:numPr>
          <w:ilvl w:val="0"/>
          <w:numId w:val="2"/>
        </w:numPr>
        <w:jc w:val="both"/>
        <w:rPr>
          <w:rFonts w:cs="David"/>
          <w:sz w:val="24"/>
          <w:szCs w:val="24"/>
        </w:rPr>
      </w:pPr>
      <w:r>
        <w:rPr>
          <w:rFonts w:hint="cs" w:cs="David"/>
          <w:sz w:val="24"/>
          <w:szCs w:val="24"/>
          <w:u w:val="single"/>
          <w:rtl/>
        </w:rPr>
        <w:t>אשר לחלקי הנכס המושכרים לצדדים שלישיים</w:t>
      </w:r>
      <w:r>
        <w:rPr>
          <w:rFonts w:hint="cs" w:cs="David"/>
          <w:sz w:val="24"/>
          <w:szCs w:val="24"/>
          <w:rtl/>
        </w:rPr>
        <w:t xml:space="preserve"> – ניתן צו האוסר על הנתבע לגבות מן השוכרים את חלקן של התובעות בדמי השכירות המשתלמים בקשר עם חלקי הנכס המושכרים לצדדים שלישיים (ע' 7, ש' 3-1, ע' 2, ש' 19-17). התובעות רשאיות להציג את פסק הדין לשוכרים.</w:t>
      </w:r>
    </w:p>
    <w:p w:rsidR="00EB425E" w:rsidP="00EB425E" w:rsidRDefault="00EB425E">
      <w:pPr>
        <w:pStyle w:val="ad"/>
        <w:ind w:left="1440"/>
        <w:jc w:val="both"/>
        <w:rPr>
          <w:rFonts w:cs="David"/>
          <w:sz w:val="24"/>
          <w:szCs w:val="24"/>
        </w:rPr>
      </w:pPr>
    </w:p>
    <w:p w:rsidR="00EB425E" w:rsidP="00EB425E" w:rsidRDefault="00EB425E">
      <w:pPr>
        <w:pStyle w:val="ad"/>
        <w:numPr>
          <w:ilvl w:val="0"/>
          <w:numId w:val="2"/>
        </w:numPr>
        <w:jc w:val="both"/>
        <w:rPr>
          <w:rFonts w:cs="David"/>
          <w:sz w:val="24"/>
          <w:szCs w:val="24"/>
        </w:rPr>
      </w:pPr>
      <w:r>
        <w:rPr>
          <w:rFonts w:hint="cs" w:cs="David"/>
          <w:sz w:val="24"/>
          <w:szCs w:val="24"/>
          <w:rtl/>
        </w:rPr>
        <w:t xml:space="preserve">על הנתבע לשאת בהוצאות התובעות ובשכר טרחת עורך דינם בסך כולל של 10,000 ₪. בהקשר זה הבאתי בחשבון את תוצאת ההליכים, את היקף העבודה שנדרשה בגדרם כמו גם את האופן והשלב שבו הסתיימו, ובשים לב גם להסכמות הדיוניות שנעשו ולחסכון המשאבים שהביאו. </w:t>
      </w:r>
    </w:p>
    <w:p w:rsidR="00EB425E" w:rsidP="00EB425E" w:rsidRDefault="00EB425E">
      <w:pPr>
        <w:pStyle w:val="ad"/>
        <w:jc w:val="both"/>
        <w:rPr>
          <w:rFonts w:hint="cs" w:cs="David"/>
          <w:sz w:val="24"/>
          <w:szCs w:val="24"/>
          <w:rtl/>
        </w:rPr>
      </w:pPr>
    </w:p>
    <w:p w:rsidR="00EB425E" w:rsidP="00EB425E" w:rsidRDefault="00EB425E">
      <w:pPr>
        <w:pStyle w:val="ad"/>
        <w:numPr>
          <w:ilvl w:val="0"/>
          <w:numId w:val="1"/>
        </w:numPr>
        <w:jc w:val="both"/>
        <w:rPr>
          <w:rFonts w:cs="David"/>
          <w:sz w:val="24"/>
          <w:szCs w:val="24"/>
        </w:rPr>
      </w:pPr>
      <w:r>
        <w:rPr>
          <w:rFonts w:hint="cs" w:cs="David"/>
          <w:sz w:val="24"/>
          <w:szCs w:val="24"/>
          <w:rtl/>
        </w:rPr>
        <w:t>החזר אגרה לתובעות – בהתאם לתקנות ובשים לב לכך שההליכים הסתיימו על דרך הפשרה קודם לישיבת קדם משפט שלישית.</w:t>
      </w:r>
    </w:p>
    <w:p w:rsidR="00EB425E" w:rsidP="00EB425E" w:rsidRDefault="00EB425E">
      <w:pPr>
        <w:pStyle w:val="ad"/>
        <w:jc w:val="both"/>
        <w:rPr>
          <w:rFonts w:cs="David"/>
          <w:sz w:val="24"/>
          <w:szCs w:val="24"/>
        </w:rPr>
      </w:pPr>
    </w:p>
    <w:p w:rsidR="00EB425E" w:rsidP="00EB425E" w:rsidRDefault="00EB425E">
      <w:pPr>
        <w:pStyle w:val="ad"/>
        <w:numPr>
          <w:ilvl w:val="0"/>
          <w:numId w:val="1"/>
        </w:numPr>
        <w:jc w:val="both"/>
        <w:rPr>
          <w:rFonts w:cs="David"/>
          <w:sz w:val="24"/>
          <w:szCs w:val="24"/>
        </w:rPr>
      </w:pPr>
      <w:r>
        <w:rPr>
          <w:rFonts w:hint="cs" w:cs="David"/>
          <w:b/>
          <w:bCs/>
          <w:sz w:val="24"/>
          <w:szCs w:val="24"/>
          <w:u w:val="single"/>
          <w:rtl/>
        </w:rPr>
        <w:t>המזכירות תמציא את פסק הדין לצדדים</w:t>
      </w:r>
      <w:r>
        <w:rPr>
          <w:rFonts w:hint="cs" w:cs="David"/>
          <w:sz w:val="24"/>
          <w:szCs w:val="24"/>
          <w:rtl/>
        </w:rPr>
        <w:t>.</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B67D3">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52575"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599615869784ce7" cstate="print">
                            <a:extLst>
                              <a:ext uri="{28A0092B-C50C-407E-A947-70E740481C1C}"/>
                            </a:extLst>
                          </a:blip>
                          <a:stretch>
                            <a:fillRect/>
                          </a:stretch>
                        </pic:blipFill>
                        <pic:spPr>
                          <a:xfrm>
                            <a:off x="0" y="0"/>
                            <a:ext cx="1552575" cy="15621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B67D3">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B67D3">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B425E">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2A5DD626" wp14:editId="6CED37A9">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9B67D3">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9852-06-16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אבו זהריה ואח' נ' נאבולסי</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7D89"/>
    <w:multiLevelType w:val="hybridMultilevel"/>
    <w:tmpl w:val="8506C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3A0D4A"/>
    <w:multiLevelType w:val="hybridMultilevel"/>
    <w:tmpl w:val="079E895E"/>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861CB"/>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B67D3"/>
    <w:rsid w:val="009E0263"/>
    <w:rsid w:val="00A267CF"/>
    <w:rsid w:val="00A43458"/>
    <w:rsid w:val="00AC4E19"/>
    <w:rsid w:val="00AD5F7E"/>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B425E"/>
    <w:rsid w:val="00EF3ED0"/>
    <w:rsid w:val="00F17E56"/>
    <w:rsid w:val="00FA10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83D2D20"/>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EB425E"/>
    <w:pPr>
      <w:spacing w:after="200" w:line="27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560402">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599615869784ce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00763A"/>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731</Words>
  <Characters>3660</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דוד גדעוני</cp:lastModifiedBy>
  <cp:revision>40</cp:revision>
  <dcterms:created xsi:type="dcterms:W3CDTF">2012-08-05T21:29:00Z</dcterms:created>
  <dcterms:modified xsi:type="dcterms:W3CDTF">2018-04-11T14:39:00Z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