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  <w:bookmarkStart w:name="_GoBack" w:id="0"/>
      <w:bookmarkEnd w:id="0"/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3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 w:rsidR="000529D2"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 w:rsidR="000529D2">
                  <w:rPr>
                    <w:rFonts w:ascii="Arial" w:hAnsi="Arial"/>
                    <w:b/>
                    <w:bCs/>
                    <w:rtl/>
                  </w:rPr>
                  <w:t>אבישי קאופמן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804EFE" w:rsidRDefault="00562F00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562F00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מתן בלחסן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562F00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="0094424E" w:rsidP="00D44968" w:rsidRDefault="00562F00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4"/>
          </w:tcPr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4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P="00373DD1" w:rsidRDefault="00373DD1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  <w:r>
        <w:rPr>
          <w:rFonts w:hint="cs" w:ascii="Arial" w:hAnsi="Arial"/>
          <w:noProof w:val="0"/>
          <w:rtl/>
        </w:rPr>
        <w:t xml:space="preserve">בתיק זה הודיעו הצדדים על הסדר בכתב בדבר צירוף כמה עבירות לכתב אישום אחד. ההודעה שהוגשה נסרקה באורח חלקי, כך שעמוד שלוש להודעה לא הגיע לעיוני. </w:t>
      </w:r>
    </w:p>
    <w:p w:rsidR="00373DD1" w:rsidP="00373DD1" w:rsidRDefault="00373DD1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373DD1" w:rsidP="00373DD1" w:rsidRDefault="00373DD1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בנסיבות אלה, אכן סברתי בטעות כי האישום שבתיק 7523-11-18 לא כלול בהסדר ובמעמד הדיון הסכימו הצדדים על תוספת לקנס שהושת על הנאשם. </w:t>
      </w:r>
    </w:p>
    <w:p w:rsidR="00373DD1" w:rsidP="00373DD1" w:rsidRDefault="00373DD1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373DD1" w:rsidP="00373DD1" w:rsidRDefault="00373DD1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מאחר וכעת מתברר כי העבירה הנ"ל כבר הובאה בחשבון בהסדר המקורי, מן הראוי להשיב את ההסדר על כנו כפי שנרשם בין הצדדים בחודש ינואר ולהפחית את הקנס ל </w:t>
      </w:r>
      <w:r>
        <w:rPr>
          <w:rFonts w:ascii="Arial" w:hAnsi="Arial"/>
          <w:noProof w:val="0"/>
          <w:rtl/>
        </w:rPr>
        <w:t>–</w:t>
      </w:r>
      <w:r>
        <w:rPr>
          <w:rFonts w:hint="cs" w:ascii="Arial" w:hAnsi="Arial"/>
          <w:noProof w:val="0"/>
          <w:rtl/>
        </w:rPr>
        <w:t xml:space="preserve"> 10,000 ₪ בלבד. </w:t>
      </w:r>
    </w:p>
    <w:p w:rsidR="00373DD1" w:rsidP="00373DD1" w:rsidRDefault="00373DD1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373DD1" w:rsidP="00373DD1" w:rsidRDefault="00373DD1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אם חולקת המאשימה על האמור לעיל, תנמק עמדתה בתוך עשרה ימים. </w:t>
      </w:r>
    </w:p>
    <w:p w:rsidR="00373DD1" w:rsidP="00373DD1" w:rsidRDefault="00373DD1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373DD1" w:rsidP="00373DD1" w:rsidRDefault="00373DD1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בשלב זה נקבע התיק למעקב ליום 27.4.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373DD1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.</w:t>
      </w:r>
    </w:p>
    <w:p w:rsidR="00C43648" w:rsidP="00BD6531" w:rsidRDefault="00562F00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57300" cy="1447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1fe06330ea24e4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DD1" w:rsidRDefault="00373DD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562F00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562F00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DD1" w:rsidRDefault="00373DD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DD1" w:rsidRDefault="00373DD1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73DD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לתעבורה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562F00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תת"ע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3861-07-17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בלחסן מתן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90508601482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DD1" w:rsidRDefault="00373DD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73DD1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2F00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04EFE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24EB88E3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31fe06330ea24e4d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957C28" w:rsidP="00957C28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57C28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7C28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957C2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120</Words>
  <Characters>605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אבישי קאופמן</cp:lastModifiedBy>
  <cp:revision>116</cp:revision>
  <dcterms:created xsi:type="dcterms:W3CDTF">2012-08-06T05:16:00Z</dcterms:created>
  <dcterms:modified xsi:type="dcterms:W3CDTF">2018-04-12T08:34:00Z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