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7"/>
        <w:gridCol w:w="55"/>
      </w:tblGrid>
      <w:tr w:rsidR="0054306A" w:rsidTr="0054306A">
        <w:trPr>
          <w:gridBefore w:val="1"/>
          <w:gridAfter w:val="1"/>
          <w:wBefore w:w="28" w:type="dxa"/>
          <w:wAfter w:w="55" w:type="dxa"/>
        </w:trPr>
        <w:tc>
          <w:tcPr>
            <w:tcW w:w="8719" w:type="dxa"/>
            <w:gridSpan w:val="2"/>
          </w:tcPr>
          <w:p w:rsidR="0054306A" w:rsidRDefault="00044759">
            <w:pPr>
              <w:spacing w:line="360" w:lineRule="auto"/>
              <w:jc w:val="both"/>
              <w:rPr>
                <w:b/>
                <w:bCs/>
                <w:sz w:val="26"/>
                <w:szCs w:val="26"/>
                <w:rtl/>
              </w:rPr>
            </w:pPr>
            <w:r>
              <w:rPr>
                <w:rFonts w:hint="cs"/>
                <w:b/>
                <w:bCs/>
                <w:sz w:val="26"/>
                <w:szCs w:val="26"/>
                <w:rtl/>
              </w:rPr>
              <w:t>בפני כב' הרשם הבכיר יעקב סולומון</w:t>
            </w:r>
          </w:p>
          <w:p w:rsidR="0054306A" w:rsidRDefault="00044759">
            <w:pPr>
              <w:spacing w:line="360" w:lineRule="auto"/>
              <w:jc w:val="both"/>
              <w:rPr>
                <w:b/>
                <w:bCs/>
                <w:sz w:val="16"/>
                <w:szCs w:val="16"/>
                <w:rtl/>
              </w:rPr>
            </w:pPr>
          </w:p>
        </w:tc>
      </w:tr>
      <w:tr w:rsidR="0054306A" w:rsidTr="0054306A">
        <w:tc>
          <w:tcPr>
            <w:tcW w:w="2880" w:type="dxa"/>
            <w:gridSpan w:val="2"/>
            <w:hideMark/>
          </w:tcPr>
          <w:p w:rsidR="0054306A" w:rsidRDefault="00044759">
            <w:pPr>
              <w:ind w:left="26"/>
              <w:rPr>
                <w:b/>
                <w:bCs/>
                <w:sz w:val="26"/>
                <w:szCs w:val="26"/>
                <w:rtl/>
              </w:rPr>
            </w:pPr>
            <w:r>
              <w:rPr>
                <w:rFonts w:hint="cs"/>
                <w:b/>
                <w:bCs/>
                <w:sz w:val="26"/>
                <w:szCs w:val="26"/>
                <w:u w:val="single"/>
                <w:rtl/>
              </w:rPr>
              <w:t>ה</w:t>
            </w:r>
            <w:sdt>
              <w:sdtPr>
                <w:rPr>
                  <w:u w:val="single"/>
                  <w:rtl/>
                </w:rPr>
                <w:alias w:val="1264"/>
                <w:tag w:val="1264"/>
                <w:id w:val="899878207"/>
                <w:text w:multiLine="1"/>
              </w:sdtPr>
              <w:sdtEndPr/>
              <w:sdtContent>
                <w:r>
                  <w:rPr>
                    <w:rFonts w:hint="cs"/>
                    <w:b/>
                    <w:bCs/>
                    <w:sz w:val="26"/>
                    <w:szCs w:val="26"/>
                    <w:u w:val="single"/>
                    <w:rtl/>
                  </w:rPr>
                  <w:t>תובע:</w:t>
                </w:r>
              </w:sdtContent>
            </w:sdt>
          </w:p>
        </w:tc>
        <w:tc>
          <w:tcPr>
            <w:tcW w:w="5922" w:type="dxa"/>
            <w:gridSpan w:val="2"/>
            <w:hideMark/>
          </w:tcPr>
          <w:p w:rsidR="0054306A" w:rsidRDefault="00044759">
            <w:pPr>
              <w:rPr>
                <w:b/>
                <w:bCs/>
                <w:sz w:val="26"/>
                <w:szCs w:val="26"/>
                <w:rtl/>
              </w:rPr>
            </w:pPr>
            <w:r>
              <w:rPr>
                <w:rFonts w:hint="cs"/>
                <w:b/>
                <w:bCs/>
                <w:sz w:val="26"/>
                <w:szCs w:val="26"/>
                <w:rtl/>
              </w:rPr>
              <w:t xml:space="preserve"> </w:t>
            </w:r>
            <w:sdt>
              <w:sdtPr>
                <w:rPr>
                  <w:rtl/>
                </w:rPr>
                <w:alias w:val="825"/>
                <w:tag w:val="825"/>
                <w:id w:val="2003779496"/>
                <w:text w:multiLine="1"/>
              </w:sdtPr>
              <w:sdtEndPr/>
              <w:sdtContent>
                <w:r>
                  <w:rPr>
                    <w:rFonts w:hint="cs"/>
                    <w:b/>
                    <w:bCs/>
                    <w:sz w:val="26"/>
                    <w:szCs w:val="26"/>
                    <w:rtl/>
                  </w:rPr>
                  <w:t>אליהו דהן</w:t>
                </w:r>
              </w:sdtContent>
            </w:sdt>
          </w:p>
        </w:tc>
      </w:tr>
      <w:tr w:rsidR="0054306A" w:rsidTr="0054306A">
        <w:tc>
          <w:tcPr>
            <w:tcW w:w="8802" w:type="dxa"/>
            <w:gridSpan w:val="4"/>
          </w:tcPr>
          <w:p w:rsidR="0054306A" w:rsidRDefault="00044759">
            <w:pPr>
              <w:jc w:val="both"/>
              <w:rPr>
                <w:rFonts w:ascii="Arial" w:hAnsi="Arial"/>
                <w:b/>
                <w:bCs/>
                <w:sz w:val="26"/>
                <w:szCs w:val="26"/>
                <w:rtl/>
              </w:rPr>
            </w:pPr>
          </w:p>
          <w:p w:rsidR="0054306A" w:rsidRDefault="00044759">
            <w:pPr>
              <w:jc w:val="center"/>
              <w:rPr>
                <w:rFonts w:ascii="Arial" w:hAnsi="Arial"/>
                <w:b/>
                <w:bCs/>
                <w:sz w:val="26"/>
                <w:szCs w:val="26"/>
                <w:rtl/>
              </w:rPr>
            </w:pPr>
            <w:r>
              <w:rPr>
                <w:rFonts w:hint="cs" w:ascii="Arial" w:hAnsi="Arial"/>
                <w:b/>
                <w:bCs/>
                <w:sz w:val="26"/>
                <w:szCs w:val="26"/>
                <w:rtl/>
              </w:rPr>
              <w:t>נגד</w:t>
            </w:r>
          </w:p>
          <w:p w:rsidR="0054306A" w:rsidRDefault="00044759">
            <w:pPr>
              <w:jc w:val="center"/>
              <w:rPr>
                <w:rFonts w:ascii="Arial" w:hAnsi="Arial"/>
                <w:b/>
                <w:bCs/>
                <w:sz w:val="26"/>
                <w:szCs w:val="26"/>
                <w:rtl/>
              </w:rPr>
            </w:pPr>
          </w:p>
        </w:tc>
      </w:tr>
      <w:tr w:rsidR="0054306A" w:rsidTr="0054306A">
        <w:tc>
          <w:tcPr>
            <w:tcW w:w="2880" w:type="dxa"/>
            <w:gridSpan w:val="2"/>
            <w:hideMark/>
          </w:tcPr>
          <w:p w:rsidR="0054306A" w:rsidRDefault="00044759">
            <w:pPr>
              <w:ind w:left="26"/>
              <w:rPr>
                <w:b/>
                <w:bCs/>
                <w:sz w:val="26"/>
                <w:szCs w:val="26"/>
              </w:rPr>
            </w:pPr>
            <w:r>
              <w:rPr>
                <w:rFonts w:hint="cs"/>
                <w:b/>
                <w:bCs/>
                <w:sz w:val="26"/>
                <w:szCs w:val="26"/>
                <w:u w:val="single"/>
                <w:rtl/>
              </w:rPr>
              <w:t>ה</w:t>
            </w:r>
            <w:sdt>
              <w:sdtPr>
                <w:rPr>
                  <w:u w:val="single"/>
                  <w:rtl/>
                </w:rPr>
                <w:alias w:val="1265"/>
                <w:tag w:val="1265"/>
                <w:id w:val="571076795"/>
                <w:text w:multiLine="1"/>
              </w:sdtPr>
              <w:sdtEndPr/>
              <w:sdtContent>
                <w:r>
                  <w:rPr>
                    <w:rFonts w:hint="cs"/>
                    <w:b/>
                    <w:bCs/>
                    <w:sz w:val="26"/>
                    <w:szCs w:val="26"/>
                    <w:u w:val="single"/>
                    <w:rtl/>
                  </w:rPr>
                  <w:t>נתבעת:</w:t>
                </w:r>
              </w:sdtContent>
            </w:sdt>
          </w:p>
        </w:tc>
        <w:tc>
          <w:tcPr>
            <w:tcW w:w="5922" w:type="dxa"/>
            <w:gridSpan w:val="2"/>
            <w:hideMark/>
          </w:tcPr>
          <w:p w:rsidR="0054306A" w:rsidRDefault="00044759">
            <w:pPr>
              <w:rPr>
                <w:b/>
                <w:bCs/>
                <w:sz w:val="26"/>
                <w:szCs w:val="26"/>
                <w:rtl/>
              </w:rPr>
            </w:pPr>
            <w:sdt>
              <w:sdtPr>
                <w:rPr>
                  <w:rtl/>
                </w:rPr>
                <w:alias w:val="1266"/>
                <w:tag w:val="1266"/>
                <w:id w:val="1413970472"/>
                <w:text w:multiLine="1"/>
              </w:sdtPr>
              <w:sdtEndPr/>
              <w:sdtContent>
                <w:r>
                  <w:rPr>
                    <w:rFonts w:hint="cs"/>
                    <w:b/>
                    <w:bCs/>
                    <w:sz w:val="26"/>
                    <w:szCs w:val="26"/>
                    <w:rtl/>
                  </w:rPr>
                  <w:t>קרן לבטוח נזקי טבע בחקלאות בע"מ</w:t>
                </w:r>
              </w:sdtContent>
            </w:sdt>
          </w:p>
        </w:tc>
      </w:tr>
    </w:tbl>
    <w:p w:rsidR="001434F7" w:rsidRDefault="00044759"/>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E83DFD" w:rsidR="00E83DFD" w:rsidP="00E83DFD" w:rsidRDefault="00E83DFD">
      <w:pPr>
        <w:spacing w:after="160" w:line="360" w:lineRule="auto"/>
        <w:jc w:val="both"/>
        <w:rPr>
          <w:rFonts w:ascii="Arial" w:hAnsi="Arial"/>
          <w:noProof w:val="0"/>
          <w:rtl/>
        </w:rPr>
      </w:pPr>
      <w:r w:rsidRPr="00E83DFD">
        <w:rPr>
          <w:rFonts w:hint="eastAsia" w:asciiTheme="minorHAnsi" w:hAnsiTheme="minorHAnsi"/>
          <w:noProof w:val="0"/>
          <w:rtl/>
        </w:rPr>
        <w:t>לפני</w:t>
      </w:r>
      <w:r w:rsidRPr="00E83DFD">
        <w:rPr>
          <w:rFonts w:asciiTheme="minorHAnsi" w:hAnsiTheme="minorHAnsi"/>
          <w:noProof w:val="0"/>
          <w:rtl/>
        </w:rPr>
        <w:t xml:space="preserve"> </w:t>
      </w:r>
      <w:r w:rsidRPr="00E83DFD">
        <w:rPr>
          <w:rFonts w:hint="eastAsia" w:asciiTheme="minorHAnsi" w:hAnsiTheme="minorHAnsi"/>
          <w:noProof w:val="0"/>
          <w:rtl/>
        </w:rPr>
        <w:t>בקשה</w:t>
      </w:r>
      <w:r w:rsidRPr="00E83DFD">
        <w:rPr>
          <w:rFonts w:asciiTheme="minorHAnsi" w:hAnsiTheme="minorHAnsi"/>
          <w:noProof w:val="0"/>
          <w:rtl/>
        </w:rPr>
        <w:t xml:space="preserve"> </w:t>
      </w:r>
      <w:r w:rsidRPr="00E83DFD">
        <w:rPr>
          <w:rFonts w:hint="eastAsia" w:asciiTheme="minorHAnsi" w:hAnsiTheme="minorHAnsi"/>
          <w:noProof w:val="0"/>
          <w:rtl/>
        </w:rPr>
        <w:t>של</w:t>
      </w:r>
      <w:r w:rsidRPr="00E83DFD">
        <w:rPr>
          <w:rFonts w:asciiTheme="minorHAnsi" w:hAnsiTheme="minorHAnsi"/>
          <w:noProof w:val="0"/>
          <w:rtl/>
        </w:rPr>
        <w:t xml:space="preserve"> </w:t>
      </w:r>
      <w:r w:rsidRPr="00E83DFD">
        <w:rPr>
          <w:rFonts w:hint="eastAsia" w:asciiTheme="minorHAnsi" w:hAnsiTheme="minorHAnsi"/>
          <w:noProof w:val="0"/>
          <w:rtl/>
        </w:rPr>
        <w:t>התובע</w:t>
      </w:r>
      <w:r w:rsidRPr="00E83DFD">
        <w:rPr>
          <w:rFonts w:asciiTheme="minorHAnsi" w:hAnsiTheme="minorHAnsi"/>
          <w:noProof w:val="0"/>
          <w:rtl/>
        </w:rPr>
        <w:t xml:space="preserve">, </w:t>
      </w:r>
      <w:r w:rsidRPr="00E83DFD">
        <w:rPr>
          <w:rFonts w:hint="eastAsia" w:asciiTheme="minorHAnsi" w:hAnsiTheme="minorHAnsi"/>
          <w:noProof w:val="0"/>
          <w:rtl/>
        </w:rPr>
        <w:t>חקלאי</w:t>
      </w:r>
      <w:r w:rsidRPr="00E83DFD">
        <w:rPr>
          <w:rFonts w:asciiTheme="minorHAnsi" w:hAnsiTheme="minorHAnsi"/>
          <w:noProof w:val="0"/>
          <w:rtl/>
        </w:rPr>
        <w:t xml:space="preserve"> </w:t>
      </w:r>
      <w:r w:rsidRPr="00E83DFD">
        <w:rPr>
          <w:rFonts w:hint="eastAsia" w:asciiTheme="minorHAnsi" w:hAnsiTheme="minorHAnsi"/>
          <w:noProof w:val="0"/>
          <w:rtl/>
        </w:rPr>
        <w:t>במקצועו</w:t>
      </w:r>
      <w:r w:rsidRPr="00E83DFD">
        <w:rPr>
          <w:rFonts w:asciiTheme="minorHAnsi" w:hAnsiTheme="minorHAnsi"/>
          <w:noProof w:val="0"/>
          <w:rtl/>
        </w:rPr>
        <w:t xml:space="preserve">, </w:t>
      </w:r>
      <w:r w:rsidRPr="00E83DFD">
        <w:rPr>
          <w:rFonts w:hint="eastAsia" w:asciiTheme="minorHAnsi" w:hAnsiTheme="minorHAnsi"/>
          <w:noProof w:val="0"/>
          <w:rtl/>
        </w:rPr>
        <w:t>למחיקת</w:t>
      </w:r>
      <w:r w:rsidRPr="00E83DFD">
        <w:rPr>
          <w:rFonts w:asciiTheme="minorHAnsi" w:hAnsiTheme="minorHAnsi"/>
          <w:noProof w:val="0"/>
          <w:rtl/>
        </w:rPr>
        <w:t xml:space="preserve"> </w:t>
      </w:r>
      <w:r w:rsidRPr="00E83DFD">
        <w:rPr>
          <w:rFonts w:hint="eastAsia" w:asciiTheme="minorHAnsi" w:hAnsiTheme="minorHAnsi"/>
          <w:noProof w:val="0"/>
          <w:rtl/>
        </w:rPr>
        <w:t>טענות</w:t>
      </w:r>
      <w:r w:rsidRPr="00E83DFD">
        <w:rPr>
          <w:rFonts w:asciiTheme="minorHAnsi" w:hAnsiTheme="minorHAnsi"/>
          <w:noProof w:val="0"/>
          <w:rtl/>
        </w:rPr>
        <w:t xml:space="preserve"> </w:t>
      </w:r>
      <w:r w:rsidRPr="00E83DFD">
        <w:rPr>
          <w:rFonts w:hint="eastAsia" w:asciiTheme="minorHAnsi" w:hAnsiTheme="minorHAnsi"/>
          <w:noProof w:val="0"/>
          <w:rtl/>
        </w:rPr>
        <w:t>של</w:t>
      </w:r>
      <w:r w:rsidRPr="00E83DFD">
        <w:rPr>
          <w:rFonts w:asciiTheme="minorHAnsi" w:hAnsiTheme="minorHAnsi"/>
          <w:noProof w:val="0"/>
          <w:rtl/>
        </w:rPr>
        <w:t xml:space="preserve"> </w:t>
      </w:r>
      <w:r w:rsidRPr="00E83DFD">
        <w:rPr>
          <w:rFonts w:hint="eastAsia" w:asciiTheme="minorHAnsi" w:hAnsiTheme="minorHAnsi"/>
          <w:noProof w:val="0"/>
          <w:rtl/>
        </w:rPr>
        <w:t>הנתבעת</w:t>
      </w:r>
      <w:r w:rsidRPr="00E83DFD">
        <w:rPr>
          <w:rFonts w:asciiTheme="minorHAnsi" w:hAnsiTheme="minorHAnsi"/>
          <w:noProof w:val="0"/>
          <w:rtl/>
        </w:rPr>
        <w:t xml:space="preserve"> – </w:t>
      </w:r>
      <w:r w:rsidRPr="00E83DFD">
        <w:rPr>
          <w:rFonts w:hint="eastAsia" w:asciiTheme="minorHAnsi" w:hAnsiTheme="minorHAnsi"/>
          <w:noProof w:val="0"/>
          <w:rtl/>
        </w:rPr>
        <w:t>המבטחת</w:t>
      </w:r>
      <w:r w:rsidRPr="00E83DFD">
        <w:rPr>
          <w:rFonts w:asciiTheme="minorHAnsi" w:hAnsiTheme="minorHAnsi"/>
          <w:noProof w:val="0"/>
          <w:rtl/>
        </w:rPr>
        <w:t xml:space="preserve"> </w:t>
      </w:r>
      <w:r w:rsidRPr="00E83DFD">
        <w:rPr>
          <w:rFonts w:hint="eastAsia" w:asciiTheme="minorHAnsi" w:hAnsiTheme="minorHAnsi"/>
          <w:noProof w:val="0"/>
          <w:rtl/>
        </w:rPr>
        <w:t>של</w:t>
      </w:r>
      <w:r w:rsidRPr="00E83DFD">
        <w:rPr>
          <w:rFonts w:asciiTheme="minorHAnsi" w:hAnsiTheme="minorHAnsi"/>
          <w:noProof w:val="0"/>
          <w:rtl/>
        </w:rPr>
        <w:t xml:space="preserve"> </w:t>
      </w:r>
      <w:r w:rsidRPr="00E83DFD">
        <w:rPr>
          <w:rFonts w:hint="eastAsia" w:asciiTheme="minorHAnsi" w:hAnsiTheme="minorHAnsi"/>
          <w:noProof w:val="0"/>
          <w:rtl/>
        </w:rPr>
        <w:t>יבול</w:t>
      </w:r>
      <w:r w:rsidRPr="00E83DFD">
        <w:rPr>
          <w:rFonts w:asciiTheme="minorHAnsi" w:hAnsiTheme="minorHAnsi"/>
          <w:noProof w:val="0"/>
          <w:rtl/>
        </w:rPr>
        <w:t xml:space="preserve"> </w:t>
      </w:r>
      <w:r w:rsidRPr="00E83DFD">
        <w:rPr>
          <w:rFonts w:hint="eastAsia" w:asciiTheme="minorHAnsi" w:hAnsiTheme="minorHAnsi"/>
          <w:noProof w:val="0"/>
          <w:rtl/>
        </w:rPr>
        <w:t>הבצל</w:t>
      </w:r>
      <w:r w:rsidRPr="00E83DFD">
        <w:rPr>
          <w:rFonts w:asciiTheme="minorHAnsi" w:hAnsiTheme="minorHAnsi"/>
          <w:noProof w:val="0"/>
          <w:rtl/>
        </w:rPr>
        <w:t xml:space="preserve"> </w:t>
      </w:r>
      <w:r w:rsidRPr="00E83DFD">
        <w:rPr>
          <w:rFonts w:hint="eastAsia" w:asciiTheme="minorHAnsi" w:hAnsiTheme="minorHAnsi"/>
          <w:noProof w:val="0"/>
          <w:rtl/>
        </w:rPr>
        <w:t>שלו</w:t>
      </w:r>
      <w:r w:rsidRPr="00E83DFD">
        <w:rPr>
          <w:rFonts w:asciiTheme="minorHAnsi" w:hAnsiTheme="minorHAnsi"/>
          <w:noProof w:val="0"/>
          <w:rtl/>
        </w:rPr>
        <w:t xml:space="preserve"> – </w:t>
      </w:r>
      <w:r w:rsidRPr="00E83DFD">
        <w:rPr>
          <w:rFonts w:hint="eastAsia" w:asciiTheme="minorHAnsi" w:hAnsiTheme="minorHAnsi"/>
          <w:noProof w:val="0"/>
          <w:rtl/>
        </w:rPr>
        <w:t>הכלולות</w:t>
      </w:r>
      <w:r w:rsidRPr="00E83DFD">
        <w:rPr>
          <w:rFonts w:asciiTheme="minorHAnsi" w:hAnsiTheme="minorHAnsi"/>
          <w:noProof w:val="0"/>
          <w:rtl/>
        </w:rPr>
        <w:t xml:space="preserve"> </w:t>
      </w:r>
      <w:r w:rsidRPr="00E83DFD">
        <w:rPr>
          <w:rFonts w:hint="eastAsia" w:asciiTheme="minorHAnsi" w:hAnsiTheme="minorHAnsi"/>
          <w:noProof w:val="0"/>
          <w:rtl/>
        </w:rPr>
        <w:t>בכתב</w:t>
      </w:r>
      <w:r w:rsidRPr="00E83DFD">
        <w:rPr>
          <w:rFonts w:asciiTheme="minorHAnsi" w:hAnsiTheme="minorHAnsi"/>
          <w:noProof w:val="0"/>
          <w:rtl/>
        </w:rPr>
        <w:t xml:space="preserve"> </w:t>
      </w:r>
      <w:r w:rsidRPr="00E83DFD">
        <w:rPr>
          <w:rFonts w:hint="eastAsia" w:asciiTheme="minorHAnsi" w:hAnsiTheme="minorHAnsi"/>
          <w:noProof w:val="0"/>
          <w:rtl/>
        </w:rPr>
        <w:t>הגנתה</w:t>
      </w:r>
      <w:r w:rsidRPr="00E83DFD">
        <w:rPr>
          <w:rFonts w:asciiTheme="minorHAnsi" w:hAnsiTheme="minorHAnsi"/>
          <w:noProof w:val="0"/>
          <w:rtl/>
        </w:rPr>
        <w:t>.</w:t>
      </w:r>
      <w:r w:rsidRPr="00E83DFD">
        <w:rPr>
          <w:rFonts w:ascii="Arial" w:hAnsi="Arial"/>
          <w:noProof w:val="0"/>
          <w:rtl/>
        </w:rPr>
        <w:t xml:space="preserve"> הטעם שהוצג למחיקה הוא שטענות אלה, של הנתבעת, לא היו כלולות במכתב הדחייה ששלחה לתובע ביום 19.7.17.</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לאחר ששקלתי את טענות הצדדים, הגעתי למסקנה כי דין הבקשה להידחות, הן על הסף, והן לגופו של עניין.</w:t>
      </w:r>
    </w:p>
    <w:p w:rsidRPr="00E83DFD" w:rsidR="00E83DFD" w:rsidP="00E83DFD" w:rsidRDefault="00E83DFD">
      <w:pPr>
        <w:spacing w:after="160" w:line="360" w:lineRule="auto"/>
        <w:jc w:val="both"/>
        <w:rPr>
          <w:rFonts w:ascii="Arial" w:hAnsi="Arial"/>
          <w:b/>
          <w:bCs/>
          <w:noProof w:val="0"/>
          <w:u w:val="single"/>
          <w:rtl/>
        </w:rPr>
      </w:pPr>
      <w:r w:rsidRPr="00E83DFD">
        <w:rPr>
          <w:rFonts w:ascii="Arial" w:hAnsi="Arial"/>
          <w:b/>
          <w:bCs/>
          <w:noProof w:val="0"/>
          <w:u w:val="single"/>
          <w:rtl/>
        </w:rPr>
        <w:t>דין הבקשה להידחות על הסף, וזאת מן הטעמים הבאים:</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בהחלטתי מיום 4.1.18, הוריתי לצדדים כי כל בקשת ביניים תוגש לא יאוחר מחמישה ימים טרם מועד הדיון. דא עקא והבקשה הוגשה לאחר שהדיון התקיים (הדיון התקיים ביום 4.3.18, והבקשה הוגשה ביום 14.3.18), מבלי שצורפה כלל בקשה להארכת מועד.</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 xml:space="preserve">יתרה מזאת תקנה 214יג(א) לתקנות סדר הדין האזרחי, תשמ"ד- 1984 (להלן: </w:t>
      </w:r>
      <w:r w:rsidRPr="00E83DFD">
        <w:rPr>
          <w:rFonts w:ascii="Arial" w:hAnsi="Arial"/>
          <w:b/>
          <w:bCs/>
          <w:noProof w:val="0"/>
          <w:rtl/>
        </w:rPr>
        <w:t>"התקנות"</w:t>
      </w:r>
      <w:r w:rsidRPr="00E83DFD">
        <w:rPr>
          <w:rFonts w:ascii="Arial" w:hAnsi="Arial"/>
          <w:noProof w:val="0"/>
          <w:rtl/>
        </w:rPr>
        <w:t>), קובעת כי בקשה ביניים תוגש בהקדם האפשרי לאחר שהתעוררה עילת הבקשה, ובענייננו היה אמור התובע להגיש את בקשתו מיד לאחר שהוגש כתב ההגנה לתיק (</w:t>
      </w:r>
      <w:r>
        <w:rPr>
          <w:rFonts w:hint="cs" w:ascii="Arial" w:hAnsi="Arial"/>
          <w:noProof w:val="0"/>
          <w:rtl/>
        </w:rPr>
        <w:t xml:space="preserve"> כתב ההגנה</w:t>
      </w:r>
      <w:r w:rsidRPr="00E83DFD">
        <w:rPr>
          <w:rFonts w:ascii="Arial" w:hAnsi="Arial"/>
          <w:noProof w:val="0"/>
          <w:rtl/>
        </w:rPr>
        <w:t xml:space="preserve"> הוגש ביום 4.1.18).</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בנסיבות אלה, ומשהוגשו כבר תצהירי עדות ראשית, מבלי שהתובע טען לפני הגשתם כל טענה, כזו או אחרת, בעניין זה, ואף התיק קבוע לדיון הוכחות בחודש מאי, 2018, דין הבקשה להידחות על הסף.</w:t>
      </w:r>
    </w:p>
    <w:p w:rsidRPr="00E83DFD" w:rsidR="00E83DFD" w:rsidP="00E83DFD" w:rsidRDefault="00E83DFD">
      <w:pPr>
        <w:spacing w:after="160" w:line="360" w:lineRule="auto"/>
        <w:jc w:val="both"/>
        <w:rPr>
          <w:rFonts w:ascii="Arial" w:hAnsi="Arial"/>
          <w:b/>
          <w:bCs/>
          <w:noProof w:val="0"/>
          <w:u w:val="single"/>
          <w:rtl/>
        </w:rPr>
      </w:pPr>
      <w:r w:rsidRPr="00E83DFD">
        <w:rPr>
          <w:rFonts w:ascii="Arial" w:hAnsi="Arial"/>
          <w:b/>
          <w:bCs/>
          <w:noProof w:val="0"/>
          <w:u w:val="single"/>
          <w:rtl/>
        </w:rPr>
        <w:t>דין הבקשה להידחות גם לגופו של עניין, וזאת מן הטעמים הבאים:</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במכתב הדחייה מיום 19.7.17, צויין כי סיבת דחיית תביעתו של המבוטח, היא מהטעם ש</w:t>
      </w:r>
      <w:r w:rsidRPr="00E83DFD">
        <w:rPr>
          <w:rFonts w:ascii="Arial" w:hAnsi="Arial"/>
          <w:b/>
          <w:bCs/>
          <w:noProof w:val="0"/>
          <w:rtl/>
        </w:rPr>
        <w:t>"הנזק לא מכוסה"</w:t>
      </w:r>
      <w:r w:rsidRPr="00E83DFD">
        <w:rPr>
          <w:rFonts w:ascii="Arial" w:hAnsi="Arial"/>
          <w:noProof w:val="0"/>
          <w:rtl/>
        </w:rPr>
        <w:t xml:space="preserve">. ובהערות נרשם : </w:t>
      </w:r>
      <w:r w:rsidRPr="00E83DFD">
        <w:rPr>
          <w:rFonts w:ascii="Arial" w:hAnsi="Arial"/>
          <w:b/>
          <w:bCs/>
          <w:noProof w:val="0"/>
          <w:rtl/>
        </w:rPr>
        <w:t>"טיפול לקוי. נזק שניתן למנוע"</w:t>
      </w:r>
      <w:r w:rsidRPr="00E83DFD">
        <w:rPr>
          <w:rFonts w:hint="cs" w:ascii="Arial" w:hAnsi="Arial"/>
          <w:noProof w:val="0"/>
          <w:rtl/>
        </w:rPr>
        <w:t>.</w:t>
      </w:r>
    </w:p>
    <w:p w:rsidR="00E83DFD" w:rsidP="00E83DFD" w:rsidRDefault="00E83DFD">
      <w:pPr>
        <w:spacing w:after="160" w:line="360" w:lineRule="auto"/>
        <w:jc w:val="both"/>
        <w:rPr>
          <w:rFonts w:ascii="Arial" w:hAnsi="Arial"/>
          <w:noProof w:val="0"/>
          <w:rtl/>
        </w:rPr>
      </w:pPr>
      <w:r w:rsidRPr="00E83DFD">
        <w:rPr>
          <w:rFonts w:ascii="Arial" w:hAnsi="Arial"/>
          <w:noProof w:val="0"/>
          <w:rtl/>
        </w:rPr>
        <w:lastRenderedPageBreak/>
        <w:t xml:space="preserve">דומה כי הדין בענייננו אינו שנוי במחלוקת, וברי כי מוסכם בין הצדדים שבהתאם להלכה הפסוקה, ולהנחיות המפקח על הביטוח, על המבטחת לפרט במכתב הדחייה את כל נימוקי דחיית תביעתו של המבוטח, ואם לא עשתה כן, לא תהיה רשאית, ככלל, להעלות טענות נוספות במועד מאוחר יותר. </w:t>
      </w:r>
    </w:p>
    <w:p w:rsidRPr="00E83DFD" w:rsidR="00E83DFD" w:rsidP="00004704" w:rsidRDefault="00E83DFD">
      <w:pPr>
        <w:spacing w:after="160" w:line="360" w:lineRule="auto"/>
        <w:jc w:val="both"/>
        <w:rPr>
          <w:rFonts w:ascii="Arial" w:hAnsi="Arial"/>
          <w:noProof w:val="0"/>
          <w:rtl/>
        </w:rPr>
      </w:pPr>
      <w:r>
        <w:rPr>
          <w:rFonts w:hint="cs" w:ascii="Arial" w:hAnsi="Arial"/>
          <w:noProof w:val="0"/>
          <w:rtl/>
        </w:rPr>
        <w:t xml:space="preserve">כמו כן ברי, כי אין לצפות מהמבטחת לרדת במכתב הדחייה לרזולוציה המתאימה לפירוט המצופה </w:t>
      </w:r>
      <w:r w:rsidR="00004704">
        <w:rPr>
          <w:rFonts w:hint="cs" w:ascii="Arial" w:hAnsi="Arial"/>
          <w:noProof w:val="0"/>
          <w:rtl/>
        </w:rPr>
        <w:t xml:space="preserve">ממנה בכתב ההגנה, </w:t>
      </w:r>
      <w:r>
        <w:rPr>
          <w:rFonts w:hint="cs" w:ascii="Arial" w:hAnsi="Arial"/>
          <w:noProof w:val="0"/>
          <w:rtl/>
        </w:rPr>
        <w:t>ודי בטענה כי הנזק לא מכוסה בהתאם לחוזה הביטוח, על מנת שהמבטחת</w:t>
      </w:r>
      <w:r w:rsidR="00004704">
        <w:rPr>
          <w:rFonts w:hint="cs" w:ascii="Arial" w:hAnsi="Arial"/>
          <w:noProof w:val="0"/>
          <w:rtl/>
        </w:rPr>
        <w:t xml:space="preserve"> תוכל לאחר מכן לטעון במסגרת כתב ההגנה, טענות התואמות לכך, תוך הפניה לסעיפים המתאימים בחוזה הביטוח.</w:t>
      </w:r>
      <w:r>
        <w:rPr>
          <w:rFonts w:hint="cs" w:ascii="Arial" w:hAnsi="Arial"/>
          <w:noProof w:val="0"/>
          <w:rtl/>
        </w:rPr>
        <w:t xml:space="preserve">   </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ומן הכלל אל הפרט. להלן אבדוק את סעיפי כתב ההגנה, אותם מבקש התובע למחוק, אל מול מכתב הדחייה.</w:t>
      </w:r>
    </w:p>
    <w:p w:rsidRPr="00E83DFD" w:rsidR="00E83DFD" w:rsidP="00004704" w:rsidRDefault="00E83DFD">
      <w:pPr>
        <w:spacing w:after="160" w:line="360" w:lineRule="auto"/>
        <w:jc w:val="both"/>
        <w:rPr>
          <w:rFonts w:ascii="Arial" w:hAnsi="Arial"/>
          <w:noProof w:val="0"/>
          <w:rtl/>
        </w:rPr>
      </w:pPr>
      <w:r w:rsidRPr="00E83DFD">
        <w:rPr>
          <w:rFonts w:ascii="Arial" w:hAnsi="Arial"/>
          <w:noProof w:val="0"/>
          <w:rtl/>
        </w:rPr>
        <w:t xml:space="preserve">סעיף 4 לכתב ההגנה – הסעיף מתייחס לטענת הנתבעת כי </w:t>
      </w:r>
      <w:r w:rsidR="00004704">
        <w:rPr>
          <w:rFonts w:ascii="Arial" w:hAnsi="Arial"/>
          <w:noProof w:val="0"/>
          <w:rtl/>
        </w:rPr>
        <w:t>התובע לא מנע את הנזק שנגרם ל</w:t>
      </w:r>
      <w:r w:rsidR="00004704">
        <w:rPr>
          <w:rFonts w:hint="cs" w:ascii="Arial" w:hAnsi="Arial"/>
          <w:noProof w:val="0"/>
          <w:rtl/>
        </w:rPr>
        <w:t>בצל</w:t>
      </w:r>
      <w:r w:rsidR="00004704">
        <w:rPr>
          <w:rFonts w:ascii="Arial" w:hAnsi="Arial"/>
          <w:noProof w:val="0"/>
          <w:rtl/>
        </w:rPr>
        <w:t>, בשל העובדה שלא אסף א</w:t>
      </w:r>
      <w:r w:rsidR="00004704">
        <w:rPr>
          <w:rFonts w:hint="cs" w:ascii="Arial" w:hAnsi="Arial"/>
          <w:noProof w:val="0"/>
          <w:rtl/>
        </w:rPr>
        <w:t>ותו</w:t>
      </w:r>
      <w:r w:rsidRPr="00E83DFD">
        <w:rPr>
          <w:rFonts w:ascii="Arial" w:hAnsi="Arial"/>
          <w:noProof w:val="0"/>
          <w:rtl/>
        </w:rPr>
        <w:t xml:space="preserve"> במועד, טענה אשר עולה בקנה אחד עם מכתב הדחייה (</w:t>
      </w:r>
      <w:r w:rsidRPr="00E83DFD">
        <w:rPr>
          <w:rFonts w:ascii="Arial" w:hAnsi="Arial"/>
          <w:b/>
          <w:bCs/>
          <w:noProof w:val="0"/>
          <w:rtl/>
        </w:rPr>
        <w:t>"נזק שניתן למנוע"</w:t>
      </w:r>
      <w:r w:rsidRPr="00E83DFD">
        <w:rPr>
          <w:rFonts w:ascii="Arial" w:hAnsi="Arial"/>
          <w:noProof w:val="0"/>
          <w:rtl/>
        </w:rPr>
        <w:t>), ודעתי היא שניתן לכלול טענה זו בכתב ההגנה.</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סעיף 6 לכתב ההגנה – הסעיף מתייחס לכך שלא ניתנה הודעה במועד, ולפיכך הנזק לא מכוסה בהתאם לחוזה הביטוח, הטענה עולה בקנה אחד עם האמור במכתב (</w:t>
      </w:r>
      <w:r w:rsidRPr="00E83DFD">
        <w:rPr>
          <w:rFonts w:ascii="Arial" w:hAnsi="Arial"/>
          <w:b/>
          <w:bCs/>
          <w:noProof w:val="0"/>
          <w:rtl/>
        </w:rPr>
        <w:t>"נזק לא מכוסה"</w:t>
      </w:r>
      <w:r w:rsidRPr="00E83DFD">
        <w:rPr>
          <w:rFonts w:ascii="Arial" w:hAnsi="Arial"/>
          <w:noProof w:val="0"/>
          <w:rtl/>
        </w:rPr>
        <w:t>) ודעתי היא שניתן לכלול אותה בכתב ההגנה.</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סעיף 7 לכתב ההגנה – מדובר בסעיף שחוזר על סעיפים 4 ו-6, ותואם לאמור במכתב הדחייה.</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סעיפים 8 – 14 לכתב ההגנה – כאמור לעיל, מדובר בסעיפים המתייחסים לאיחור בהגשת הודעה על המקרה הביטוחי, ובשל כך נטען כי אין כיסוי ביטוחי לנזק בהתאם לחוזה הביטוח, הדבר זהה</w:t>
      </w:r>
      <w:r w:rsidR="00BC471D">
        <w:rPr>
          <w:rFonts w:ascii="Arial" w:hAnsi="Arial"/>
          <w:noProof w:val="0"/>
          <w:rtl/>
        </w:rPr>
        <w:t xml:space="preserve"> לחלוטין לאמור במכתב הדחייה, ב</w:t>
      </w:r>
      <w:r w:rsidR="00BC471D">
        <w:rPr>
          <w:rFonts w:hint="cs" w:ascii="Arial" w:hAnsi="Arial"/>
          <w:noProof w:val="0"/>
          <w:rtl/>
        </w:rPr>
        <w:t xml:space="preserve">מסגרתו </w:t>
      </w:r>
      <w:r w:rsidRPr="00E83DFD">
        <w:rPr>
          <w:rFonts w:ascii="Arial" w:hAnsi="Arial"/>
          <w:noProof w:val="0"/>
          <w:rtl/>
        </w:rPr>
        <w:t>נרשם כי הנזק לא מכוסה ביטוחית</w:t>
      </w:r>
      <w:r w:rsidR="00783736">
        <w:rPr>
          <w:rFonts w:hint="cs" w:ascii="Arial" w:hAnsi="Arial"/>
          <w:noProof w:val="0"/>
          <w:rtl/>
        </w:rPr>
        <w:t xml:space="preserve"> ובכתב ההגנה הפנתה הנתבעת לסעיף הרלוונטי בחוזה הביטוח</w:t>
      </w:r>
      <w:r w:rsidRPr="00E83DFD">
        <w:rPr>
          <w:rFonts w:ascii="Arial" w:hAnsi="Arial"/>
          <w:noProof w:val="0"/>
          <w:rtl/>
        </w:rPr>
        <w:t>.</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 xml:space="preserve">סעיפים 15 – 17 לכתב ההגנה – בסעיפים אלה טוענת הנתבעת כי התובע לא עמד בתנאי החוזה המתייחסים ישירות לנזק אשר נגרם לבצל כתוצאה מפגעי חום (עמוד 6 סעיף ז2 ג. לחוזה הביטוח), ובשל כך לא קיים כיסוי ביטוחי. הטענה תואמת לחלוטין לאמור במכתב הדחייה, ולפיכך אני מתיר את הסעיפים. </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lastRenderedPageBreak/>
        <w:t>יתרה מזאת, גם עיון בכתב התביעה מלמד כי התובע התייחס למועד צניחת עלי הבצל -  שזהו תנאי בסיסי לתחולת פוליסת הביטוח  (סעיפים 10-12 לכתב התביעה, וכן תיאור "נסיבות המקרה" בחוות הדעת של השמאי מטעם התובע) - הואיל והיה ברור לו שזו טענה עיקרית של הנתבעת.</w:t>
      </w:r>
      <w:bookmarkStart w:name="_GoBack" w:id="0"/>
      <w:bookmarkEnd w:id="0"/>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בנסיבות אלה, ובהתאם לאמור לעיל, אני דוחה את הבקשה.</w:t>
      </w:r>
    </w:p>
    <w:p w:rsidRPr="00E83DFD" w:rsidR="00E83DFD" w:rsidP="00E83DFD" w:rsidRDefault="00E83DFD">
      <w:pPr>
        <w:spacing w:after="160" w:line="360" w:lineRule="auto"/>
        <w:jc w:val="both"/>
        <w:rPr>
          <w:rFonts w:ascii="Arial" w:hAnsi="Arial"/>
          <w:noProof w:val="0"/>
          <w:rtl/>
        </w:rPr>
      </w:pPr>
      <w:r w:rsidRPr="00E83DFD">
        <w:rPr>
          <w:rFonts w:ascii="Arial" w:hAnsi="Arial"/>
          <w:noProof w:val="0"/>
          <w:rtl/>
        </w:rPr>
        <w:t>התובע ישלם לנתבעת הוצאות בסך של 1,500 ₪, וזאת תוך 30 יום מהיום, ללא קשר לתוצאה הסופית של ההליך.</w:t>
      </w:r>
    </w:p>
    <w:p w:rsidRPr="00E83DFD" w:rsidR="00E83DFD" w:rsidP="00E83DFD" w:rsidRDefault="00E83DFD">
      <w:pPr>
        <w:spacing w:after="160" w:line="360" w:lineRule="auto"/>
        <w:rPr>
          <w:rFonts w:ascii="Arial" w:hAnsi="Arial" w:cs="Arial"/>
          <w:b/>
          <w:bCs/>
          <w:noProof w:val="0"/>
          <w:sz w:val="22"/>
          <w:szCs w:val="22"/>
          <w:u w:val="single"/>
          <w:rtl/>
        </w:rPr>
      </w:pPr>
      <w:r w:rsidRPr="00E83DFD">
        <w:rPr>
          <w:rFonts w:ascii="Arial" w:hAnsi="Arial" w:cs="Arial"/>
          <w:b/>
          <w:bCs/>
          <w:noProof w:val="0"/>
          <w:sz w:val="22"/>
          <w:szCs w:val="22"/>
          <w:u w:val="single"/>
          <w:rtl/>
        </w:rPr>
        <w:t>המזכירות תמציא העתק החלטה זו לצדדים.</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297729720"/>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476803465"/>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044759">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453896"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db321d8a4a42b1" cstate="print">
                            <a:extLst>
                              <a:ext uri="{28A0092B-C50C-407E-A947-70E740481C1C}"/>
                            </a:extLst>
                          </a:blip>
                          <a:stretch>
                            <a:fillRect/>
                          </a:stretch>
                        </pic:blipFill>
                        <pic:spPr>
                          <a:xfrm>
                            <a:off x="0" y="0"/>
                            <a:ext cx="1453896" cy="612648"/>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107D9">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44759">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44759">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83DFD">
    <w:pPr>
      <w:pStyle w:val="a3"/>
      <w:jc w:val="center"/>
      <w:rPr>
        <w:rFonts w:cs="FrankRuehl"/>
        <w:noProof w:val="0"/>
        <w:sz w:val="28"/>
        <w:szCs w:val="28"/>
        <w:rtl/>
      </w:rPr>
    </w:pPr>
    <w:r>
      <w:rPr>
        <w:rFonts w:cs="FrankRuehl"/>
        <w:sz w:val="28"/>
        <w:szCs w:val="28"/>
      </w:rPr>
    </w:r>
    <w:r w:rsidR="00D40BEA">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314872315"/>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בעפולה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44759">
          <w:pPr>
            <w:rPr>
              <w:b/>
              <w:bCs/>
              <w:noProof w:val="0"/>
              <w:sz w:val="26"/>
              <w:szCs w:val="26"/>
              <w:rtl/>
            </w:rPr>
          </w:pPr>
          <w:sdt>
            <w:sdtPr>
              <w:rPr>
                <w:rtl/>
              </w:rPr>
              <w:alias w:val="1170"/>
              <w:tag w:val="1170"/>
              <w:id w:val="432950856"/>
              <w:text w:multiLine="1"/>
            </w:sdtPr>
            <w:sdtEndPr/>
            <w:sdtContent>
              <w:r w:rsidR="00B96A3C">
                <w:rPr>
                  <w:b/>
                  <w:bCs/>
                  <w:noProof w:val="0"/>
                  <w:sz w:val="26"/>
                  <w:szCs w:val="26"/>
                  <w:rtl/>
                </w:rPr>
                <w:t>תא"מ</w:t>
              </w:r>
            </w:sdtContent>
          </w:sdt>
          <w:r w:rsidR="00005C8B">
            <w:rPr>
              <w:b/>
              <w:bCs/>
              <w:noProof w:val="0"/>
              <w:sz w:val="26"/>
              <w:szCs w:val="26"/>
              <w:rtl/>
            </w:rPr>
            <w:t xml:space="preserve"> </w:t>
          </w:r>
          <w:sdt>
            <w:sdtPr>
              <w:rPr>
                <w:rtl/>
              </w:rPr>
              <w:alias w:val="1171"/>
              <w:tag w:val="1171"/>
              <w:id w:val="1977179706"/>
              <w:text w:multiLine="1"/>
            </w:sdtPr>
            <w:sdtEndPr/>
            <w:sdtContent>
              <w:r w:rsidR="00B96A3C">
                <w:rPr>
                  <w:b/>
                  <w:bCs/>
                  <w:noProof w:val="0"/>
                  <w:sz w:val="26"/>
                  <w:szCs w:val="26"/>
                  <w:rtl/>
                </w:rPr>
                <w:t>44522-10-17</w:t>
              </w:r>
            </w:sdtContent>
          </w:sdt>
          <w:r w:rsidR="00005C8B">
            <w:rPr>
              <w:b/>
              <w:bCs/>
              <w:noProof w:val="0"/>
              <w:sz w:val="26"/>
              <w:szCs w:val="26"/>
              <w:rtl/>
            </w:rPr>
            <w:t xml:space="preserve"> </w:t>
          </w:r>
          <w:sdt>
            <w:sdtPr>
              <w:rPr>
                <w:rtl/>
              </w:rPr>
              <w:alias w:val="1172"/>
              <w:tag w:val="1172"/>
              <w:id w:val="580569690"/>
              <w:text w:multiLine="1"/>
            </w:sdtPr>
            <w:sdtEndPr/>
            <w:sdtContent>
              <w:r w:rsidR="00B96A3C">
                <w:rPr>
                  <w:b/>
                  <w:bCs/>
                  <w:noProof w:val="0"/>
                  <w:sz w:val="26"/>
                  <w:szCs w:val="26"/>
                  <w:rtl/>
                </w:rPr>
                <w:t>דהן נ' קרן לבטוח נזקי טבע בחקלאות בעמ</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9383998"/>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4704"/>
    <w:rsid w:val="00005C8B"/>
    <w:rsid w:val="00044759"/>
    <w:rsid w:val="000564AB"/>
    <w:rsid w:val="00064FBD"/>
    <w:rsid w:val="00082AB2"/>
    <w:rsid w:val="00096AF7"/>
    <w:rsid w:val="000A3207"/>
    <w:rsid w:val="000B344B"/>
    <w:rsid w:val="000C3B0F"/>
    <w:rsid w:val="000E3AF1"/>
    <w:rsid w:val="000F0BC8"/>
    <w:rsid w:val="00107E6D"/>
    <w:rsid w:val="0011194C"/>
    <w:rsid w:val="0011424C"/>
    <w:rsid w:val="001241E1"/>
    <w:rsid w:val="001367BC"/>
    <w:rsid w:val="00144D2A"/>
    <w:rsid w:val="0014653E"/>
    <w:rsid w:val="00163E6A"/>
    <w:rsid w:val="00180519"/>
    <w:rsid w:val="001C4003"/>
    <w:rsid w:val="001D4DBF"/>
    <w:rsid w:val="002265FF"/>
    <w:rsid w:val="002C344E"/>
    <w:rsid w:val="002C4805"/>
    <w:rsid w:val="00307A6A"/>
    <w:rsid w:val="00307C40"/>
    <w:rsid w:val="00320433"/>
    <w:rsid w:val="0033597A"/>
    <w:rsid w:val="00362612"/>
    <w:rsid w:val="0036743F"/>
    <w:rsid w:val="003715DD"/>
    <w:rsid w:val="003823E0"/>
    <w:rsid w:val="003A4521"/>
    <w:rsid w:val="0040096C"/>
    <w:rsid w:val="00414F1F"/>
    <w:rsid w:val="0043125D"/>
    <w:rsid w:val="0043502B"/>
    <w:rsid w:val="00466FC7"/>
    <w:rsid w:val="004C4BDF"/>
    <w:rsid w:val="004D1187"/>
    <w:rsid w:val="004E1987"/>
    <w:rsid w:val="004E6E3C"/>
    <w:rsid w:val="005107D9"/>
    <w:rsid w:val="00520898"/>
    <w:rsid w:val="00524986"/>
    <w:rsid w:val="005268F6"/>
    <w:rsid w:val="00547DB7"/>
    <w:rsid w:val="00554F36"/>
    <w:rsid w:val="005E5D78"/>
    <w:rsid w:val="0061431B"/>
    <w:rsid w:val="00622BAA"/>
    <w:rsid w:val="006306CF"/>
    <w:rsid w:val="006414A2"/>
    <w:rsid w:val="00671BD5"/>
    <w:rsid w:val="006805C1"/>
    <w:rsid w:val="00686C21"/>
    <w:rsid w:val="006931C1"/>
    <w:rsid w:val="00694556"/>
    <w:rsid w:val="006D3B31"/>
    <w:rsid w:val="006E1A53"/>
    <w:rsid w:val="00704EDA"/>
    <w:rsid w:val="00753019"/>
    <w:rsid w:val="00783736"/>
    <w:rsid w:val="00795365"/>
    <w:rsid w:val="007E6115"/>
    <w:rsid w:val="007F4609"/>
    <w:rsid w:val="008176A1"/>
    <w:rsid w:val="00820005"/>
    <w:rsid w:val="00844318"/>
    <w:rsid w:val="00875D12"/>
    <w:rsid w:val="00896889"/>
    <w:rsid w:val="008C5714"/>
    <w:rsid w:val="008D10B2"/>
    <w:rsid w:val="008E172F"/>
    <w:rsid w:val="008F1E78"/>
    <w:rsid w:val="00903896"/>
    <w:rsid w:val="00906F3D"/>
    <w:rsid w:val="00967DFF"/>
    <w:rsid w:val="00994341"/>
    <w:rsid w:val="009A5A04"/>
    <w:rsid w:val="009F323C"/>
    <w:rsid w:val="00A3392B"/>
    <w:rsid w:val="00A94B64"/>
    <w:rsid w:val="00AA3229"/>
    <w:rsid w:val="00AA7596"/>
    <w:rsid w:val="00AC3B7B"/>
    <w:rsid w:val="00AC5209"/>
    <w:rsid w:val="00AE7752"/>
    <w:rsid w:val="00AF7FDA"/>
    <w:rsid w:val="00B41E7B"/>
    <w:rsid w:val="00B80CBD"/>
    <w:rsid w:val="00B86096"/>
    <w:rsid w:val="00B96A3C"/>
    <w:rsid w:val="00BA517C"/>
    <w:rsid w:val="00BB3D05"/>
    <w:rsid w:val="00BB73BE"/>
    <w:rsid w:val="00BC471D"/>
    <w:rsid w:val="00BF1908"/>
    <w:rsid w:val="00C22D93"/>
    <w:rsid w:val="00C34482"/>
    <w:rsid w:val="00C50A9F"/>
    <w:rsid w:val="00C642FA"/>
    <w:rsid w:val="00CC7622"/>
    <w:rsid w:val="00D27982"/>
    <w:rsid w:val="00D33B86"/>
    <w:rsid w:val="00D40BEA"/>
    <w:rsid w:val="00D53924"/>
    <w:rsid w:val="00D55D0C"/>
    <w:rsid w:val="00D96D8C"/>
    <w:rsid w:val="00DA6649"/>
    <w:rsid w:val="00DC2571"/>
    <w:rsid w:val="00DC487C"/>
    <w:rsid w:val="00E25884"/>
    <w:rsid w:val="00E5426A"/>
    <w:rsid w:val="00E54642"/>
    <w:rsid w:val="00E83DFD"/>
    <w:rsid w:val="00EC37E9"/>
    <w:rsid w:val="00F13623"/>
    <w:rsid w:val="00F56772"/>
    <w:rsid w:val="00F84B6D"/>
    <w:rsid w:val="00FA34D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3FA52625"/>
  <w15:docId w15:val="{3BCB87F9-5B3E-484C-A26A-37BBF9A9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99db321d8a4a42b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577</Words>
  <Characters>2887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סולומון</cp:lastModifiedBy>
  <cp:revision>13</cp:revision>
  <dcterms:created xsi:type="dcterms:W3CDTF">2012-08-05T22:19:00Z</dcterms:created>
  <dcterms:modified xsi:type="dcterms:W3CDTF">2018-04-11T08:42:00Z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