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65F4" w:rsidR="0094424E" w:rsidP="00D44968" w:rsidRDefault="0094424E">
      <w:pPr>
        <w:suppressLineNumbers/>
        <w:rPr>
          <w:rFonts w:ascii="David" w:hAnsi="David"/>
          <w:rtl/>
        </w:rPr>
      </w:pPr>
      <w:r w:rsidRPr="002A65F4">
        <w:rPr>
          <w:rFonts w:ascii="David" w:hAnsi="David"/>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2A65F4" w:rsidR="002A65F4">
        <w:trPr>
          <w:trHeight w:val="295"/>
          <w:jc w:val="center"/>
        </w:trPr>
        <w:tc>
          <w:tcPr>
            <w:tcW w:w="5049" w:type="dxa"/>
            <w:gridSpan w:val="3"/>
          </w:tcPr>
          <w:p w:rsidRPr="002A65F4" w:rsidR="0094424E" w:rsidP="00D44968" w:rsidRDefault="0094424E">
            <w:pPr>
              <w:suppressLineNumbers/>
              <w:rPr>
                <w:rFonts w:ascii="David" w:hAnsi="David"/>
                <w:b/>
                <w:bCs/>
                <w:noProof w:val="0"/>
                <w:sz w:val="26"/>
                <w:szCs w:val="26"/>
                <w:rtl/>
              </w:rPr>
            </w:pPr>
          </w:p>
        </w:tc>
        <w:tc>
          <w:tcPr>
            <w:tcW w:w="3771" w:type="dxa"/>
          </w:tcPr>
          <w:p w:rsidRPr="002A65F4" w:rsidR="0094424E" w:rsidP="00D44968" w:rsidRDefault="0094424E">
            <w:pPr>
              <w:suppressLineNumbers/>
              <w:rPr>
                <w:rFonts w:ascii="David" w:hAnsi="David"/>
                <w:b/>
                <w:bCs/>
                <w:noProof w:val="0"/>
                <w:sz w:val="26"/>
                <w:szCs w:val="26"/>
                <w:rtl/>
              </w:rPr>
            </w:pPr>
            <w:r w:rsidRPr="002A65F4">
              <w:rPr>
                <w:rFonts w:ascii="David" w:hAnsi="David"/>
                <w:b/>
                <w:bCs/>
                <w:noProof w:val="0"/>
                <w:sz w:val="26"/>
                <w:szCs w:val="26"/>
                <w:rtl/>
              </w:rPr>
              <w:t>מספר בקשה:</w:t>
            </w:r>
            <w:sdt>
              <w:sdtPr>
                <w:rPr>
                  <w:rFonts w:ascii="David" w:hAnsi="David"/>
                  <w:rtl/>
                </w:rPr>
                <w:alias w:val="1193"/>
                <w:tag w:val="1193"/>
                <w:id w:val="-636028727"/>
                <w:text w:multiLine="1"/>
              </w:sdtPr>
              <w:sdtEndPr/>
              <w:sdtContent>
                <w:r w:rsidRPr="002A65F4">
                  <w:rPr>
                    <w:rFonts w:ascii="David" w:hAnsi="David"/>
                    <w:b/>
                    <w:bCs/>
                    <w:noProof w:val="0"/>
                    <w:sz w:val="32"/>
                    <w:szCs w:val="32"/>
                    <w:rtl/>
                  </w:rPr>
                  <w:t>8</w:t>
                </w:r>
              </w:sdtContent>
            </w:sdt>
          </w:p>
        </w:tc>
      </w:tr>
      <w:tr w:rsidRPr="002A65F4" w:rsidR="002A65F4">
        <w:trPr>
          <w:jc w:val="center"/>
        </w:trPr>
        <w:tc>
          <w:tcPr>
            <w:tcW w:w="743" w:type="dxa"/>
          </w:tcPr>
          <w:p w:rsidRPr="002A65F4" w:rsidR="0094424E" w:rsidP="00D44968" w:rsidRDefault="0094424E">
            <w:pPr>
              <w:suppressLineNumbers/>
              <w:jc w:val="both"/>
              <w:rPr>
                <w:rFonts w:ascii="David" w:hAnsi="David"/>
                <w:b/>
                <w:bCs/>
                <w:rtl/>
              </w:rPr>
            </w:pPr>
            <w:r w:rsidRPr="002A65F4">
              <w:rPr>
                <w:rFonts w:ascii="David" w:hAnsi="David"/>
                <w:b/>
                <w:bCs/>
                <w:rtl/>
              </w:rPr>
              <w:t xml:space="preserve">בפני </w:t>
            </w:r>
          </w:p>
        </w:tc>
        <w:tc>
          <w:tcPr>
            <w:tcW w:w="8077" w:type="dxa"/>
            <w:gridSpan w:val="3"/>
          </w:tcPr>
          <w:p w:rsidRPr="002A65F4" w:rsidR="0094424E" w:rsidP="00D44968" w:rsidRDefault="000529D2">
            <w:pPr>
              <w:suppressLineNumbers/>
              <w:rPr>
                <w:rFonts w:ascii="David" w:hAnsi="David"/>
                <w:b/>
                <w:bCs/>
                <w:rtl/>
              </w:rPr>
            </w:pPr>
            <w:r w:rsidRPr="002A65F4">
              <w:rPr>
                <w:rFonts w:ascii="David" w:hAnsi="David"/>
                <w:b/>
                <w:bCs/>
                <w:rtl/>
              </w:rPr>
              <w:t>כבוד</w:t>
            </w:r>
            <w:r w:rsidRPr="002A65F4" w:rsidR="0094424E">
              <w:rPr>
                <w:rFonts w:ascii="David" w:hAnsi="David"/>
                <w:b/>
                <w:bCs/>
                <w:rtl/>
              </w:rPr>
              <w:t xml:space="preserve"> ה</w:t>
            </w:r>
            <w:sdt>
              <w:sdtPr>
                <w:rPr>
                  <w:rFonts w:ascii="David" w:hAnsi="David"/>
                  <w:rtl/>
                </w:rPr>
                <w:alias w:val="1574"/>
                <w:tag w:val="1574"/>
                <w:id w:val="414602899"/>
                <w:text w:multiLine="1"/>
              </w:sdtPr>
              <w:sdtEndPr/>
              <w:sdtContent>
                <w:r w:rsidRPr="002A65F4">
                  <w:rPr>
                    <w:rFonts w:ascii="David" w:hAnsi="David"/>
                    <w:b/>
                    <w:bCs/>
                    <w:rtl/>
                  </w:rPr>
                  <w:t>שופטת</w:t>
                </w:r>
              </w:sdtContent>
            </w:sdt>
            <w:r w:rsidRPr="002A65F4" w:rsidR="0094424E">
              <w:rPr>
                <w:rFonts w:ascii="David" w:hAnsi="David"/>
                <w:b/>
                <w:bCs/>
                <w:rtl/>
              </w:rPr>
              <w:t xml:space="preserve">  </w:t>
            </w:r>
            <w:sdt>
              <w:sdtPr>
                <w:rPr>
                  <w:rFonts w:ascii="David" w:hAnsi="David"/>
                  <w:rtl/>
                </w:rPr>
                <w:alias w:val="1573"/>
                <w:tag w:val="1573"/>
                <w:id w:val="-1751030614"/>
                <w:text w:multiLine="1"/>
              </w:sdtPr>
              <w:sdtEndPr/>
              <w:sdtContent>
                <w:r w:rsidRPr="002A65F4">
                  <w:rPr>
                    <w:rFonts w:ascii="David" w:hAnsi="David"/>
                    <w:b/>
                    <w:bCs/>
                    <w:rtl/>
                  </w:rPr>
                  <w:t>סיגל אלבו</w:t>
                </w:r>
              </w:sdtContent>
            </w:sdt>
          </w:p>
          <w:p w:rsidRPr="002A65F4" w:rsidR="0094424E" w:rsidP="00D44968" w:rsidRDefault="0094424E">
            <w:pPr>
              <w:suppressLineNumbers/>
              <w:rPr>
                <w:rFonts w:ascii="David" w:hAnsi="David"/>
                <w:sz w:val="28"/>
                <w:szCs w:val="28"/>
                <w:highlight w:val="yellow"/>
              </w:rPr>
            </w:pPr>
          </w:p>
        </w:tc>
      </w:tr>
      <w:tr w:rsidRPr="002A65F4" w:rsidR="002A65F4" w:rsidTr="00465D36">
        <w:trPr>
          <w:jc w:val="center"/>
        </w:trPr>
        <w:tc>
          <w:tcPr>
            <w:tcW w:w="3249" w:type="dxa"/>
            <w:gridSpan w:val="2"/>
          </w:tcPr>
          <w:p w:rsidRPr="002A65F4" w:rsidR="0094424E" w:rsidP="00D44968" w:rsidRDefault="0094424E">
            <w:pPr>
              <w:suppressLineNumbers/>
              <w:rPr>
                <w:rFonts w:ascii="David" w:hAnsi="David"/>
                <w:b/>
                <w:bCs/>
                <w:noProof w:val="0"/>
                <w:sz w:val="26"/>
                <w:szCs w:val="26"/>
              </w:rPr>
            </w:pPr>
          </w:p>
          <w:sdt>
            <w:sdtPr>
              <w:rPr>
                <w:rFonts w:ascii="David" w:hAnsi="David"/>
                <w:rtl/>
              </w:rPr>
              <w:alias w:val="1180"/>
              <w:tag w:val="1180"/>
              <w:id w:val="637458750"/>
              <w:text w:multiLine="1"/>
            </w:sdtPr>
            <w:sdtEndPr/>
            <w:sdtContent>
              <w:p w:rsidRPr="002A65F4" w:rsidR="007E0704" w:rsidP="002A65F4" w:rsidRDefault="00B6020A">
                <w:pPr>
                  <w:suppressLineNumbers/>
                  <w:rPr>
                    <w:rFonts w:ascii="David" w:hAnsi="David"/>
                    <w:b/>
                    <w:bCs/>
                    <w:noProof w:val="0"/>
                    <w:sz w:val="26"/>
                    <w:szCs w:val="26"/>
                    <w:rtl/>
                  </w:rPr>
                </w:pPr>
                <w:r w:rsidRPr="002A65F4">
                  <w:rPr>
                    <w:rFonts w:ascii="David" w:hAnsi="David"/>
                    <w:b/>
                    <w:bCs/>
                    <w:noProof w:val="0"/>
                    <w:sz w:val="26"/>
                    <w:szCs w:val="26"/>
                    <w:rtl/>
                  </w:rPr>
                  <w:t>מבקש</w:t>
                </w:r>
              </w:p>
            </w:sdtContent>
          </w:sdt>
        </w:tc>
        <w:tc>
          <w:tcPr>
            <w:tcW w:w="5571" w:type="dxa"/>
            <w:gridSpan w:val="2"/>
          </w:tcPr>
          <w:p w:rsidRPr="002A65F4" w:rsidR="0094424E" w:rsidP="00D44968" w:rsidRDefault="0094424E">
            <w:pPr>
              <w:suppressLineNumbers/>
              <w:rPr>
                <w:rFonts w:ascii="David" w:hAnsi="David"/>
                <w:b/>
                <w:bCs/>
                <w:noProof w:val="0"/>
                <w:sz w:val="26"/>
                <w:szCs w:val="26"/>
                <w:rtl/>
              </w:rPr>
            </w:pPr>
          </w:p>
          <w:p w:rsidRPr="002A65F4" w:rsidR="0094424E" w:rsidP="00D44968" w:rsidRDefault="002A65F4">
            <w:pPr>
              <w:suppressLineNumbers/>
              <w:rPr>
                <w:rFonts w:ascii="David" w:hAnsi="David"/>
                <w:b/>
                <w:bCs/>
                <w:noProof w:val="0"/>
                <w:sz w:val="26"/>
                <w:szCs w:val="26"/>
              </w:rPr>
            </w:pPr>
            <w:sdt>
              <w:sdtPr>
                <w:rPr>
                  <w:rFonts w:ascii="David" w:hAnsi="David"/>
                  <w:b/>
                  <w:bCs/>
                  <w:rtl/>
                </w:rPr>
                <w:alias w:val="1478"/>
                <w:tag w:val="1478"/>
                <w:id w:val="-2076122985"/>
                <w:text w:multiLine="1"/>
              </w:sdtPr>
              <w:sdtContent>
                <w:r w:rsidRPr="002A65F4">
                  <w:rPr>
                    <w:rFonts w:ascii="David" w:hAnsi="David"/>
                    <w:b/>
                    <w:bCs/>
                    <w:rtl/>
                  </w:rPr>
                  <w:t>חיאת ג'בריאן</w:t>
                </w:r>
              </w:sdtContent>
            </w:sdt>
          </w:p>
        </w:tc>
      </w:tr>
      <w:tr w:rsidRPr="002A65F4" w:rsidR="002A65F4">
        <w:trPr>
          <w:jc w:val="center"/>
        </w:trPr>
        <w:tc>
          <w:tcPr>
            <w:tcW w:w="8820" w:type="dxa"/>
            <w:gridSpan w:val="4"/>
          </w:tcPr>
          <w:p w:rsidRPr="002A65F4" w:rsidR="0094424E" w:rsidP="00D44968" w:rsidRDefault="0094424E">
            <w:pPr>
              <w:suppressLineNumbers/>
              <w:rPr>
                <w:rFonts w:ascii="David" w:hAnsi="David"/>
                <w:b/>
                <w:bCs/>
                <w:noProof w:val="0"/>
                <w:sz w:val="26"/>
                <w:szCs w:val="26"/>
                <w:rtl/>
              </w:rPr>
            </w:pPr>
          </w:p>
          <w:p w:rsidRPr="002A65F4" w:rsidR="0094424E" w:rsidP="00D44968" w:rsidRDefault="0094424E">
            <w:pPr>
              <w:suppressLineNumbers/>
              <w:jc w:val="center"/>
              <w:rPr>
                <w:rFonts w:ascii="David" w:hAnsi="David"/>
                <w:b/>
                <w:bCs/>
                <w:noProof w:val="0"/>
                <w:sz w:val="26"/>
                <w:szCs w:val="26"/>
                <w:rtl/>
              </w:rPr>
            </w:pPr>
            <w:r w:rsidRPr="002A65F4">
              <w:rPr>
                <w:rFonts w:ascii="David" w:hAnsi="David"/>
                <w:b/>
                <w:bCs/>
                <w:noProof w:val="0"/>
                <w:sz w:val="26"/>
                <w:szCs w:val="26"/>
                <w:rtl/>
              </w:rPr>
              <w:t>נגד</w:t>
            </w:r>
          </w:p>
          <w:p w:rsidRPr="002A65F4" w:rsidR="0094424E" w:rsidP="00D44968" w:rsidRDefault="0094424E">
            <w:pPr>
              <w:suppressLineNumbers/>
              <w:rPr>
                <w:rFonts w:ascii="David" w:hAnsi="David"/>
                <w:b/>
                <w:bCs/>
                <w:noProof w:val="0"/>
                <w:sz w:val="26"/>
                <w:szCs w:val="26"/>
              </w:rPr>
            </w:pPr>
          </w:p>
        </w:tc>
      </w:tr>
      <w:tr w:rsidRPr="002A65F4" w:rsidR="002A65F4">
        <w:trPr>
          <w:jc w:val="center"/>
        </w:trPr>
        <w:tc>
          <w:tcPr>
            <w:tcW w:w="3249" w:type="dxa"/>
            <w:gridSpan w:val="2"/>
          </w:tcPr>
          <w:p w:rsidRPr="002A65F4" w:rsidR="0094424E" w:rsidP="002A65F4" w:rsidRDefault="00B6020A">
            <w:pPr>
              <w:suppressLineNumbers/>
              <w:rPr>
                <w:rFonts w:ascii="David" w:hAnsi="David"/>
                <w:b/>
                <w:bCs/>
                <w:noProof w:val="0"/>
                <w:sz w:val="26"/>
                <w:szCs w:val="26"/>
              </w:rPr>
            </w:pPr>
            <w:sdt>
              <w:sdtPr>
                <w:rPr>
                  <w:rFonts w:ascii="David" w:hAnsi="David"/>
                  <w:rtl/>
                </w:rPr>
                <w:alias w:val="1184"/>
                <w:tag w:val="1184"/>
                <w:id w:val="-340621022"/>
                <w:text w:multiLine="1"/>
              </w:sdtPr>
              <w:sdtEndPr/>
              <w:sdtContent>
                <w:r w:rsidRPr="002A65F4" w:rsidR="00CF6BB7">
                  <w:rPr>
                    <w:rFonts w:ascii="David" w:hAnsi="David"/>
                    <w:b/>
                    <w:bCs/>
                    <w:noProof w:val="0"/>
                    <w:sz w:val="26"/>
                    <w:szCs w:val="26"/>
                    <w:rtl/>
                  </w:rPr>
                  <w:t>משיב</w:t>
                </w:r>
                <w:r w:rsidR="002A65F4">
                  <w:rPr>
                    <w:rFonts w:hint="cs" w:ascii="David" w:hAnsi="David"/>
                    <w:b/>
                    <w:bCs/>
                    <w:noProof w:val="0"/>
                    <w:sz w:val="26"/>
                    <w:szCs w:val="26"/>
                    <w:rtl/>
                  </w:rPr>
                  <w:t>ה</w:t>
                </w:r>
              </w:sdtContent>
            </w:sdt>
          </w:p>
        </w:tc>
        <w:tc>
          <w:tcPr>
            <w:tcW w:w="5571" w:type="dxa"/>
            <w:gridSpan w:val="2"/>
          </w:tcPr>
          <w:p w:rsidRPr="002A65F4" w:rsidR="0094424E" w:rsidP="00D44968" w:rsidRDefault="00B6020A">
            <w:pPr>
              <w:suppressLineNumbers/>
              <w:rPr>
                <w:rFonts w:ascii="David" w:hAnsi="David"/>
                <w:rtl/>
              </w:rPr>
            </w:pPr>
            <w:sdt>
              <w:sdtPr>
                <w:rPr>
                  <w:rFonts w:ascii="David" w:hAnsi="David"/>
                  <w:rtl/>
                </w:rPr>
                <w:alias w:val="1486"/>
                <w:tag w:val="1486"/>
                <w:id w:val="-309872140"/>
                <w:text w:multiLine="1"/>
              </w:sdtPr>
              <w:sdtEndPr/>
              <w:sdtContent>
                <w:r w:rsidRPr="002A65F4" w:rsidR="00CF6BB7">
                  <w:rPr>
                    <w:rFonts w:ascii="David" w:hAnsi="David"/>
                    <w:b/>
                    <w:bCs/>
                    <w:noProof w:val="0"/>
                    <w:sz w:val="26"/>
                    <w:szCs w:val="26"/>
                    <w:rtl/>
                  </w:rPr>
                  <w:t>מדינת ישראל</w:t>
                </w:r>
              </w:sdtContent>
            </w:sdt>
          </w:p>
          <w:p w:rsidRPr="002A65F4" w:rsidR="0094424E" w:rsidP="002A65F4" w:rsidRDefault="0094424E">
            <w:pPr>
              <w:suppressLineNumbers/>
              <w:rPr>
                <w:rFonts w:ascii="David" w:hAnsi="David"/>
                <w:rtl/>
              </w:rPr>
            </w:pPr>
          </w:p>
        </w:tc>
      </w:tr>
      <w:tr w:rsidRPr="002A65F4" w:rsidR="002A65F4" w:rsidTr="00280865">
        <w:trPr>
          <w:jc w:val="center"/>
        </w:trPr>
        <w:tc>
          <w:tcPr>
            <w:tcW w:w="8820" w:type="dxa"/>
            <w:gridSpan w:val="4"/>
          </w:tcPr>
          <w:p w:rsidRPr="002A65F4" w:rsidR="00CF6BB7" w:rsidP="00D44968" w:rsidRDefault="00CF6BB7">
            <w:pPr>
              <w:suppressLineNumbers/>
              <w:rPr>
                <w:rFonts w:ascii="David" w:hAnsi="David"/>
                <w:rtl/>
              </w:rPr>
            </w:pPr>
          </w:p>
        </w:tc>
      </w:tr>
      <w:tr w:rsidRPr="002A65F4" w:rsidR="002A65F4">
        <w:trPr>
          <w:jc w:val="center"/>
        </w:trPr>
        <w:tc>
          <w:tcPr>
            <w:tcW w:w="3249" w:type="dxa"/>
            <w:gridSpan w:val="2"/>
          </w:tcPr>
          <w:p w:rsidRPr="002A65F4" w:rsidR="007E0704" w:rsidRDefault="007E0704">
            <w:pPr>
              <w:rPr>
                <w:rFonts w:ascii="David" w:hAnsi="David" w:eastAsia="David"/>
                <w:noProof w:val="0"/>
              </w:rPr>
            </w:pPr>
          </w:p>
        </w:tc>
        <w:tc>
          <w:tcPr>
            <w:tcW w:w="5571" w:type="dxa"/>
            <w:gridSpan w:val="2"/>
          </w:tcPr>
          <w:p w:rsidRPr="002A65F4" w:rsidR="00CF6BB7" w:rsidP="00CF6BB7" w:rsidRDefault="00CF6BB7">
            <w:pPr>
              <w:rPr>
                <w:rFonts w:ascii="David" w:hAnsi="David"/>
              </w:rPr>
            </w:pPr>
          </w:p>
        </w:tc>
      </w:tr>
      <w:tr w:rsidRPr="002A65F4" w:rsidR="004C17EE" w:rsidTr="00D620FD">
        <w:trPr>
          <w:jc w:val="center"/>
        </w:trPr>
        <w:tc>
          <w:tcPr>
            <w:tcW w:w="8820" w:type="dxa"/>
            <w:gridSpan w:val="4"/>
          </w:tcPr>
          <w:p w:rsidRPr="002A65F4" w:rsidR="007E0704" w:rsidRDefault="007E0704">
            <w:pPr>
              <w:suppressLineNumbers/>
              <w:rPr>
                <w:rFonts w:ascii="David" w:hAnsi="David"/>
                <w:b/>
                <w:bCs/>
                <w:noProof w:val="0"/>
                <w:sz w:val="26"/>
                <w:szCs w:val="26"/>
                <w:rtl/>
              </w:rPr>
            </w:pPr>
          </w:p>
        </w:tc>
      </w:tr>
    </w:tbl>
    <w:p w:rsidRPr="002A65F4" w:rsidR="0094424E" w:rsidP="00D44968" w:rsidRDefault="0094424E">
      <w:pPr>
        <w:suppressLineNumbers/>
        <w:rPr>
          <w:rFonts w:ascii="David" w:hAnsi="David"/>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2A65F4" w:rsidR="002A65F4">
        <w:trPr>
          <w:jc w:val="center"/>
        </w:trPr>
        <w:tc>
          <w:tcPr>
            <w:tcW w:w="8820" w:type="dxa"/>
          </w:tcPr>
          <w:p w:rsidRPr="002A65F4" w:rsidR="00694556" w:rsidRDefault="00180519">
            <w:pPr>
              <w:bidi w:val="0"/>
              <w:jc w:val="center"/>
              <w:rPr>
                <w:rFonts w:ascii="David" w:hAnsi="David"/>
                <w:b/>
                <w:bCs/>
                <w:noProof w:val="0"/>
                <w:sz w:val="28"/>
                <w:szCs w:val="28"/>
                <w:u w:val="single"/>
                <w:rtl/>
              </w:rPr>
            </w:pPr>
            <w:r w:rsidRPr="002A65F4">
              <w:rPr>
                <w:rFonts w:ascii="David" w:hAnsi="David"/>
                <w:b/>
                <w:bCs/>
                <w:noProof w:val="0"/>
                <w:sz w:val="28"/>
                <w:szCs w:val="28"/>
                <w:u w:val="single"/>
                <w:rtl/>
              </w:rPr>
              <w:t>החלטה</w:t>
            </w:r>
          </w:p>
          <w:p w:rsidRPr="002A65F4" w:rsidR="00D44968" w:rsidP="00D44968" w:rsidRDefault="00D44968">
            <w:pPr>
              <w:bidi w:val="0"/>
              <w:jc w:val="center"/>
              <w:rPr>
                <w:rFonts w:ascii="David" w:hAnsi="David"/>
                <w:b/>
                <w:bCs/>
                <w:noProof w:val="0"/>
                <w:sz w:val="28"/>
                <w:szCs w:val="28"/>
                <w:u w:val="single"/>
              </w:rPr>
            </w:pPr>
          </w:p>
        </w:tc>
      </w:tr>
    </w:tbl>
    <w:p w:rsidRPr="002A65F4" w:rsidR="002A65F4" w:rsidP="002A65F4" w:rsidRDefault="002A65F4">
      <w:pPr>
        <w:spacing w:line="360" w:lineRule="auto"/>
        <w:jc w:val="both"/>
        <w:rPr>
          <w:rFonts w:ascii="David" w:hAnsi="David"/>
          <w:noProof w:val="0"/>
          <w:sz w:val="26"/>
          <w:szCs w:val="26"/>
        </w:rPr>
      </w:pPr>
      <w:bookmarkStart w:name="NGCSBookmark" w:id="0"/>
      <w:bookmarkEnd w:id="0"/>
      <w:r w:rsidRPr="002A65F4">
        <w:rPr>
          <w:rFonts w:ascii="David" w:hAnsi="David"/>
          <w:sz w:val="26"/>
          <w:szCs w:val="26"/>
          <w:rtl/>
        </w:rPr>
        <w:t xml:space="preserve">לפניי בקשה לדחיית מועד ביצועו של צו הריסה. </w:t>
      </w:r>
    </w:p>
    <w:p w:rsidRPr="002A65F4" w:rsidR="002A65F4" w:rsidP="002A65F4" w:rsidRDefault="002A65F4">
      <w:pPr>
        <w:spacing w:line="360" w:lineRule="auto"/>
        <w:jc w:val="both"/>
        <w:rPr>
          <w:rFonts w:ascii="David" w:hAnsi="David"/>
          <w:sz w:val="26"/>
          <w:szCs w:val="26"/>
        </w:rPr>
      </w:pPr>
    </w:p>
    <w:p w:rsidRPr="002A65F4" w:rsidR="002A65F4" w:rsidP="002A65F4" w:rsidRDefault="002A65F4">
      <w:pPr>
        <w:spacing w:line="360" w:lineRule="auto"/>
        <w:jc w:val="both"/>
        <w:rPr>
          <w:rFonts w:ascii="David" w:hAnsi="David"/>
          <w:sz w:val="26"/>
          <w:szCs w:val="26"/>
        </w:rPr>
      </w:pPr>
      <w:r w:rsidRPr="002A65F4">
        <w:rPr>
          <w:rFonts w:ascii="David" w:hAnsi="David"/>
          <w:sz w:val="26"/>
          <w:szCs w:val="26"/>
          <w:rtl/>
        </w:rPr>
        <w:t xml:space="preserve">המבקשת טוענת כי מדובר במבנה בשכונת צור באהר, הנמצא בתחומה של תכנית אב אותה מקדמת עירית ירושלים לשכונות צור באהר, אום טובא ואום ליסון.  ביתה של המבקשת נמצא במתחם התכנית המקודמת על ידי העיריה, ועל כן אין באפשרות המבקשת לקדם תכנית נקודתית, שכן כל ההליכים הוקפאו עד לאישור תכנית השלד. לאחר אישור תכנית האב לשכונה, תקדם המבקשת תכנית נקודתית. </w:t>
      </w:r>
    </w:p>
    <w:p w:rsidRPr="002A65F4" w:rsidR="002A65F4" w:rsidP="002A65F4" w:rsidRDefault="002A65F4">
      <w:pPr>
        <w:spacing w:line="360" w:lineRule="auto"/>
        <w:jc w:val="both"/>
        <w:rPr>
          <w:rFonts w:ascii="David" w:hAnsi="David"/>
          <w:sz w:val="26"/>
          <w:szCs w:val="26"/>
        </w:rPr>
      </w:pPr>
    </w:p>
    <w:p w:rsidRPr="002A65F4" w:rsidR="002A65F4" w:rsidP="001A1564" w:rsidRDefault="002A65F4">
      <w:pPr>
        <w:spacing w:line="360" w:lineRule="auto"/>
        <w:jc w:val="both"/>
        <w:rPr>
          <w:rFonts w:ascii="David" w:hAnsi="David"/>
          <w:sz w:val="26"/>
          <w:szCs w:val="26"/>
          <w:rtl/>
        </w:rPr>
      </w:pPr>
      <w:r w:rsidRPr="002A65F4">
        <w:rPr>
          <w:rFonts w:ascii="David" w:hAnsi="David"/>
          <w:sz w:val="26"/>
          <w:szCs w:val="26"/>
          <w:rtl/>
        </w:rPr>
        <w:t xml:space="preserve">המשיבה מתנגדת לבקשה וטוענת, כי הליכי ההכשרה נמצאים בשלבים ראשוניים בלבד וטרם הוגשה תכנית למוסודת התכנון שעתיד להכשיר את העבירה. בהעדר הליכי תכנון בפועל, ובהתחשב בוותק העבירה ובהיקפה, אין מקום לדחיית מועד ביצוע הצו.   </w:t>
      </w:r>
    </w:p>
    <w:p w:rsidRPr="002A65F4" w:rsidR="002A65F4" w:rsidP="002A65F4" w:rsidRDefault="002A65F4">
      <w:pPr>
        <w:spacing w:line="360" w:lineRule="auto"/>
        <w:jc w:val="both"/>
        <w:rPr>
          <w:rFonts w:ascii="David" w:hAnsi="David"/>
          <w:sz w:val="26"/>
          <w:szCs w:val="26"/>
          <w:rtl/>
        </w:rPr>
      </w:pPr>
    </w:p>
    <w:p w:rsidR="002A65F4" w:rsidP="001A1564" w:rsidRDefault="002A65F4">
      <w:pPr>
        <w:spacing w:line="360" w:lineRule="auto"/>
        <w:jc w:val="both"/>
        <w:rPr>
          <w:rFonts w:ascii="David" w:hAnsi="David"/>
          <w:sz w:val="26"/>
          <w:szCs w:val="26"/>
          <w:rtl/>
        </w:rPr>
      </w:pPr>
      <w:r w:rsidRPr="002A65F4">
        <w:rPr>
          <w:rFonts w:ascii="David" w:hAnsi="David"/>
          <w:sz w:val="26"/>
          <w:szCs w:val="26"/>
          <w:rtl/>
        </w:rPr>
        <w:t xml:space="preserve">בתשובה טוענת המבקשת, כי ידיה כבולות ואינה יכולה לקדם הליך תכנוני מטעמה עד לסיום מלאכת הכנת תכנית האב. </w:t>
      </w:r>
    </w:p>
    <w:p w:rsidRPr="002A65F4" w:rsidR="001A1564" w:rsidP="001A1564" w:rsidRDefault="001A1564">
      <w:pPr>
        <w:spacing w:line="360" w:lineRule="auto"/>
        <w:jc w:val="both"/>
        <w:rPr>
          <w:rFonts w:ascii="David" w:hAnsi="David"/>
          <w:sz w:val="26"/>
          <w:szCs w:val="26"/>
          <w:rtl/>
        </w:rPr>
      </w:pPr>
    </w:p>
    <w:p w:rsidRPr="002A65F4" w:rsidR="002A65F4" w:rsidP="002A65F4" w:rsidRDefault="002A65F4">
      <w:pPr>
        <w:spacing w:line="360" w:lineRule="auto"/>
        <w:jc w:val="both"/>
        <w:rPr>
          <w:rFonts w:ascii="David" w:hAnsi="David"/>
          <w:sz w:val="26"/>
          <w:szCs w:val="26"/>
          <w:rtl/>
        </w:rPr>
      </w:pPr>
      <w:r w:rsidRPr="002A65F4">
        <w:rPr>
          <w:rFonts w:ascii="David" w:hAnsi="David"/>
          <w:sz w:val="26"/>
          <w:szCs w:val="26"/>
          <w:rtl/>
        </w:rPr>
        <w:t xml:space="preserve">לאחר עיון בטענות הצדדים ובתיק בית המשפט, הגעתי למסקנה כי יש לדחות את הבקשה. </w:t>
      </w:r>
    </w:p>
    <w:p w:rsidRPr="002A65F4" w:rsidR="002A65F4" w:rsidP="002A65F4" w:rsidRDefault="002A65F4">
      <w:pPr>
        <w:spacing w:line="360" w:lineRule="auto"/>
        <w:jc w:val="both"/>
        <w:rPr>
          <w:rFonts w:ascii="David" w:hAnsi="David"/>
          <w:sz w:val="26"/>
          <w:szCs w:val="26"/>
          <w:rtl/>
        </w:rPr>
      </w:pPr>
    </w:p>
    <w:p w:rsidRPr="002A65F4" w:rsidR="002A65F4" w:rsidP="002A65F4" w:rsidRDefault="002A65F4">
      <w:pPr>
        <w:spacing w:line="360" w:lineRule="auto"/>
        <w:jc w:val="both"/>
        <w:rPr>
          <w:rStyle w:val="default"/>
          <w:rFonts w:ascii="David" w:hAnsi="David" w:cs="David"/>
          <w:rtl/>
        </w:rPr>
      </w:pPr>
      <w:r w:rsidRPr="002A65F4">
        <w:rPr>
          <w:rStyle w:val="default"/>
          <w:rFonts w:ascii="David" w:hAnsi="David" w:cs="David"/>
          <w:rtl/>
        </w:rPr>
        <w:t xml:space="preserve">נקודת המוצא לדיון בבקשה לפי סעיף 207 </w:t>
      </w:r>
      <w:r w:rsidRPr="002A65F4">
        <w:rPr>
          <w:rFonts w:ascii="David" w:hAnsi="David"/>
          <w:sz w:val="26"/>
          <w:szCs w:val="26"/>
          <w:rtl/>
        </w:rPr>
        <w:t>לתקנות התכנון והבניה (סדרי דין בבקשה לפי סעיף 207 לחוק), תשס"ט-2008</w:t>
      </w:r>
      <w:r w:rsidRPr="002A65F4">
        <w:rPr>
          <w:rStyle w:val="default"/>
          <w:rFonts w:ascii="David" w:hAnsi="David" w:cs="David"/>
          <w:rtl/>
        </w:rPr>
        <w:t xml:space="preserve">, נקבעה ע"י כב' בית המשפט העליון בשורה ארוכה של פסקי דין </w:t>
      </w:r>
      <w:r w:rsidRPr="002A65F4">
        <w:rPr>
          <w:rStyle w:val="default"/>
          <w:rFonts w:ascii="David" w:hAnsi="David" w:cs="David"/>
          <w:rtl/>
        </w:rPr>
        <w:lastRenderedPageBreak/>
        <w:t>ובכלל זה ב</w:t>
      </w:r>
      <w:r w:rsidRPr="002A65F4">
        <w:rPr>
          <w:rFonts w:ascii="David" w:hAnsi="David"/>
          <w:sz w:val="26"/>
          <w:szCs w:val="26"/>
          <w:rtl/>
        </w:rPr>
        <w:t xml:space="preserve">רע"פ 8220/15 </w:t>
      </w:r>
      <w:r w:rsidRPr="002A65F4">
        <w:rPr>
          <w:rFonts w:ascii="David" w:hAnsi="David"/>
          <w:b/>
          <w:bCs/>
          <w:sz w:val="26"/>
          <w:szCs w:val="26"/>
          <w:rtl/>
        </w:rPr>
        <w:t>רשיק כאפיה נ' מדינת ישראל</w:t>
      </w:r>
      <w:r w:rsidRPr="002A65F4">
        <w:rPr>
          <w:rFonts w:ascii="David" w:hAnsi="David"/>
          <w:sz w:val="26"/>
          <w:szCs w:val="26"/>
          <w:rtl/>
        </w:rPr>
        <w:t xml:space="preserve"> (פורסם בנבו, 27.12.15) וכן ברע"פ 9035/16 </w:t>
      </w:r>
      <w:r w:rsidRPr="002A65F4">
        <w:rPr>
          <w:rFonts w:ascii="David" w:hAnsi="David"/>
          <w:b/>
          <w:bCs/>
          <w:sz w:val="26"/>
          <w:szCs w:val="26"/>
          <w:rtl/>
        </w:rPr>
        <w:t>מחמוד דאוד נ' מדינת ישראל</w:t>
      </w:r>
      <w:r w:rsidRPr="002A65F4">
        <w:rPr>
          <w:rFonts w:ascii="David" w:hAnsi="David"/>
          <w:sz w:val="26"/>
          <w:szCs w:val="26"/>
          <w:rtl/>
        </w:rPr>
        <w:t xml:space="preserve"> (פורסם בנבו, 24.11.16) . בית המשפט שב והדגיש, כי </w:t>
      </w:r>
      <w:r w:rsidRPr="002A65F4">
        <w:rPr>
          <w:rStyle w:val="default"/>
          <w:rFonts w:ascii="David" w:hAnsi="David" w:cs="David"/>
          <w:rtl/>
        </w:rPr>
        <w:t>דחיית מועד ביצוע צו תעשה במקרים חריגים ויוצאי דופן, וזאת כאשר היתר הבנייה מצוי בהישג יד:</w:t>
      </w:r>
    </w:p>
    <w:p w:rsidRPr="002A65F4" w:rsidR="002A65F4" w:rsidP="002A65F4" w:rsidRDefault="002A65F4">
      <w:pPr>
        <w:spacing w:after="200" w:line="360" w:lineRule="auto"/>
        <w:ind w:left="720" w:right="709"/>
        <w:jc w:val="both"/>
        <w:rPr>
          <w:rFonts w:ascii="David" w:hAnsi="David"/>
          <w:b/>
          <w:bCs/>
          <w:rtl/>
        </w:rPr>
      </w:pPr>
      <w:r w:rsidRPr="002A65F4">
        <w:rPr>
          <w:rFonts w:ascii="David" w:hAnsi="David"/>
          <w:b/>
          <w:bCs/>
          <w:sz w:val="26"/>
          <w:szCs w:val="26"/>
          <w:rtl/>
        </w:rPr>
        <w:t>"</w:t>
      </w:r>
      <w:r w:rsidRPr="002A65F4">
        <w:rPr>
          <w:rFonts w:ascii="David" w:hAnsi="David"/>
          <w:sz w:val="26"/>
          <w:szCs w:val="26"/>
          <w:rtl/>
        </w:rPr>
        <w:t>הכלל הנוהג בפסיקה הוא כי ככלל, צו הריסה יבוצע במועדו, ואילו היעתרות לבקשה לדחיית המועד לביצוע הצו תיעשה רק במקרים "חריגים ויוצאי דופן", בהם היתר הבנייה מצוי בהישג יד ורק עיכוב פורמלי מעכב את קבלתו... יוטעם, כי הנטל להוכיח כי קבלת ההיתר קרובה מוטל על המבקש את עיכוב ביצוע צו ההריסה, ובעניין זה אין די בטענות בעלמא בדבר קיומו של הליך תכנוני כלשהו"</w:t>
      </w:r>
      <w:r w:rsidRPr="002A65F4">
        <w:rPr>
          <w:rFonts w:ascii="David" w:hAnsi="David"/>
          <w:b/>
          <w:bCs/>
          <w:sz w:val="26"/>
          <w:szCs w:val="26"/>
          <w:rtl/>
        </w:rPr>
        <w:t xml:space="preserve"> </w:t>
      </w:r>
      <w:r w:rsidRPr="002A65F4">
        <w:rPr>
          <w:rFonts w:ascii="David" w:hAnsi="David"/>
          <w:sz w:val="26"/>
          <w:szCs w:val="26"/>
          <w:rtl/>
        </w:rPr>
        <w:t xml:space="preserve">(רע"פ 8220/15 </w:t>
      </w:r>
      <w:r w:rsidRPr="002A65F4">
        <w:rPr>
          <w:rFonts w:ascii="David" w:hAnsi="David"/>
          <w:b/>
          <w:bCs/>
          <w:sz w:val="26"/>
          <w:szCs w:val="26"/>
          <w:rtl/>
        </w:rPr>
        <w:t>רשיק כפאיה נ' מדינת ישראל</w:t>
      </w:r>
      <w:r w:rsidRPr="002A65F4">
        <w:rPr>
          <w:rFonts w:ascii="David" w:hAnsi="David"/>
          <w:sz w:val="26"/>
          <w:szCs w:val="26"/>
          <w:rtl/>
        </w:rPr>
        <w:t>, 27/12/15 (פורסם בנבו))</w:t>
      </w:r>
      <w:r w:rsidRPr="002A65F4">
        <w:rPr>
          <w:rFonts w:ascii="David" w:hAnsi="David"/>
          <w:b/>
          <w:bCs/>
          <w:sz w:val="26"/>
          <w:szCs w:val="26"/>
          <w:rtl/>
        </w:rPr>
        <w:t>.</w:t>
      </w:r>
    </w:p>
    <w:p w:rsidRPr="002A65F4" w:rsidR="002A65F4" w:rsidP="002A65F4" w:rsidRDefault="002A65F4">
      <w:pPr>
        <w:spacing w:line="360" w:lineRule="auto"/>
        <w:jc w:val="both"/>
        <w:rPr>
          <w:rStyle w:val="default"/>
          <w:rFonts w:ascii="David" w:hAnsi="David" w:cs="David"/>
          <w:rtl/>
        </w:rPr>
      </w:pPr>
    </w:p>
    <w:p w:rsidRPr="002A65F4" w:rsidR="002A65F4" w:rsidP="001A1564" w:rsidRDefault="002A65F4">
      <w:pPr>
        <w:spacing w:line="360" w:lineRule="auto"/>
        <w:jc w:val="both"/>
        <w:rPr>
          <w:rFonts w:ascii="David" w:hAnsi="David"/>
          <w:rtl/>
        </w:rPr>
      </w:pPr>
      <w:r w:rsidRPr="002A65F4">
        <w:rPr>
          <w:rStyle w:val="default"/>
          <w:rFonts w:ascii="David" w:hAnsi="David" w:cs="David"/>
          <w:rtl/>
        </w:rPr>
        <w:t xml:space="preserve">במקרה זה, מדובר בבנייה ללא היתר, אשר ניצבת על תילה משנת 2001, וטרם הוכשרה. </w:t>
      </w:r>
      <w:r w:rsidRPr="002A65F4">
        <w:rPr>
          <w:rFonts w:ascii="David" w:hAnsi="David"/>
          <w:sz w:val="26"/>
          <w:szCs w:val="26"/>
          <w:rtl/>
        </w:rPr>
        <w:t xml:space="preserve">חרף הזמן הרב שחלף מאז ביצוע העבירה, המבקשת לא הראתה התקדמות ממשית בהליכי התכנון. מן הבקשה עולה, כי בפועל לא קיימים הליכי תכנון שנועדו להכשיר את העבירה, הליכי התכנון נמצאים בשלב ראשוני ובוסרי ובוודאי שלא ניתן לומר כי ההיתר הוא </w:t>
      </w:r>
      <w:r w:rsidRPr="002A65F4">
        <w:rPr>
          <w:rFonts w:ascii="David" w:hAnsi="David"/>
          <w:sz w:val="26"/>
          <w:szCs w:val="26"/>
        </w:rPr>
        <w:t xml:space="preserve">  </w:t>
      </w:r>
      <w:r w:rsidRPr="002A65F4">
        <w:rPr>
          <w:rFonts w:ascii="David" w:hAnsi="David"/>
          <w:sz w:val="26"/>
          <w:szCs w:val="26"/>
          <w:rtl/>
        </w:rPr>
        <w:t xml:space="preserve">"בהישג יד". </w:t>
      </w:r>
    </w:p>
    <w:p w:rsidRPr="002A65F4" w:rsidR="002A65F4" w:rsidP="002A65F4" w:rsidRDefault="002A65F4">
      <w:pPr>
        <w:spacing w:line="360" w:lineRule="auto"/>
        <w:jc w:val="both"/>
        <w:rPr>
          <w:rStyle w:val="default"/>
          <w:rFonts w:ascii="David" w:hAnsi="David" w:cs="David"/>
          <w:rtl/>
        </w:rPr>
      </w:pPr>
    </w:p>
    <w:p w:rsidRPr="002A65F4" w:rsidR="002A65F4" w:rsidP="002A65F4" w:rsidRDefault="002A65F4">
      <w:pPr>
        <w:spacing w:line="360" w:lineRule="auto"/>
        <w:jc w:val="both"/>
        <w:rPr>
          <w:rFonts w:ascii="David" w:hAnsi="David"/>
          <w:rtl/>
        </w:rPr>
      </w:pPr>
      <w:r w:rsidRPr="002A65F4">
        <w:rPr>
          <w:rFonts w:ascii="David" w:hAnsi="David"/>
          <w:sz w:val="26"/>
          <w:szCs w:val="26"/>
          <w:rtl/>
        </w:rPr>
        <w:t>אשר לטענת המבקשת, כי העיכוב בהכשרת הבנייה מקורו בעירית ירושלים אשר מקדמת תכנית אב באזור, וכי עד שלא תאושר תכנית האב לא ניתן יהיה להגיש תכנית נקודתית, הרי שלנוכח הוותק של העבירה, נימוק זה אינו יכול להצדיק מתו ארכה. בעניין זה נפסק, כי מתן אורכות חוזרות לביצוע צווי הריסה בשל גרירת רגליים של הרשויות בהליכי התכנון הינו בגדר ריפוי רעה חולה אחת באמצעות רעה אחרת, חולה לא פחות, ומשמעו פתיחת פתח להפקרות ולגישה של "איש הישר בעיניו יעשה" (</w:t>
      </w:r>
      <w:hyperlink w:history="1" r:id="rId9">
        <w:r w:rsidRPr="002A65F4">
          <w:rPr>
            <w:rStyle w:val="Hyperlink"/>
            <w:rFonts w:ascii="David" w:hAnsi="David"/>
            <w:color w:val="auto"/>
            <w:sz w:val="26"/>
            <w:szCs w:val="26"/>
            <w:u w:val="none"/>
            <w:rtl/>
          </w:rPr>
          <w:t>רע"פ 2885/08</w:t>
        </w:r>
      </w:hyperlink>
      <w:r w:rsidRPr="002A65F4">
        <w:rPr>
          <w:rFonts w:ascii="David" w:hAnsi="David"/>
          <w:sz w:val="26"/>
          <w:szCs w:val="26"/>
          <w:rtl/>
        </w:rPr>
        <w:t xml:space="preserve"> </w:t>
      </w:r>
      <w:r w:rsidRPr="002A65F4">
        <w:rPr>
          <w:rFonts w:ascii="David" w:hAnsi="David"/>
          <w:b/>
          <w:bCs/>
          <w:sz w:val="26"/>
          <w:szCs w:val="26"/>
          <w:rtl/>
        </w:rPr>
        <w:t>הוועדה לתכנון ובניה ת"א  נ' דכה</w:t>
      </w:r>
      <w:r w:rsidRPr="002A65F4">
        <w:rPr>
          <w:rFonts w:ascii="David" w:hAnsi="David"/>
          <w:sz w:val="26"/>
          <w:szCs w:val="26"/>
          <w:rtl/>
        </w:rPr>
        <w:t xml:space="preserve"> (פורסם בנבו, 22.11.09)).</w:t>
      </w:r>
    </w:p>
    <w:p w:rsidRPr="002A65F4" w:rsidR="002A65F4" w:rsidP="002A65F4" w:rsidRDefault="002A65F4">
      <w:pPr>
        <w:spacing w:line="360" w:lineRule="auto"/>
        <w:jc w:val="both"/>
        <w:rPr>
          <w:rStyle w:val="default"/>
          <w:rFonts w:ascii="David" w:hAnsi="David" w:cs="David"/>
          <w:rtl/>
        </w:rPr>
      </w:pPr>
    </w:p>
    <w:p w:rsidRPr="002A65F4" w:rsidR="002A65F4" w:rsidP="002A65F4" w:rsidRDefault="002A65F4">
      <w:pPr>
        <w:spacing w:line="360" w:lineRule="auto"/>
        <w:jc w:val="both"/>
        <w:rPr>
          <w:rFonts w:ascii="David" w:hAnsi="David"/>
          <w:rtl/>
        </w:rPr>
      </w:pPr>
      <w:r w:rsidRPr="002A65F4">
        <w:rPr>
          <w:rStyle w:val="default"/>
          <w:rFonts w:ascii="David" w:hAnsi="David" w:cs="David"/>
          <w:rtl/>
        </w:rPr>
        <w:t xml:space="preserve">לנוכח הוותק של העבירה והיקפה, הרי שבהעדר אופק תכנוני ברור וקרוב להכשרת המבנה, ומשלא הוכחה התקדמות ממשית בהליכי הכשרת הבניה, האינטרס הציבורי </w:t>
      </w:r>
      <w:r w:rsidRPr="002A65F4">
        <w:rPr>
          <w:rFonts w:ascii="David" w:hAnsi="David"/>
          <w:sz w:val="26"/>
          <w:szCs w:val="26"/>
          <w:rtl/>
        </w:rPr>
        <w:t xml:space="preserve">המחייב ביצוע צווי ההריסה לאלתר, וזאת כדי למגר עבירות של בנייה בלתי חוקית ולאכוף את צווי בית המשפט, גובר על האינטרס הפרטי (ראו: ע"פ (י-ם) 36881-03-13 </w:t>
      </w:r>
      <w:r w:rsidRPr="002A65F4">
        <w:rPr>
          <w:rFonts w:ascii="David" w:hAnsi="David"/>
          <w:b/>
          <w:bCs/>
          <w:sz w:val="26"/>
          <w:szCs w:val="26"/>
          <w:rtl/>
        </w:rPr>
        <w:t>סנאא עטיה נ' מדינת ישראל</w:t>
      </w:r>
      <w:r w:rsidRPr="002A65F4">
        <w:rPr>
          <w:rFonts w:ascii="David" w:hAnsi="David"/>
          <w:sz w:val="26"/>
          <w:szCs w:val="26"/>
          <w:rtl/>
        </w:rPr>
        <w:t xml:space="preserve"> (פורסם בנבו), 17/07/13). </w:t>
      </w:r>
    </w:p>
    <w:p w:rsidRPr="002A65F4" w:rsidR="002A65F4" w:rsidP="002A65F4" w:rsidRDefault="002A65F4">
      <w:pPr>
        <w:spacing w:line="360" w:lineRule="auto"/>
        <w:jc w:val="both"/>
        <w:rPr>
          <w:rStyle w:val="default"/>
          <w:rFonts w:ascii="David" w:hAnsi="David" w:cs="David"/>
          <w:noProof w:val="0"/>
          <w:rtl/>
        </w:rPr>
      </w:pPr>
      <w:bookmarkStart w:name="_GoBack" w:id="1"/>
      <w:bookmarkEnd w:id="1"/>
      <w:r w:rsidRPr="002A65F4">
        <w:rPr>
          <w:rStyle w:val="default"/>
          <w:rFonts w:ascii="David" w:hAnsi="David" w:cs="David"/>
          <w:rtl/>
        </w:rPr>
        <w:lastRenderedPageBreak/>
        <w:t xml:space="preserve">לפיכך, הבקשה נדחית. </w:t>
      </w:r>
    </w:p>
    <w:p w:rsidRPr="002A65F4" w:rsidR="002A65F4" w:rsidP="002A65F4" w:rsidRDefault="002A65F4">
      <w:pPr>
        <w:spacing w:line="360" w:lineRule="auto"/>
        <w:jc w:val="both"/>
        <w:rPr>
          <w:rFonts w:ascii="David" w:hAnsi="David"/>
          <w:rtl/>
        </w:rPr>
      </w:pPr>
    </w:p>
    <w:p w:rsidRPr="002A65F4" w:rsidR="002A65F4" w:rsidP="002A65F4" w:rsidRDefault="002A65F4">
      <w:pPr>
        <w:spacing w:line="360" w:lineRule="auto"/>
        <w:jc w:val="both"/>
        <w:rPr>
          <w:rFonts w:ascii="David" w:hAnsi="David"/>
          <w:noProof w:val="0"/>
          <w:sz w:val="26"/>
          <w:szCs w:val="26"/>
          <w:rtl/>
        </w:rPr>
      </w:pPr>
    </w:p>
    <w:p w:rsidRPr="002A65F4" w:rsidR="00694556" w:rsidRDefault="00694556">
      <w:pPr>
        <w:spacing w:line="360" w:lineRule="auto"/>
        <w:jc w:val="both"/>
        <w:rPr>
          <w:rFonts w:ascii="David" w:hAnsi="David"/>
          <w:noProof w:val="0"/>
          <w:rtl/>
        </w:rPr>
      </w:pPr>
    </w:p>
    <w:p w:rsidRPr="002A65F4" w:rsidR="00694556" w:rsidRDefault="00694556">
      <w:pPr>
        <w:spacing w:line="360" w:lineRule="auto"/>
        <w:jc w:val="both"/>
        <w:rPr>
          <w:rFonts w:ascii="David" w:hAnsi="David"/>
          <w:noProof w:val="0"/>
          <w:rtl/>
        </w:rPr>
      </w:pPr>
    </w:p>
    <w:p w:rsidRPr="002A65F4" w:rsidR="00694556" w:rsidRDefault="00694556">
      <w:pPr>
        <w:spacing w:line="360" w:lineRule="auto"/>
        <w:jc w:val="both"/>
        <w:rPr>
          <w:rFonts w:ascii="David" w:hAnsi="David"/>
          <w:noProof w:val="0"/>
          <w:rtl/>
        </w:rPr>
      </w:pPr>
    </w:p>
    <w:p w:rsidRPr="002A65F4" w:rsidR="00694556" w:rsidRDefault="00694556">
      <w:pPr>
        <w:spacing w:line="360" w:lineRule="auto"/>
        <w:jc w:val="both"/>
        <w:rPr>
          <w:rFonts w:ascii="David" w:hAnsi="David"/>
          <w:noProof w:val="0"/>
          <w:rtl/>
        </w:rPr>
      </w:pPr>
    </w:p>
    <w:p w:rsidRPr="002A65F4" w:rsidR="00694556" w:rsidRDefault="00694556">
      <w:pPr>
        <w:spacing w:line="360" w:lineRule="auto"/>
        <w:jc w:val="both"/>
        <w:rPr>
          <w:rFonts w:ascii="David" w:hAnsi="David"/>
          <w:noProof w:val="0"/>
          <w:rtl/>
        </w:rPr>
      </w:pPr>
    </w:p>
    <w:p w:rsidRPr="002A65F4" w:rsidR="00694556" w:rsidRDefault="00694556">
      <w:pPr>
        <w:spacing w:line="360" w:lineRule="auto"/>
        <w:jc w:val="both"/>
        <w:rPr>
          <w:rFonts w:ascii="David" w:hAnsi="David"/>
          <w:noProof w:val="0"/>
          <w:rtl/>
        </w:rPr>
      </w:pPr>
    </w:p>
    <w:p w:rsidRPr="002A65F4" w:rsidR="00694556" w:rsidRDefault="0043502B">
      <w:pPr>
        <w:spacing w:line="360" w:lineRule="auto"/>
        <w:jc w:val="both"/>
        <w:rPr>
          <w:rFonts w:ascii="David" w:hAnsi="David"/>
          <w:noProof w:val="0"/>
          <w:rtl/>
        </w:rPr>
      </w:pPr>
      <w:r w:rsidRPr="002A65F4">
        <w:rPr>
          <w:rFonts w:ascii="David" w:hAnsi="David"/>
          <w:noProof w:val="0"/>
          <w:rtl/>
        </w:rPr>
        <w:t>ניתנה</w:t>
      </w:r>
      <w:r w:rsidRPr="002A65F4" w:rsidR="00005C8B">
        <w:rPr>
          <w:rFonts w:ascii="David" w:hAnsi="David"/>
          <w:noProof w:val="0"/>
          <w:rtl/>
        </w:rPr>
        <w:t xml:space="preserve"> היום, </w:t>
      </w:r>
      <w:sdt>
        <w:sdtPr>
          <w:rPr>
            <w:rFonts w:ascii="David" w:hAnsi="David"/>
            <w:rtl/>
          </w:rPr>
          <w:alias w:val="1455"/>
          <w:tag w:val="1455"/>
          <w:id w:val="1666048407"/>
          <w:text w:multiLine="1"/>
        </w:sdtPr>
        <w:sdtEndPr/>
        <w:sdtContent>
          <w:r>
            <w:rPr>
              <w:rFonts w:ascii="David" w:hAnsi="David"/>
              <w:noProof w:val="0"/>
              <w:rtl/>
            </w:rPr>
            <w:t>כ"ה ניסן תשע"ח</w:t>
          </w:r>
        </w:sdtContent>
      </w:sdt>
      <w:r w:rsidRPr="002A65F4" w:rsidR="00005C8B">
        <w:rPr>
          <w:rFonts w:ascii="David" w:hAnsi="David"/>
          <w:noProof w:val="0"/>
          <w:rtl/>
        </w:rPr>
        <w:t xml:space="preserve">, </w:t>
      </w:r>
      <w:sdt>
        <w:sdtPr>
          <w:rPr>
            <w:rFonts w:ascii="David" w:hAnsi="David"/>
            <w:rtl/>
          </w:rPr>
          <w:alias w:val="1456"/>
          <w:tag w:val="1456"/>
          <w:id w:val="-1186288958"/>
          <w:text w:multiLine="1"/>
        </w:sdtPr>
        <w:sdtEndPr/>
        <w:sdtContent>
          <w:r>
            <w:rPr>
              <w:rFonts w:ascii="David" w:hAnsi="David"/>
              <w:noProof w:val="0"/>
              <w:rtl/>
            </w:rPr>
            <w:t>10 אפריל 2018</w:t>
          </w:r>
        </w:sdtContent>
      </w:sdt>
      <w:r w:rsidRPr="002A65F4" w:rsidR="00005C8B">
        <w:rPr>
          <w:rFonts w:ascii="David" w:hAnsi="David"/>
          <w:noProof w:val="0"/>
          <w:rtl/>
        </w:rPr>
        <w:t>, בהעדר הצדדים.</w:t>
      </w:r>
    </w:p>
    <w:p w:rsidRPr="002A65F4" w:rsidR="00C43648" w:rsidP="00BD6531" w:rsidRDefault="00B6020A">
      <w:pPr>
        <w:tabs>
          <w:tab w:val="left" w:pos="2553"/>
        </w:tabs>
        <w:ind w:left="5040"/>
        <w:rPr>
          <w:rFonts w:ascii="David" w:hAnsi="David"/>
          <w:rtl/>
        </w:rPr>
      </w:pPr>
      <w:sdt>
        <w:sdtPr>
          <w:rPr>
            <w:rFonts w:ascii="David" w:hAnsi="David"/>
            <w:rtl/>
          </w:rPr>
          <w:alias w:val="2045"/>
          <w:tag w:val="2045"/>
          <w:id w:val="740689340"/>
          <w:placeholder>
            <w:docPart w:val="E460D38E05664FF79D4EFF282EF8EC99"/>
          </w:placeholder>
          <w:showingPlcHdr/>
          <w:text w:multiLine="1"/>
        </w:sdtPr>
        <w:sdtEndPr/>
        <w:sdtContent>
          <w:r w:rsidRPr="002A65F4" w:rsidR="00C43648">
            <w:rPr>
              <w:rFonts w:ascii="David" w:hAnsi="David"/>
              <w:rtl/>
            </w:rPr>
            <w:t xml:space="preserve">     </w:t>
          </w:r>
        </w:sdtContent>
      </w:sdt>
    </w:p>
    <w:p w:rsidRPr="002A65F4" w:rsidR="00694556" w:rsidP="00BD6531" w:rsidRDefault="00BD6531">
      <w:pPr>
        <w:tabs>
          <w:tab w:val="left" w:pos="2553"/>
        </w:tabs>
        <w:rPr>
          <w:rFonts w:ascii="David" w:hAnsi="David"/>
          <w:noProof w:val="0"/>
          <w:rtl/>
        </w:rPr>
      </w:pPr>
      <w:r w:rsidRPr="002A65F4">
        <w:rPr>
          <w:rFonts w:ascii="David" w:hAnsi="David"/>
          <w:rtl/>
        </w:rPr>
        <w:tab/>
      </w:r>
      <w:r w:rsidRPr="002A65F4">
        <w:rPr>
          <w:rFonts w:ascii="David" w:hAnsi="David"/>
          <w:rtl/>
        </w:rPr>
        <w:tab/>
      </w:r>
      <w:r w:rsidRPr="002A65F4">
        <w:rPr>
          <w:rFonts w:ascii="David" w:hAnsi="David"/>
          <w:rtl/>
        </w:rPr>
        <w:tab/>
      </w:r>
      <w:r w:rsidRPr="002A65F4">
        <w:rPr>
          <w:rFonts w:ascii="David" w:hAnsi="David"/>
          <w:rtl/>
        </w:rPr>
        <w:tab/>
        <w:t xml:space="preserve">        </w:t>
      </w:r>
      <w:sdt>
        <w:sdtPr>
          <w:alias w:val="MergeField"/>
          <w:tag w:val="1237"/>
        </w:sdtPr>
        <w:sdtContent>
          <w:p>
            <w:r>
              <w:drawing>
                <wp:inline distT="0" distB="0" distL="0" distR="0" wp14:editId="50D07946">
                  <wp:extent cx="1485900" cy="137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2f78d06c0a049f8" cstate="print">
                            <a:extLst>
                              <a:ext uri="{28A0092B-C50C-407E-A947-70E740481C1C}"/>
                            </a:extLst>
                          </a:blip>
                          <a:stretch>
                            <a:fillRect/>
                          </a:stretch>
                        </pic:blipFill>
                        <pic:spPr>
                          <a:xfrm>
                            <a:off x="0" y="0"/>
                            <a:ext cx="1485900" cy="1376172"/>
                          </a:xfrm>
                          <a:prstGeom prst="rect">
                            <a:avLst/>
                          </a:prstGeom>
                        </pic:spPr>
                      </pic:pic>
                    </a:graphicData>
                  </a:graphic>
                </wp:inline>
              </w:drawing>
            </w:r>
          </w:p>
        </w:sdtContent>
      </w:sdt>
    </w:p>
    <w:sectPr w:rsidRPr="002A65F4"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F4" w:rsidRDefault="002A65F4">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6020A">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6020A">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F4" w:rsidRDefault="002A65F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F4" w:rsidRDefault="002A65F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A65F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6A2FB771" wp14:editId="439D51F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לעניינים מקומיים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6020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תו"ב</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124-05-01</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ג'בריאן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3170/2001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F4" w:rsidRDefault="002A65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A1564"/>
    <w:rsid w:val="001C4003"/>
    <w:rsid w:val="001D4DBF"/>
    <w:rsid w:val="001E75CA"/>
    <w:rsid w:val="002265FF"/>
    <w:rsid w:val="00271B56"/>
    <w:rsid w:val="0027532A"/>
    <w:rsid w:val="002A65F4"/>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0704"/>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7353B"/>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6020A"/>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FC133F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uiPriority w:val="99"/>
    <w:semiHidden/>
    <w:unhideWhenUsed/>
    <w:rsid w:val="002A65F4"/>
    <w:rPr>
      <w:color w:val="0563C1"/>
      <w:u w:val="single"/>
    </w:rPr>
  </w:style>
  <w:style w:type="character" w:customStyle="1" w:styleId="default">
    <w:name w:val="default"/>
    <w:rsid w:val="002A65F4"/>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4795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case/5671007" TargetMode="External" Id="rId9" /><Relationship Type="http://schemas.openxmlformats.org/officeDocument/2006/relationships/header" Target="header3.xml" Id="rId14" /><Relationship Type="http://schemas.openxmlformats.org/officeDocument/2006/relationships/image" Target="/media/image2.jpg" Id="R62f78d06c0a049f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B3FF7" w:rsidP="00EB3FF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EB3FF7"/>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3FF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B3FF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511</Words>
  <Characters>2555</Characters>
  <Application>Microsoft Office Word</Application>
  <DocSecurity>0</DocSecurity>
  <Lines>21</Lines>
  <Paragraphs>6</Paragraphs>
  <ScaleCrop>false</ScaleCrop>
  <Company>Microsoft Corporation</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Court</cp:lastModifiedBy>
  <cp:revision>120</cp:revision>
  <dcterms:created xsi:type="dcterms:W3CDTF">2012-08-06T05:16:00Z</dcterms:created>
  <dcterms:modified xsi:type="dcterms:W3CDTF">2018-04-10T08:32:00Z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