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שופטת</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הדס עובדיה</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C76E3B" w:rsidP="004231A6" w:rsidRDefault="004231A6">
                <w:pPr>
                  <w:rPr>
                    <w:rFonts w:ascii="Arial (W1)" w:hAnsi="Arial (W1)"/>
                    <w:b/>
                    <w:bCs/>
                    <w:noProof w:val="0"/>
                    <w:sz w:val="28"/>
                    <w:szCs w:val="28"/>
                  </w:rPr>
                </w:pPr>
                <w:r>
                  <w:rPr>
                    <w:rFonts w:hint="cs"/>
                    <w:b/>
                    <w:bCs/>
                    <w:noProof w:val="0"/>
                    <w:sz w:val="28"/>
                    <w:rtl/>
                  </w:rPr>
                  <w:t>מבקשים</w:t>
                </w:r>
              </w:p>
            </w:sdtContent>
          </w:sdt>
        </w:tc>
        <w:tc>
          <w:tcPr>
            <w:tcW w:w="5571" w:type="dxa"/>
          </w:tcPr>
          <w:p w:rsidR="006816EC" w:rsidRDefault="006816EC">
            <w:pPr>
              <w:rPr>
                <w:rFonts w:ascii="Arial (W1)" w:hAnsi="Arial (W1)"/>
                <w:b/>
                <w:bCs/>
                <w:noProof w:val="0"/>
                <w:sz w:val="28"/>
                <w:szCs w:val="28"/>
                <w:rtl/>
              </w:rPr>
            </w:pPr>
          </w:p>
          <w:p w:rsidR="006816EC" w:rsidRDefault="00BA184F">
            <w:pPr>
              <w:rPr>
                <w:rFonts w:ascii="Arial (W1)" w:hAnsi="Arial (W1)"/>
                <w:b/>
                <w:bCs/>
                <w:noProof w:val="0"/>
                <w:sz w:val="28"/>
                <w:szCs w:val="28"/>
              </w:rPr>
            </w:pPr>
            <w:sdt>
              <w:sdtPr>
                <w:rPr>
                  <w:rFonts w:hint="cs"/>
                  <w:rtl/>
                </w:rPr>
                <w:alias w:val="1462"/>
                <w:tag w:val="1462"/>
                <w:id w:val="-1143353124"/>
                <w:text w:multiLine="1"/>
              </w:sdtPr>
              <w:sdtEndPr/>
              <w:sdtContent>
                <w:r w:rsidR="00D36A71">
                  <w:rPr>
                    <w:rFonts w:hint="cs"/>
                    <w:b/>
                    <w:bCs/>
                    <w:noProof w:val="0"/>
                    <w:sz w:val="28"/>
                    <w:rtl/>
                  </w:rPr>
                  <w:t>1</w:t>
                </w:r>
              </w:sdtContent>
            </w:sdt>
            <w:r w:rsidR="006816EC">
              <w:rPr>
                <w:rFonts w:hint="cs"/>
                <w:b/>
                <w:bCs/>
                <w:noProof w:val="0"/>
                <w:sz w:val="28"/>
                <w:rtl/>
              </w:rPr>
              <w:t>.</w:t>
            </w:r>
            <w:sdt>
              <w:sdtPr>
                <w:rPr>
                  <w:rFonts w:hint="cs"/>
                  <w:rtl/>
                </w:rPr>
                <w:alias w:val="1478"/>
                <w:tag w:val="1478"/>
                <w:id w:val="160126198"/>
                <w:text w:multiLine="1"/>
              </w:sdtPr>
              <w:sdtEndPr/>
              <w:sdtContent>
                <w:r w:rsidR="00D36A71">
                  <w:rPr>
                    <w:rFonts w:hint="cs"/>
                    <w:b/>
                    <w:bCs/>
                    <w:noProof w:val="0"/>
                    <w:sz w:val="28"/>
                    <w:rtl/>
                  </w:rPr>
                  <w:t>עו"ד אדי בליטשטיין</w:t>
                </w:r>
              </w:sdtContent>
            </w:sdt>
          </w:p>
          <w:p w:rsidR="006816EC" w:rsidRDefault="00BA184F">
            <w:pPr>
              <w:rPr>
                <w:rFonts w:ascii="Arial (W1)" w:hAnsi="Arial (W1)"/>
                <w:b/>
                <w:bCs/>
                <w:noProof w:val="0"/>
                <w:sz w:val="28"/>
                <w:szCs w:val="28"/>
              </w:rPr>
            </w:pPr>
            <w:sdt>
              <w:sdtPr>
                <w:rPr>
                  <w:rFonts w:hint="cs"/>
                  <w:rtl/>
                </w:rPr>
                <w:alias w:val="1462"/>
                <w:tag w:val="1462"/>
                <w:id w:val="-874380319"/>
                <w:text w:multiLine="1"/>
              </w:sdtPr>
              <w:sdtEndPr/>
              <w:sdtContent>
                <w:r w:rsidR="00D36A71">
                  <w:rPr>
                    <w:rFonts w:hint="cs"/>
                    <w:b/>
                    <w:bCs/>
                    <w:noProof w:val="0"/>
                    <w:sz w:val="28"/>
                    <w:rtl/>
                  </w:rPr>
                  <w:t>2</w:t>
                </w:r>
              </w:sdtContent>
            </w:sdt>
            <w:r w:rsidR="006816EC">
              <w:rPr>
                <w:rFonts w:hint="cs"/>
                <w:b/>
                <w:bCs/>
                <w:noProof w:val="0"/>
                <w:sz w:val="28"/>
                <w:rtl/>
              </w:rPr>
              <w:t>.</w:t>
            </w:r>
            <w:sdt>
              <w:sdtPr>
                <w:rPr>
                  <w:rFonts w:hint="cs"/>
                  <w:rtl/>
                </w:rPr>
                <w:alias w:val="1478"/>
                <w:tag w:val="1478"/>
                <w:id w:val="-290914376"/>
                <w:text w:multiLine="1"/>
              </w:sdtPr>
              <w:sdtEndPr/>
              <w:sdtContent>
                <w:r w:rsidR="00D36A71">
                  <w:rPr>
                    <w:rFonts w:hint="cs"/>
                    <w:b/>
                    <w:bCs/>
                    <w:noProof w:val="0"/>
                    <w:sz w:val="28"/>
                    <w:rtl/>
                  </w:rPr>
                  <w:t>ארז קינן</w:t>
                </w:r>
              </w:sdtContent>
            </w:sdt>
          </w:p>
          <w:p w:rsidR="006816EC" w:rsidP="004231A6" w:rsidRDefault="00BA184F">
            <w:pPr>
              <w:rPr>
                <w:rFonts w:ascii="Arial (W1)" w:hAnsi="Arial (W1)"/>
                <w:b/>
                <w:bCs/>
                <w:noProof w:val="0"/>
                <w:sz w:val="28"/>
                <w:szCs w:val="28"/>
              </w:rPr>
            </w:pPr>
            <w:sdt>
              <w:sdtPr>
                <w:rPr>
                  <w:rFonts w:hint="cs"/>
                  <w:rtl/>
                </w:rPr>
                <w:alias w:val="1462"/>
                <w:tag w:val="1462"/>
                <w:id w:val="1404870483"/>
                <w:text w:multiLine="1"/>
              </w:sdtPr>
              <w:sdtEndPr/>
              <w:sdtContent>
                <w:r w:rsidR="00D36A71">
                  <w:rPr>
                    <w:rFonts w:hint="cs"/>
                    <w:b/>
                    <w:bCs/>
                    <w:noProof w:val="0"/>
                    <w:sz w:val="28"/>
                    <w:rtl/>
                  </w:rPr>
                  <w:t>3</w:t>
                </w:r>
              </w:sdtContent>
            </w:sdt>
            <w:r w:rsidR="006816EC">
              <w:rPr>
                <w:rFonts w:hint="cs"/>
                <w:b/>
                <w:bCs/>
                <w:noProof w:val="0"/>
                <w:sz w:val="28"/>
                <w:rtl/>
              </w:rPr>
              <w:t>.</w:t>
            </w:r>
            <w:sdt>
              <w:sdtPr>
                <w:rPr>
                  <w:rFonts w:hint="cs" w:asciiTheme="minorHAnsi" w:hAnsiTheme="minorHAnsi"/>
                  <w:b/>
                  <w:bCs/>
                  <w:noProof w:val="0"/>
                  <w:rtl/>
                </w:rPr>
                <w:alias w:val="1478"/>
                <w:tag w:val="1478"/>
                <w:id w:val="1178850987"/>
                <w:text w:multiLine="1"/>
              </w:sdtPr>
              <w:sdtEndPr/>
              <w:sdtContent>
                <w:r w:rsidRPr="004231A6" w:rsidR="004231A6">
                  <w:rPr>
                    <w:rFonts w:hint="cs" w:asciiTheme="minorHAnsi" w:hAnsiTheme="minorHAnsi"/>
                    <w:b/>
                    <w:bCs/>
                    <w:noProof w:val="0"/>
                    <w:rtl/>
                  </w:rPr>
                  <w:t>יובל סרג'</w:t>
                </w:r>
              </w:sdtContent>
            </w:sdt>
          </w:p>
        </w:tc>
      </w:tr>
      <w:tr w:rsidR="006816EC" w:rsidTr="006816EC">
        <w:trPr>
          <w:jc w:val="center"/>
        </w:trPr>
        <w:tc>
          <w:tcPr>
            <w:tcW w:w="8820" w:type="dxa"/>
            <w:gridSpan w:val="3"/>
          </w:tcPr>
          <w:p w:rsidR="006816EC" w:rsidP="004231A6" w:rsidRDefault="004231A6">
            <w:pPr>
              <w:spacing w:before="120" w:line="276" w:lineRule="auto"/>
              <w:rPr>
                <w:rFonts w:ascii="Arial (W1)" w:hAnsi="Arial (W1)"/>
                <w:b/>
                <w:bCs/>
                <w:noProof w:val="0"/>
                <w:sz w:val="28"/>
                <w:szCs w:val="28"/>
                <w:rtl/>
              </w:rPr>
            </w:pPr>
            <w:r>
              <w:rPr>
                <w:rFonts w:hint="cs" w:asciiTheme="minorHAnsi" w:hAnsiTheme="minorHAnsi"/>
                <w:noProof w:val="0"/>
                <w:rtl/>
              </w:rPr>
              <w:t xml:space="preserve">                                                             </w:t>
            </w:r>
            <w:r w:rsidRPr="004231A6">
              <w:rPr>
                <w:rFonts w:hint="cs" w:asciiTheme="minorHAnsi" w:hAnsiTheme="minorHAnsi"/>
                <w:noProof w:val="0"/>
                <w:rtl/>
              </w:rPr>
              <w:t xml:space="preserve">באמצעות </w:t>
            </w:r>
            <w:r w:rsidRPr="004231A6">
              <w:rPr>
                <w:rFonts w:asciiTheme="minorHAnsi" w:hAnsiTheme="minorHAnsi"/>
                <w:noProof w:val="0"/>
                <w:rtl/>
              </w:rPr>
              <w:t>עו</w:t>
            </w:r>
            <w:r w:rsidRPr="004231A6">
              <w:rPr>
                <w:rFonts w:hint="cs" w:asciiTheme="minorHAnsi" w:hAnsiTheme="minorHAnsi"/>
                <w:noProof w:val="0"/>
                <w:rtl/>
              </w:rPr>
              <w:t>ה</w:t>
            </w:r>
            <w:r w:rsidRPr="004231A6">
              <w:rPr>
                <w:rFonts w:asciiTheme="minorHAnsi" w:hAnsiTheme="minorHAnsi"/>
                <w:noProof w:val="0"/>
                <w:rtl/>
              </w:rPr>
              <w:t xml:space="preserve">"ד אדי בליטשטיין </w:t>
            </w:r>
            <w:r w:rsidRPr="004231A6">
              <w:rPr>
                <w:rFonts w:hint="cs" w:asciiTheme="minorHAnsi" w:hAnsiTheme="minorHAnsi"/>
                <w:noProof w:val="0"/>
                <w:rtl/>
              </w:rPr>
              <w:t>ו</w:t>
            </w:r>
            <w:r w:rsidR="00E8351A">
              <w:rPr>
                <w:rFonts w:hint="cs" w:asciiTheme="minorHAnsi" w:hAnsiTheme="minorHAnsi"/>
                <w:noProof w:val="0"/>
                <w:rtl/>
              </w:rPr>
              <w:t xml:space="preserve">עו"ד </w:t>
            </w:r>
            <w:r w:rsidRPr="004231A6">
              <w:rPr>
                <w:rFonts w:asciiTheme="minorHAnsi" w:hAnsiTheme="minorHAnsi"/>
                <w:noProof w:val="0"/>
                <w:rtl/>
              </w:rPr>
              <w:t>רועי שפריר</w:t>
            </w:r>
          </w:p>
          <w:p w:rsidR="004231A6" w:rsidRDefault="004231A6">
            <w:pPr>
              <w:jc w:val="center"/>
              <w:rPr>
                <w:b/>
                <w:bCs/>
                <w:noProof w:val="0"/>
                <w:sz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P="004231A6" w:rsidRDefault="00BA184F">
            <w:pPr>
              <w:rPr>
                <w:rFonts w:ascii="Arial (W1)" w:hAnsi="Arial (W1)"/>
                <w:b/>
                <w:bCs/>
                <w:noProof w:val="0"/>
                <w:sz w:val="28"/>
                <w:szCs w:val="28"/>
              </w:rPr>
            </w:pPr>
            <w:sdt>
              <w:sdtPr>
                <w:rPr>
                  <w:rFonts w:hint="cs"/>
                  <w:rtl/>
                </w:rPr>
                <w:alias w:val="1184"/>
                <w:tag w:val="1184"/>
                <w:id w:val="-910234160"/>
                <w:text w:multiLine="1"/>
              </w:sdtPr>
              <w:sdtEndPr/>
              <w:sdtContent>
                <w:r w:rsidR="004231A6">
                  <w:rPr>
                    <w:rFonts w:hint="cs"/>
                    <w:b/>
                    <w:bCs/>
                    <w:noProof w:val="0"/>
                    <w:sz w:val="28"/>
                    <w:rtl/>
                  </w:rPr>
                  <w:t>משיבה</w:t>
                </w:r>
              </w:sdtContent>
            </w:sdt>
          </w:p>
        </w:tc>
        <w:tc>
          <w:tcPr>
            <w:tcW w:w="5571" w:type="dxa"/>
          </w:tcPr>
          <w:p w:rsidR="006816EC" w:rsidRDefault="006816EC">
            <w:pPr>
              <w:rPr>
                <w:rFonts w:ascii="Arial (W1)" w:hAnsi="Arial (W1)"/>
                <w:b/>
                <w:bCs/>
                <w:noProof w:val="0"/>
                <w:sz w:val="28"/>
                <w:szCs w:val="28"/>
                <w:rtl/>
              </w:rPr>
            </w:pPr>
          </w:p>
          <w:p w:rsidR="006816EC" w:rsidP="004231A6" w:rsidRDefault="00BA184F">
            <w:pPr>
              <w:rPr>
                <w:rFonts w:ascii="Arial (W1)" w:hAnsi="Arial (W1)"/>
                <w:b/>
                <w:bCs/>
                <w:noProof w:val="0"/>
                <w:sz w:val="28"/>
                <w:szCs w:val="28"/>
              </w:rPr>
            </w:pPr>
            <w:sdt>
              <w:sdtPr>
                <w:rPr>
                  <w:rFonts w:hint="cs" w:asciiTheme="minorHAnsi" w:hAnsiTheme="minorHAnsi"/>
                  <w:b/>
                  <w:bCs/>
                  <w:noProof w:val="0"/>
                  <w:rtl/>
                </w:rPr>
                <w:alias w:val="1486"/>
                <w:tag w:val="1486"/>
                <w:id w:val="1487590763"/>
                <w:text w:multiLine="1"/>
              </w:sdtPr>
              <w:sdtEndPr/>
              <w:sdtContent>
                <w:r w:rsidRPr="004231A6" w:rsidR="004231A6">
                  <w:rPr>
                    <w:rFonts w:hint="cs" w:asciiTheme="minorHAnsi" w:hAnsiTheme="minorHAnsi"/>
                    <w:b/>
                    <w:bCs/>
                    <w:noProof w:val="0"/>
                    <w:rtl/>
                  </w:rPr>
                  <w:t>המשביר 365 החזקות בע"מ</w:t>
                </w:r>
              </w:sdtContent>
            </w:sdt>
          </w:p>
        </w:tc>
      </w:tr>
      <w:tr w:rsidR="00694556">
        <w:trPr>
          <w:jc w:val="center"/>
        </w:trPr>
        <w:tc>
          <w:tcPr>
            <w:tcW w:w="8820" w:type="dxa"/>
            <w:gridSpan w:val="3"/>
          </w:tcPr>
          <w:p w:rsidR="004231A6" w:rsidP="00E8351A" w:rsidRDefault="004231A6">
            <w:pPr>
              <w:spacing w:before="120" w:line="276" w:lineRule="auto"/>
              <w:rPr>
                <w:rFonts w:ascii="Arial" w:hAnsi="Arial"/>
                <w:b/>
                <w:bCs/>
                <w:noProof w:val="0"/>
                <w:sz w:val="28"/>
                <w:szCs w:val="28"/>
                <w:u w:val="single"/>
                <w:rtl/>
              </w:rPr>
            </w:pPr>
            <w:r>
              <w:rPr>
                <w:rFonts w:hint="cs" w:asciiTheme="minorHAnsi" w:hAnsiTheme="minorHAnsi"/>
                <w:b/>
                <w:bCs/>
                <w:noProof w:val="0"/>
                <w:rtl/>
              </w:rPr>
              <w:t xml:space="preserve">      </w:t>
            </w:r>
            <w:r w:rsidR="00065F91">
              <w:rPr>
                <w:rFonts w:hint="cs" w:asciiTheme="minorHAnsi" w:hAnsiTheme="minorHAnsi"/>
                <w:noProof w:val="0"/>
                <w:rtl/>
              </w:rPr>
              <w:t xml:space="preserve">                                                       </w:t>
            </w:r>
            <w:r w:rsidRPr="004231A6">
              <w:rPr>
                <w:rFonts w:hint="cs" w:asciiTheme="minorHAnsi" w:hAnsiTheme="minorHAnsi"/>
                <w:noProof w:val="0"/>
                <w:rtl/>
              </w:rPr>
              <w:t xml:space="preserve">באמצעות </w:t>
            </w:r>
            <w:r w:rsidRPr="004231A6">
              <w:rPr>
                <w:rFonts w:asciiTheme="minorHAnsi" w:hAnsiTheme="minorHAnsi"/>
                <w:noProof w:val="0"/>
                <w:rtl/>
              </w:rPr>
              <w:t>עו</w:t>
            </w:r>
            <w:r w:rsidRPr="004231A6">
              <w:rPr>
                <w:rFonts w:hint="cs" w:asciiTheme="minorHAnsi" w:hAnsiTheme="minorHAnsi"/>
                <w:noProof w:val="0"/>
                <w:rtl/>
              </w:rPr>
              <w:t>ה</w:t>
            </w:r>
            <w:r w:rsidR="00E8351A">
              <w:rPr>
                <w:rFonts w:asciiTheme="minorHAnsi" w:hAnsiTheme="minorHAnsi"/>
                <w:noProof w:val="0"/>
                <w:rtl/>
              </w:rPr>
              <w:t>"ד לילי דורון,</w:t>
            </w:r>
            <w:r w:rsidR="00E8351A">
              <w:rPr>
                <w:rFonts w:hint="cs" w:asciiTheme="minorHAnsi" w:hAnsiTheme="minorHAnsi"/>
                <w:noProof w:val="0"/>
                <w:rtl/>
              </w:rPr>
              <w:t xml:space="preserve">עו"ד </w:t>
            </w:r>
            <w:r w:rsidRPr="004231A6">
              <w:rPr>
                <w:rFonts w:asciiTheme="minorHAnsi" w:hAnsiTheme="minorHAnsi"/>
                <w:noProof w:val="0"/>
                <w:rtl/>
              </w:rPr>
              <w:t xml:space="preserve">יניב קלינבלט </w:t>
            </w:r>
            <w:r w:rsidRPr="004231A6">
              <w:rPr>
                <w:rFonts w:hint="cs" w:asciiTheme="minorHAnsi" w:hAnsiTheme="minorHAnsi"/>
                <w:noProof w:val="0"/>
                <w:rtl/>
              </w:rPr>
              <w:t>ו</w:t>
            </w:r>
            <w:r w:rsidR="00E8351A">
              <w:rPr>
                <w:rFonts w:hint="cs" w:asciiTheme="minorHAnsi" w:hAnsiTheme="minorHAnsi"/>
                <w:noProof w:val="0"/>
                <w:rtl/>
              </w:rPr>
              <w:t>עו"ד י</w:t>
            </w:r>
            <w:r w:rsidRPr="004231A6">
              <w:rPr>
                <w:rFonts w:asciiTheme="minorHAnsi" w:hAnsiTheme="minorHAnsi"/>
                <w:noProof w:val="0"/>
                <w:rtl/>
              </w:rPr>
              <w:t>שי לבנון</w:t>
            </w:r>
          </w:p>
          <w:p w:rsidR="004231A6" w:rsidP="004231A6" w:rsidRDefault="004231A6">
            <w:pPr>
              <w:bidi w:val="0"/>
              <w:jc w:val="center"/>
              <w:rPr>
                <w:rFonts w:ascii="Arial" w:hAnsi="Arial"/>
                <w:b/>
                <w:bCs/>
                <w:noProof w:val="0"/>
                <w:sz w:val="28"/>
                <w:szCs w:val="28"/>
                <w:u w:val="single"/>
                <w:rtl/>
              </w:rPr>
            </w:pPr>
          </w:p>
          <w:p w:rsidR="004231A6" w:rsidP="004231A6" w:rsidRDefault="004231A6">
            <w:pPr>
              <w:bidi w:val="0"/>
              <w:jc w:val="center"/>
              <w:rPr>
                <w:rFonts w:ascii="Arial" w:hAnsi="Arial"/>
                <w:b/>
                <w:bCs/>
                <w:noProof w:val="0"/>
                <w:sz w:val="28"/>
                <w:szCs w:val="28"/>
                <w:u w:val="single"/>
                <w:rtl/>
              </w:rPr>
            </w:pPr>
          </w:p>
          <w:p w:rsidR="00694556" w:rsidP="004231A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r w:rsidR="004231A6">
        <w:trPr>
          <w:jc w:val="center"/>
        </w:trPr>
        <w:tc>
          <w:tcPr>
            <w:tcW w:w="8820" w:type="dxa"/>
            <w:gridSpan w:val="3"/>
          </w:tcPr>
          <w:p w:rsidR="004231A6" w:rsidRDefault="004231A6">
            <w:pPr>
              <w:bidi w:val="0"/>
              <w:jc w:val="center"/>
              <w:rPr>
                <w:rFonts w:asciiTheme="minorHAnsi" w:hAnsiTheme="minorHAnsi"/>
                <w:b/>
                <w:bCs/>
                <w:noProof w:val="0"/>
                <w:rtl/>
              </w:rPr>
            </w:pPr>
          </w:p>
        </w:tc>
      </w:tr>
      <w:tr w:rsidR="00065F91">
        <w:trPr>
          <w:jc w:val="center"/>
        </w:trPr>
        <w:tc>
          <w:tcPr>
            <w:tcW w:w="8820" w:type="dxa"/>
            <w:gridSpan w:val="3"/>
          </w:tcPr>
          <w:p w:rsidR="00065F91" w:rsidRDefault="00065F91">
            <w:pPr>
              <w:bidi w:val="0"/>
              <w:jc w:val="center"/>
              <w:rPr>
                <w:rFonts w:asciiTheme="minorHAnsi" w:hAnsiTheme="minorHAnsi"/>
                <w:b/>
                <w:bCs/>
                <w:noProof w:val="0"/>
                <w:rtl/>
              </w:rPr>
            </w:pPr>
          </w:p>
        </w:tc>
      </w:tr>
    </w:tbl>
    <w:p w:rsidRPr="004231A6" w:rsidR="004231A6" w:rsidP="004231A6" w:rsidRDefault="004231A6">
      <w:pPr>
        <w:numPr>
          <w:ilvl w:val="0"/>
          <w:numId w:val="2"/>
        </w:numPr>
        <w:spacing w:after="160" w:line="480" w:lineRule="auto"/>
        <w:ind w:left="706" w:hanging="425"/>
        <w:contextualSpacing/>
        <w:jc w:val="both"/>
        <w:rPr>
          <w:rFonts w:ascii="Arial" w:hAnsi="Arial"/>
          <w:noProof w:val="0"/>
        </w:rPr>
      </w:pPr>
      <w:bookmarkStart w:name="ABSTRACT_START" w:id="0"/>
      <w:bookmarkEnd w:id="0"/>
      <w:r w:rsidRPr="004231A6">
        <w:rPr>
          <w:rFonts w:ascii="Arial" w:hAnsi="Arial"/>
          <w:noProof w:val="0"/>
          <w:rtl/>
        </w:rPr>
        <w:t>עניינה של בקשת המבקשים לאישור תובענה כייצוגית שלפני (להלן: "</w:t>
      </w:r>
      <w:r w:rsidRPr="004231A6">
        <w:rPr>
          <w:rFonts w:ascii="Arial" w:hAnsi="Arial"/>
          <w:b/>
          <w:bCs/>
          <w:noProof w:val="0"/>
          <w:rtl/>
        </w:rPr>
        <w:t>בקשת האישור / הבקשה</w:t>
      </w:r>
      <w:r w:rsidRPr="004231A6">
        <w:rPr>
          <w:rFonts w:ascii="Arial" w:hAnsi="Arial"/>
          <w:noProof w:val="0"/>
          <w:rtl/>
        </w:rPr>
        <w:t>") הוא בטענת המבקשים כי המשיבה שלחה</w:t>
      </w:r>
      <w:r w:rsidR="00980A53">
        <w:rPr>
          <w:rFonts w:ascii="Arial" w:hAnsi="Arial"/>
          <w:noProof w:val="0"/>
          <w:rtl/>
        </w:rPr>
        <w:t xml:space="preserve"> </w:t>
      </w:r>
      <w:r w:rsidRPr="004231A6">
        <w:rPr>
          <w:rFonts w:ascii="Arial" w:hAnsi="Arial"/>
          <w:noProof w:val="0"/>
          <w:rtl/>
        </w:rPr>
        <w:t xml:space="preserve">דברי פרסומת באמצעות מסרונים (הודעות </w:t>
      </w:r>
      <w:r w:rsidRPr="004231A6">
        <w:rPr>
          <w:rFonts w:ascii="Arial" w:hAnsi="Arial"/>
          <w:noProof w:val="0"/>
        </w:rPr>
        <w:t>SMS</w:t>
      </w:r>
      <w:r w:rsidRPr="004231A6">
        <w:rPr>
          <w:rFonts w:ascii="Arial" w:hAnsi="Arial"/>
          <w:noProof w:val="0"/>
          <w:rtl/>
        </w:rPr>
        <w:t>) בניגוד להוראות סעיף 30א' לחוק התקשורת (בזק ושידורים), התשמ"ב - 1982 (להלן: "</w:t>
      </w:r>
      <w:r w:rsidRPr="004231A6">
        <w:rPr>
          <w:rFonts w:ascii="Arial" w:hAnsi="Arial"/>
          <w:b/>
          <w:bCs/>
          <w:noProof w:val="0"/>
          <w:rtl/>
        </w:rPr>
        <w:t>חוק התקשורת</w:t>
      </w:r>
      <w:r w:rsidRPr="004231A6">
        <w:rPr>
          <w:rFonts w:ascii="Arial" w:hAnsi="Arial"/>
          <w:noProof w:val="0"/>
          <w:rtl/>
        </w:rPr>
        <w:t>").</w:t>
      </w:r>
    </w:p>
    <w:p w:rsidRPr="004231A6" w:rsidR="004231A6" w:rsidP="004231A6" w:rsidRDefault="004231A6">
      <w:pPr>
        <w:spacing w:after="160" w:line="480" w:lineRule="auto"/>
        <w:ind w:left="706"/>
        <w:contextualSpacing/>
        <w:jc w:val="both"/>
        <w:rPr>
          <w:rFonts w:ascii="Arial" w:hAnsi="Arial"/>
          <w:b/>
          <w:bCs/>
          <w:noProof w:val="0"/>
          <w:u w:val="single"/>
          <w:rtl/>
        </w:rPr>
      </w:pPr>
    </w:p>
    <w:p w:rsidRPr="004231A6" w:rsidR="004231A6" w:rsidP="004231A6" w:rsidRDefault="004231A6">
      <w:pPr>
        <w:spacing w:after="160" w:line="480" w:lineRule="auto"/>
        <w:ind w:firstLine="720"/>
        <w:jc w:val="both"/>
        <w:rPr>
          <w:rFonts w:ascii="Arial" w:hAnsi="Arial"/>
          <w:b/>
          <w:bCs/>
          <w:noProof w:val="0"/>
          <w:u w:val="single"/>
        </w:rPr>
      </w:pPr>
      <w:r w:rsidRPr="004231A6">
        <w:rPr>
          <w:rFonts w:ascii="Arial" w:hAnsi="Arial"/>
          <w:b/>
          <w:bCs/>
          <w:noProof w:val="0"/>
          <w:u w:val="single"/>
          <w:rtl/>
        </w:rPr>
        <w:t>רקע</w:t>
      </w:r>
    </w:p>
    <w:p w:rsidRPr="004231A6" w:rsidR="004231A6" w:rsidP="004231A6" w:rsidRDefault="004231A6">
      <w:pPr>
        <w:numPr>
          <w:ilvl w:val="0"/>
          <w:numId w:val="2"/>
        </w:numPr>
        <w:spacing w:after="160" w:line="480" w:lineRule="auto"/>
        <w:ind w:left="706" w:hanging="425"/>
        <w:contextualSpacing/>
        <w:jc w:val="both"/>
        <w:rPr>
          <w:rFonts w:ascii="Arial" w:hAnsi="Arial"/>
          <w:noProof w:val="0"/>
        </w:rPr>
      </w:pPr>
      <w:r w:rsidRPr="004231A6">
        <w:rPr>
          <w:rFonts w:ascii="Arial" w:hAnsi="Arial"/>
          <w:noProof w:val="0"/>
          <w:rtl/>
        </w:rPr>
        <w:t xml:space="preserve">המשיבה עוסקת בין היתר בתחומי הקמעונאות בבתי הכלבו ומפעילה באמצעות חברת הבת שלה, המשביר לצרכן בתי כלבו בע"מ, את רשת "המשביר לצרכן". למשיבה מועדון לקוחות פעיל הידוע בשם "קלאב 365". </w:t>
      </w:r>
    </w:p>
    <w:p w:rsidRPr="004231A6" w:rsidR="004231A6" w:rsidP="004231A6" w:rsidRDefault="004231A6">
      <w:pPr>
        <w:spacing w:after="160" w:line="480" w:lineRule="auto"/>
        <w:ind w:left="706"/>
        <w:contextualSpacing/>
        <w:jc w:val="both"/>
        <w:rPr>
          <w:rFonts w:ascii="Arial" w:hAnsi="Arial"/>
          <w:noProof w:val="0"/>
          <w:rtl/>
        </w:rPr>
      </w:pPr>
      <w:r w:rsidRPr="004231A6">
        <w:rPr>
          <w:rFonts w:ascii="Arial" w:hAnsi="Arial"/>
          <w:noProof w:val="0"/>
          <w:rtl/>
        </w:rPr>
        <w:t>החל משנת 2008 פעלה המשיבה בתחום שירותי ההסעדה והרווחה הארגונית באמצעות סיבוס ארוחות עסקיות בע"מ (להלן: "</w:t>
      </w:r>
      <w:r w:rsidRPr="004231A6">
        <w:rPr>
          <w:rFonts w:ascii="Arial" w:hAnsi="Arial"/>
          <w:b/>
          <w:bCs/>
          <w:noProof w:val="0"/>
          <w:rtl/>
        </w:rPr>
        <w:t>סיבוס</w:t>
      </w:r>
      <w:r w:rsidRPr="004231A6">
        <w:rPr>
          <w:rFonts w:ascii="Arial" w:hAnsi="Arial"/>
          <w:noProof w:val="0"/>
          <w:rtl/>
        </w:rPr>
        <w:t>"), אשר נרכשה על ידי חברת בת של המשיבה, ומנפיקה כרטיס המאפשר למעביד להשתתף בנשיאה בעלות ארוחות הצהריים של עובדיו.</w:t>
      </w:r>
    </w:p>
    <w:p w:rsidR="004231A6" w:rsidP="004231A6" w:rsidRDefault="004231A6">
      <w:pPr>
        <w:spacing w:after="160" w:line="480" w:lineRule="auto"/>
        <w:ind w:left="706"/>
        <w:contextualSpacing/>
        <w:jc w:val="both"/>
        <w:rPr>
          <w:rFonts w:ascii="Arial" w:hAnsi="Arial"/>
          <w:noProof w:val="0"/>
          <w:rtl/>
        </w:rPr>
      </w:pPr>
      <w:r w:rsidRPr="004231A6">
        <w:rPr>
          <w:rFonts w:ascii="Arial" w:hAnsi="Arial"/>
          <w:noProof w:val="0"/>
          <w:rtl/>
        </w:rPr>
        <w:lastRenderedPageBreak/>
        <w:t>במסגרת שיתוף פעולה זה העניקה המשיבה לחברי סיבוס חברות חינם במועדון הלקוחות "קלאב 365". במרוצת השנים מכרה המשיבה את חברת סיבוס, אולם שיתוף הפעולה העיסקי בין החברות נמשך.</w:t>
      </w:r>
    </w:p>
    <w:p w:rsidRPr="004231A6" w:rsidR="00065F91" w:rsidP="004231A6" w:rsidRDefault="00065F91">
      <w:pPr>
        <w:spacing w:after="160" w:line="480" w:lineRule="auto"/>
        <w:ind w:left="706"/>
        <w:contextualSpacing/>
        <w:jc w:val="both"/>
        <w:rPr>
          <w:rFonts w:ascii="Arial" w:hAnsi="Arial"/>
          <w:noProof w:val="0"/>
        </w:rPr>
      </w:pPr>
    </w:p>
    <w:p w:rsidR="004231A6" w:rsidP="004231A6" w:rsidRDefault="004231A6">
      <w:pPr>
        <w:numPr>
          <w:ilvl w:val="0"/>
          <w:numId w:val="2"/>
        </w:numPr>
        <w:spacing w:after="160" w:line="480" w:lineRule="auto"/>
        <w:ind w:left="706" w:hanging="425"/>
        <w:contextualSpacing/>
        <w:jc w:val="both"/>
        <w:rPr>
          <w:rFonts w:ascii="Arial" w:hAnsi="Arial"/>
          <w:noProof w:val="0"/>
        </w:rPr>
      </w:pPr>
      <w:r w:rsidRPr="004231A6">
        <w:rPr>
          <w:rFonts w:ascii="Arial" w:hAnsi="Arial"/>
          <w:noProof w:val="0"/>
          <w:rtl/>
        </w:rPr>
        <w:t>המבקש 1 הוא בעליו של משרד עורכי-דין אשר עוסק בתחום התובענות הייצוגיות כתחום עיסוק עיקרי (המבקש 1 הוא גם ב"כ המייצג בבקשת האישור). המבקש 1 טוען כי לא נתן הסכמתו לקבלת מסרים שיווקיים מהמשיבה וכי אינו נוהג לבצע רכישות ברשת המשביר לצרכן או באמצעות מועדון הלקוחות "קלאב 365". לטענת המבקש 1 לפני מספר שנים הוא עבד בחברת פלאפון תקשורת בע"מ (להלן: "</w:t>
      </w:r>
      <w:r w:rsidRPr="004231A6">
        <w:rPr>
          <w:rFonts w:ascii="Arial" w:hAnsi="Arial"/>
          <w:b/>
          <w:bCs/>
          <w:noProof w:val="0"/>
          <w:rtl/>
        </w:rPr>
        <w:t>פלאפון</w:t>
      </w:r>
      <w:r w:rsidRPr="004231A6">
        <w:rPr>
          <w:rFonts w:ascii="Arial" w:hAnsi="Arial"/>
          <w:noProof w:val="0"/>
          <w:rtl/>
        </w:rPr>
        <w:t>") וייתכן כי לפלאפון היה שיתוף פעולה כלשהו עם המשיבה במסגרתו הוענקו הטבות לעובדי פלאפון המחזיקים כרטיס הסעדה.</w:t>
      </w:r>
    </w:p>
    <w:p w:rsidRPr="004231A6" w:rsidR="00065F91" w:rsidP="00065F91" w:rsidRDefault="00065F91">
      <w:pPr>
        <w:spacing w:after="160" w:line="480" w:lineRule="auto"/>
        <w:ind w:left="706"/>
        <w:contextualSpacing/>
        <w:jc w:val="both"/>
        <w:rPr>
          <w:rFonts w:ascii="Arial" w:hAnsi="Arial"/>
          <w:noProof w:val="0"/>
        </w:rPr>
      </w:pPr>
    </w:p>
    <w:p w:rsidR="004231A6" w:rsidP="004231A6" w:rsidRDefault="004231A6">
      <w:pPr>
        <w:numPr>
          <w:ilvl w:val="0"/>
          <w:numId w:val="2"/>
        </w:numPr>
        <w:spacing w:after="160" w:line="480" w:lineRule="auto"/>
        <w:ind w:left="706" w:hanging="425"/>
        <w:contextualSpacing/>
        <w:jc w:val="both"/>
        <w:rPr>
          <w:rFonts w:ascii="Arial" w:hAnsi="Arial"/>
          <w:noProof w:val="0"/>
        </w:rPr>
      </w:pPr>
      <w:r w:rsidRPr="004231A6">
        <w:rPr>
          <w:rFonts w:ascii="Arial" w:hAnsi="Arial"/>
          <w:noProof w:val="0"/>
          <w:rtl/>
        </w:rPr>
        <w:t>המבקש 2 הוא צרכן אשר רוכש מעת לעת מוצרים מהמשיבה, אולם לטענתו לא נתן את הסכמתו לקבלת מסרים שיווקיים מהמשיבה. לטענת המבקש 2 הוא עבד בעבר בחברת אלביט והחזיק גם הוא בכרטיס הסעדה, אולם מספר הטלפון שקיבל ממעסיקתו אלביט שונה ממספר הטלפון שבו קיבל הודעות שיווקיות מהמשיבה.</w:t>
      </w:r>
    </w:p>
    <w:p w:rsidRPr="004231A6" w:rsidR="00065F91" w:rsidP="00065F91" w:rsidRDefault="00065F91">
      <w:pPr>
        <w:spacing w:after="160" w:line="480" w:lineRule="auto"/>
        <w:ind w:left="706"/>
        <w:contextualSpacing/>
        <w:jc w:val="both"/>
        <w:rPr>
          <w:rFonts w:ascii="Arial" w:hAnsi="Arial"/>
          <w:noProof w:val="0"/>
        </w:rPr>
      </w:pPr>
    </w:p>
    <w:p w:rsidRPr="004231A6" w:rsidR="004231A6" w:rsidP="004231A6" w:rsidRDefault="004231A6">
      <w:pPr>
        <w:numPr>
          <w:ilvl w:val="0"/>
          <w:numId w:val="2"/>
        </w:numPr>
        <w:spacing w:after="160" w:line="480" w:lineRule="auto"/>
        <w:ind w:left="706" w:hanging="425"/>
        <w:contextualSpacing/>
        <w:jc w:val="both"/>
        <w:rPr>
          <w:rFonts w:ascii="Arial" w:hAnsi="Arial"/>
          <w:noProof w:val="0"/>
        </w:rPr>
      </w:pPr>
      <w:r w:rsidRPr="004231A6">
        <w:rPr>
          <w:rFonts w:ascii="Arial" w:hAnsi="Arial"/>
          <w:noProof w:val="0"/>
          <w:rtl/>
        </w:rPr>
        <w:t>המבקש 3 טען כי כשנה וחצי קודם להגשת בקשת האישור הוא הצטרף לשירותי התקשורת של חברת פלאפון ומספר הטלפון שהוקצה לו מצוי בשימושו של בנו בן העשר. המבקש 3 טען כי לא נתן הסכמתו לקבלת דברי פרסומת מהמשיבה.</w:t>
      </w:r>
    </w:p>
    <w:p w:rsidRPr="00065F91" w:rsidR="00065F91" w:rsidP="00065F91" w:rsidRDefault="00065F91">
      <w:pPr>
        <w:spacing w:after="160" w:line="480" w:lineRule="auto"/>
        <w:ind w:left="706"/>
        <w:contextualSpacing/>
        <w:jc w:val="both"/>
        <w:rPr>
          <w:rFonts w:ascii="Calibri" w:hAnsi="Calibri"/>
          <w:b/>
          <w:bCs/>
          <w:noProof w:val="0"/>
        </w:rPr>
      </w:pPr>
      <w:bookmarkStart w:name="ABSTRACT_END" w:id="1"/>
      <w:bookmarkEnd w:id="1"/>
    </w:p>
    <w:p w:rsidRPr="004231A6" w:rsidR="004231A6" w:rsidP="004231A6" w:rsidRDefault="004231A6">
      <w:pPr>
        <w:numPr>
          <w:ilvl w:val="0"/>
          <w:numId w:val="2"/>
        </w:numPr>
        <w:spacing w:after="160" w:line="480" w:lineRule="auto"/>
        <w:ind w:left="706" w:hanging="425"/>
        <w:contextualSpacing/>
        <w:jc w:val="both"/>
        <w:rPr>
          <w:rFonts w:ascii="Calibri" w:hAnsi="Calibri"/>
          <w:b/>
          <w:bCs/>
          <w:noProof w:val="0"/>
        </w:rPr>
      </w:pPr>
      <w:r w:rsidRPr="004231A6">
        <w:rPr>
          <w:rFonts w:hint="eastAsia" w:asciiTheme="minorHAnsi" w:hAnsiTheme="minorHAnsi"/>
          <w:noProof w:val="0"/>
          <w:rtl/>
        </w:rPr>
        <w:t>הקבוצה</w:t>
      </w:r>
      <w:r w:rsidRPr="004231A6">
        <w:rPr>
          <w:rFonts w:asciiTheme="minorHAnsi" w:hAnsiTheme="minorHAnsi"/>
          <w:noProof w:val="0"/>
          <w:rtl/>
        </w:rPr>
        <w:t xml:space="preserve"> </w:t>
      </w:r>
      <w:r w:rsidRPr="004231A6">
        <w:rPr>
          <w:rFonts w:hint="eastAsia" w:asciiTheme="minorHAnsi" w:hAnsiTheme="minorHAnsi"/>
          <w:noProof w:val="0"/>
          <w:rtl/>
        </w:rPr>
        <w:t>שמבוקש</w:t>
      </w:r>
      <w:r w:rsidRPr="004231A6">
        <w:rPr>
          <w:rFonts w:asciiTheme="minorHAnsi" w:hAnsiTheme="minorHAnsi"/>
          <w:noProof w:val="0"/>
          <w:rtl/>
        </w:rPr>
        <w:t xml:space="preserve"> </w:t>
      </w:r>
      <w:r w:rsidRPr="004231A6">
        <w:rPr>
          <w:rFonts w:hint="eastAsia" w:asciiTheme="minorHAnsi" w:hAnsiTheme="minorHAnsi"/>
          <w:noProof w:val="0"/>
          <w:rtl/>
        </w:rPr>
        <w:t>לייצגה</w:t>
      </w:r>
      <w:r w:rsidRPr="004231A6">
        <w:rPr>
          <w:rFonts w:asciiTheme="minorHAnsi" w:hAnsiTheme="minorHAnsi"/>
          <w:noProof w:val="0"/>
          <w:rtl/>
        </w:rPr>
        <w:t xml:space="preserve"> </w:t>
      </w:r>
      <w:r w:rsidRPr="004231A6">
        <w:rPr>
          <w:rFonts w:hint="eastAsia" w:asciiTheme="minorHAnsi" w:hAnsiTheme="minorHAnsi"/>
          <w:noProof w:val="0"/>
          <w:rtl/>
        </w:rPr>
        <w:t>הוגדרה</w:t>
      </w:r>
      <w:r w:rsidRPr="004231A6">
        <w:rPr>
          <w:rFonts w:asciiTheme="minorHAnsi" w:hAnsiTheme="minorHAnsi"/>
          <w:noProof w:val="0"/>
          <w:rtl/>
        </w:rPr>
        <w:t xml:space="preserve"> </w:t>
      </w:r>
      <w:r w:rsidRPr="004231A6">
        <w:rPr>
          <w:rFonts w:hint="eastAsia" w:asciiTheme="minorHAnsi" w:hAnsiTheme="minorHAnsi"/>
          <w:noProof w:val="0"/>
          <w:rtl/>
        </w:rPr>
        <w:t>בבקשת</w:t>
      </w:r>
      <w:r w:rsidRPr="004231A6">
        <w:rPr>
          <w:rFonts w:asciiTheme="minorHAnsi" w:hAnsiTheme="minorHAnsi"/>
          <w:noProof w:val="0"/>
          <w:rtl/>
        </w:rPr>
        <w:t xml:space="preserve"> </w:t>
      </w:r>
      <w:r w:rsidRPr="004231A6">
        <w:rPr>
          <w:rFonts w:hint="eastAsia" w:asciiTheme="minorHAnsi" w:hAnsiTheme="minorHAnsi"/>
          <w:noProof w:val="0"/>
          <w:rtl/>
        </w:rPr>
        <w:t>האישור</w:t>
      </w:r>
      <w:r w:rsidRPr="004231A6">
        <w:rPr>
          <w:rFonts w:asciiTheme="minorHAnsi" w:hAnsiTheme="minorHAnsi"/>
          <w:noProof w:val="0"/>
          <w:rtl/>
        </w:rPr>
        <w:t xml:space="preserve"> </w:t>
      </w:r>
      <w:r w:rsidRPr="004231A6">
        <w:rPr>
          <w:rFonts w:hint="eastAsia" w:asciiTheme="minorHAnsi" w:hAnsiTheme="minorHAnsi"/>
          <w:noProof w:val="0"/>
          <w:rtl/>
        </w:rPr>
        <w:t>כך</w:t>
      </w:r>
      <w:r w:rsidRPr="004231A6">
        <w:rPr>
          <w:rFonts w:asciiTheme="minorHAnsi" w:hAnsiTheme="minorHAnsi"/>
          <w:noProof w:val="0"/>
          <w:rtl/>
        </w:rPr>
        <w:t>:</w:t>
      </w:r>
      <w:r w:rsidRPr="004231A6">
        <w:rPr>
          <w:rFonts w:asciiTheme="minorHAnsi" w:hAnsiTheme="minorHAnsi"/>
          <w:b/>
          <w:bCs/>
          <w:noProof w:val="0"/>
          <w:rtl/>
        </w:rPr>
        <w:t xml:space="preserve"> </w:t>
      </w:r>
    </w:p>
    <w:p w:rsidRPr="004231A6" w:rsidR="004231A6" w:rsidP="004231A6" w:rsidRDefault="004231A6">
      <w:pPr>
        <w:spacing w:after="160" w:line="480" w:lineRule="auto"/>
        <w:ind w:left="1125" w:right="567"/>
        <w:jc w:val="both"/>
        <w:rPr>
          <w:rFonts w:ascii="Arial" w:hAnsi="Arial"/>
          <w:b/>
          <w:bCs/>
          <w:noProof w:val="0"/>
          <w:rtl/>
        </w:rPr>
      </w:pPr>
      <w:r w:rsidRPr="004231A6">
        <w:rPr>
          <w:rFonts w:ascii="Arial" w:hAnsi="Arial"/>
          <w:noProof w:val="0"/>
          <w:rtl/>
        </w:rPr>
        <w:t>"</w:t>
      </w:r>
      <w:r w:rsidRPr="004231A6">
        <w:rPr>
          <w:rFonts w:ascii="Arial" w:hAnsi="Arial"/>
          <w:b/>
          <w:bCs/>
          <w:noProof w:val="0"/>
          <w:rtl/>
        </w:rPr>
        <w:t xml:space="preserve">כל לקוחות המשיבה שלא נתנו הסכמתם לקבל דברי פרסומת ו/או הודיעו על סירובם לקבל דברי פרסומת, בהתאם להוראות סעיף 30א לחוק התקשורת, </w:t>
      </w:r>
      <w:r w:rsidRPr="004231A6">
        <w:rPr>
          <w:rFonts w:ascii="Arial" w:hAnsi="Arial"/>
          <w:b/>
          <w:bCs/>
          <w:noProof w:val="0"/>
          <w:rtl/>
        </w:rPr>
        <w:lastRenderedPageBreak/>
        <w:t>ולמרות הודעתם, המשיכו לקבל מהמשיבה דברי פרסומת, החל מכניסתו לתוקף של סעיף 30א לחוק התקשורת (1.12.2008) ועד למועד מתן פסק הדין</w:t>
      </w:r>
      <w:r w:rsidRPr="004231A6">
        <w:rPr>
          <w:rFonts w:ascii="Arial" w:hAnsi="Arial"/>
          <w:noProof w:val="0"/>
          <w:rtl/>
        </w:rPr>
        <w:t>."</w:t>
      </w:r>
    </w:p>
    <w:p w:rsidRPr="004231A6" w:rsidR="004231A6" w:rsidP="004231A6" w:rsidRDefault="004231A6">
      <w:pPr>
        <w:spacing w:after="160" w:line="480" w:lineRule="auto"/>
        <w:ind w:left="720"/>
        <w:contextualSpacing/>
        <w:jc w:val="both"/>
        <w:rPr>
          <w:rFonts w:ascii="Arial" w:hAnsi="Arial"/>
          <w:b/>
          <w:bCs/>
          <w:noProof w:val="0"/>
          <w:u w:val="single"/>
          <w:rtl/>
        </w:rPr>
      </w:pPr>
    </w:p>
    <w:p w:rsidRPr="004231A6" w:rsidR="004231A6" w:rsidP="004231A6" w:rsidRDefault="004231A6">
      <w:pPr>
        <w:spacing w:after="160" w:line="480" w:lineRule="auto"/>
        <w:ind w:firstLine="720"/>
        <w:jc w:val="both"/>
        <w:rPr>
          <w:rFonts w:ascii="Arial" w:hAnsi="Arial"/>
          <w:b/>
          <w:bCs/>
          <w:noProof w:val="0"/>
          <w:u w:val="single"/>
          <w:rtl/>
        </w:rPr>
      </w:pPr>
      <w:r w:rsidRPr="004231A6">
        <w:rPr>
          <w:rFonts w:ascii="Arial" w:hAnsi="Arial"/>
          <w:b/>
          <w:bCs/>
          <w:noProof w:val="0"/>
          <w:u w:val="single"/>
          <w:rtl/>
        </w:rPr>
        <w:t>טענות הצדדים בתמצית</w:t>
      </w:r>
    </w:p>
    <w:p w:rsidRPr="004231A6" w:rsidR="004231A6" w:rsidP="004231A6" w:rsidRDefault="004231A6">
      <w:pPr>
        <w:numPr>
          <w:ilvl w:val="0"/>
          <w:numId w:val="2"/>
        </w:numPr>
        <w:spacing w:after="160" w:line="480" w:lineRule="auto"/>
        <w:ind w:left="706" w:hanging="425"/>
        <w:contextualSpacing/>
        <w:jc w:val="both"/>
        <w:rPr>
          <w:rFonts w:ascii="Arial" w:hAnsi="Arial"/>
          <w:noProof w:val="0"/>
          <w:rtl/>
        </w:rPr>
      </w:pPr>
      <w:r w:rsidRPr="004231A6">
        <w:rPr>
          <w:rFonts w:ascii="Arial" w:hAnsi="Arial"/>
          <w:noProof w:val="0"/>
          <w:rtl/>
        </w:rPr>
        <w:t>טענת המבקשים היא שהמשיבה שלחה אליהם מסרוני פרסומת מבלי שניתנה לכך הסכמתם מראש, וזאת בניגוד להוראות סעיף 30א(ב) ל</w:t>
      </w:r>
      <w:r w:rsidRPr="004231A6">
        <w:rPr>
          <w:rFonts w:ascii="Arial" w:hAnsi="Arial"/>
          <w:noProof w:val="0"/>
          <w:color w:val="000000"/>
          <w:rtl/>
        </w:rPr>
        <w:t>חוק התקשורת</w:t>
      </w:r>
      <w:r w:rsidRPr="004231A6">
        <w:rPr>
          <w:rFonts w:ascii="Arial" w:hAnsi="Arial"/>
          <w:noProof w:val="0"/>
          <w:rtl/>
        </w:rPr>
        <w:t>, שזו לשונו:</w:t>
      </w:r>
    </w:p>
    <w:p w:rsidRPr="004231A6" w:rsidR="004231A6" w:rsidP="004231A6" w:rsidRDefault="004231A6">
      <w:pPr>
        <w:spacing w:after="160" w:line="480" w:lineRule="auto"/>
        <w:ind w:left="1125" w:right="567"/>
        <w:jc w:val="both"/>
        <w:rPr>
          <w:rFonts w:ascii="Arial" w:hAnsi="Arial"/>
          <w:b/>
          <w:bCs/>
          <w:noProof w:val="0"/>
        </w:rPr>
      </w:pPr>
      <w:r w:rsidRPr="004231A6">
        <w:rPr>
          <w:rFonts w:ascii="Arial" w:hAnsi="Arial"/>
          <w:noProof w:val="0"/>
          <w:rtl/>
        </w:rPr>
        <w:t>"</w:t>
      </w:r>
      <w:r w:rsidRPr="004231A6">
        <w:rPr>
          <w:rFonts w:ascii="Arial" w:hAnsi="Arial"/>
          <w:b/>
          <w:bCs/>
          <w:noProof w:val="0"/>
          <w:rtl/>
        </w:rPr>
        <w:t>לא ישגר מפרסם דבר פרסומת באמצעות פקסימיליה, מערכת חיוג אוטומטי, הודעה אלקטרונית או הודעת מסר קצר, בלא קבלת הסכמה מפורשת מראש של הנמען, בכתב, לרבות בהודעה אלקטרונית או בשיחה מוקלטת; פנייה חד-פעמית מטעם מפרסם לנמען שהוא בית עסק או לנמען לשם קבלת תרומה או תעמולה, באחת הדרכים האמורות בסעיף קטן זה, המהווה הצעה להסכים לקבל דברי פרסומת מטעמו, לא תיחשב הפרה של הוראות סעיף זה</w:t>
      </w:r>
      <w:r w:rsidRPr="004231A6">
        <w:rPr>
          <w:rFonts w:ascii="Arial" w:hAnsi="Arial"/>
          <w:noProof w:val="0"/>
          <w:rtl/>
        </w:rPr>
        <w:t>".</w:t>
      </w:r>
      <w:r w:rsidRPr="004231A6">
        <w:rPr>
          <w:rFonts w:ascii="Arial" w:hAnsi="Arial"/>
          <w:b/>
          <w:bCs/>
          <w:noProof w:val="0"/>
          <w:rtl/>
        </w:rPr>
        <w:t xml:space="preserve"> </w:t>
      </w:r>
    </w:p>
    <w:p w:rsidRPr="004231A6" w:rsidR="004231A6" w:rsidP="004231A6" w:rsidRDefault="004231A6">
      <w:pPr>
        <w:spacing w:after="160" w:line="480" w:lineRule="auto"/>
        <w:ind w:left="720"/>
        <w:contextualSpacing/>
        <w:jc w:val="both"/>
        <w:rPr>
          <w:rFonts w:ascii="Arial" w:hAnsi="Arial"/>
          <w:noProof w:val="0"/>
          <w:rtl/>
        </w:rPr>
      </w:pPr>
    </w:p>
    <w:p w:rsidRPr="004231A6" w:rsidR="004231A6" w:rsidP="004231A6" w:rsidRDefault="004231A6">
      <w:pPr>
        <w:spacing w:after="160" w:line="480" w:lineRule="auto"/>
        <w:ind w:left="706"/>
        <w:contextualSpacing/>
        <w:jc w:val="both"/>
        <w:rPr>
          <w:rFonts w:ascii="Arial" w:hAnsi="Arial"/>
          <w:noProof w:val="0"/>
          <w:rtl/>
        </w:rPr>
      </w:pPr>
      <w:r w:rsidRPr="004231A6">
        <w:rPr>
          <w:rFonts w:ascii="Arial" w:hAnsi="Arial"/>
          <w:noProof w:val="0"/>
          <w:rtl/>
        </w:rPr>
        <w:t>בנוסף טוענים המבקשים כי המשיבה המשיכה לשלוח אליהם מסרוני פרסומות גם לאחר שמסרו לה הודעה כי ברצונם להפסיק לקבלם, וזאת בניגוד להוראת סעיף 30א(ד) ל</w:t>
      </w:r>
      <w:r w:rsidRPr="004231A6">
        <w:rPr>
          <w:rFonts w:ascii="Arial" w:hAnsi="Arial"/>
          <w:noProof w:val="0"/>
          <w:color w:val="000000"/>
          <w:rtl/>
        </w:rPr>
        <w:t>חוק התקשורת</w:t>
      </w:r>
      <w:r w:rsidRPr="004231A6">
        <w:rPr>
          <w:rFonts w:ascii="Arial" w:hAnsi="Arial"/>
          <w:noProof w:val="0"/>
          <w:rtl/>
        </w:rPr>
        <w:t>, הקובע:</w:t>
      </w:r>
      <w:r w:rsidRPr="004231A6">
        <w:rPr>
          <w:rFonts w:ascii="Arial" w:hAnsi="Arial"/>
          <w:noProof w:val="0"/>
          <w:rtl/>
        </w:rPr>
        <w:tab/>
      </w:r>
    </w:p>
    <w:p w:rsidRPr="004231A6" w:rsidR="004231A6" w:rsidP="004231A6" w:rsidRDefault="004231A6">
      <w:pPr>
        <w:spacing w:after="160" w:line="480" w:lineRule="auto"/>
        <w:ind w:left="1125" w:right="567"/>
        <w:jc w:val="both"/>
        <w:rPr>
          <w:rFonts w:ascii="Arial" w:hAnsi="Arial"/>
          <w:noProof w:val="0"/>
          <w:rtl/>
        </w:rPr>
      </w:pPr>
      <w:r w:rsidRPr="004231A6">
        <w:rPr>
          <w:rFonts w:ascii="Arial" w:hAnsi="Arial"/>
          <w:noProof w:val="0"/>
          <w:rtl/>
        </w:rPr>
        <w:t>"</w:t>
      </w:r>
      <w:r w:rsidRPr="004231A6">
        <w:rPr>
          <w:rFonts w:ascii="Arial" w:hAnsi="Arial"/>
          <w:b/>
          <w:bCs/>
          <w:noProof w:val="0"/>
          <w:rtl/>
        </w:rPr>
        <w:t>הסכים הנמען לקבל דברי פרסומת לפי הוראות סעיף קטן (ב) או לא הודיע על סירובו לקבלם לפי הוראות סעיף קטן (ג), רשאי הוא, בכל עת, להודיע למפרסם על סירובו לקבל דברי פרסומת, דרך כלל או מסוג מסוים, ולחזור בו מהסכמתו, ככל שניתנה (בסעיף זה – הודעת סירוב); הודעת הסירוב לא תהיה כרוכה בתשלום, למעט עלות משלוח ההודעה; הודעת הסירוב תינתן בכתב או בדרך שבה שוגר דבר הפרסומת, לפי בחירת הנמען</w:t>
      </w:r>
      <w:r w:rsidRPr="004231A6">
        <w:rPr>
          <w:rFonts w:ascii="Arial" w:hAnsi="Arial"/>
          <w:noProof w:val="0"/>
          <w:rtl/>
        </w:rPr>
        <w:t>".</w:t>
      </w:r>
    </w:p>
    <w:p w:rsidRPr="004231A6" w:rsidR="004231A6" w:rsidP="004231A6" w:rsidRDefault="004231A6">
      <w:pPr>
        <w:spacing w:after="160" w:line="480" w:lineRule="auto"/>
        <w:ind w:left="1068"/>
        <w:contextualSpacing/>
        <w:jc w:val="both"/>
        <w:rPr>
          <w:rFonts w:ascii="Arial" w:hAnsi="Arial"/>
          <w:noProof w:val="0"/>
        </w:rPr>
      </w:pPr>
    </w:p>
    <w:p w:rsidRPr="004231A6" w:rsidR="004231A6" w:rsidP="004231A6" w:rsidRDefault="004231A6">
      <w:pPr>
        <w:numPr>
          <w:ilvl w:val="0"/>
          <w:numId w:val="2"/>
        </w:numPr>
        <w:spacing w:after="160" w:line="480" w:lineRule="auto"/>
        <w:ind w:left="706" w:hanging="425"/>
        <w:contextualSpacing/>
        <w:jc w:val="both"/>
        <w:rPr>
          <w:rFonts w:ascii="Arial" w:hAnsi="Arial"/>
          <w:noProof w:val="0"/>
        </w:rPr>
      </w:pPr>
      <w:r w:rsidRPr="004231A6">
        <w:rPr>
          <w:rFonts w:ascii="Arial" w:hAnsi="Arial"/>
          <w:noProof w:val="0"/>
          <w:rtl/>
        </w:rPr>
        <w:lastRenderedPageBreak/>
        <w:t>כאמור, המבקשים טענו כי מסרוני הפרסומת נשלחו אליהם מבלי שניתנה לכך הסכמתם מראש. בעניין</w:t>
      </w:r>
      <w:r w:rsidR="00980A53">
        <w:rPr>
          <w:rFonts w:ascii="Arial" w:hAnsi="Arial"/>
          <w:noProof w:val="0"/>
          <w:rtl/>
        </w:rPr>
        <w:t xml:space="preserve"> </w:t>
      </w:r>
      <w:r w:rsidRPr="004231A6">
        <w:rPr>
          <w:rFonts w:ascii="Arial" w:hAnsi="Arial"/>
          <w:noProof w:val="0"/>
          <w:rtl/>
        </w:rPr>
        <w:t>זה טען המבקש 1</w:t>
      </w:r>
      <w:r w:rsidR="00980A53">
        <w:rPr>
          <w:rFonts w:ascii="Arial" w:hAnsi="Arial"/>
          <w:noProof w:val="0"/>
          <w:rtl/>
        </w:rPr>
        <w:t xml:space="preserve"> </w:t>
      </w:r>
      <w:r w:rsidRPr="004231A6">
        <w:rPr>
          <w:rFonts w:ascii="Arial" w:hAnsi="Arial"/>
          <w:noProof w:val="0"/>
          <w:rtl/>
        </w:rPr>
        <w:t>להוכחת עילתו האישית והתנהלות המשיבה "</w:t>
      </w:r>
      <w:r w:rsidRPr="004231A6">
        <w:rPr>
          <w:rFonts w:ascii="Arial" w:hAnsi="Arial"/>
          <w:b/>
          <w:bCs/>
          <w:noProof w:val="0"/>
          <w:rtl/>
        </w:rPr>
        <w:t>לא סביר כי נתתי את הסכמתי מראש לקבל מסרים שיווקיים</w:t>
      </w:r>
      <w:r w:rsidRPr="004231A6">
        <w:rPr>
          <w:rFonts w:ascii="Arial" w:hAnsi="Arial"/>
          <w:noProof w:val="0"/>
          <w:rtl/>
        </w:rPr>
        <w:t>" (ס' 22 לתצהיר המבקש 1). המבקש 1 טען בנוסף כי ייתכן וצורף לרשימת התפוצה של חברי מועדון המשיבה על ידי מעסיקתו הקודמת, חברת פלאפון, כחלק מהסדר שהיה לפלאפון עם חברת ההסעדה מילפאס. המבקש טען</w:t>
      </w:r>
      <w:r w:rsidR="00980A53">
        <w:rPr>
          <w:rFonts w:ascii="Arial" w:hAnsi="Arial"/>
          <w:noProof w:val="0"/>
          <w:rtl/>
        </w:rPr>
        <w:t xml:space="preserve"> </w:t>
      </w:r>
      <w:r w:rsidRPr="004231A6">
        <w:rPr>
          <w:rFonts w:ascii="Arial" w:hAnsi="Arial"/>
          <w:noProof w:val="0"/>
          <w:rtl/>
        </w:rPr>
        <w:t>שהעובדות שביסוד הבקשה אירעו</w:t>
      </w:r>
      <w:r w:rsidR="00980A53">
        <w:rPr>
          <w:rFonts w:ascii="Arial" w:hAnsi="Arial"/>
          <w:noProof w:val="0"/>
          <w:rtl/>
        </w:rPr>
        <w:t xml:space="preserve"> </w:t>
      </w:r>
      <w:r w:rsidRPr="004231A6">
        <w:rPr>
          <w:rFonts w:ascii="Arial" w:hAnsi="Arial"/>
          <w:noProof w:val="0"/>
          <w:rtl/>
        </w:rPr>
        <w:t>לפני שנים רבות, ואף אם הוא צורף למועדון הלקוחות של המשיבה בידיעתו, על אף שהדבר אינו זכור לו כיום, הרי שעם פקיעת החברות במועדון הלקוחות "פקעה" גם הסכמתו לקבלת מסרים שיווקיים, ככל שניתנה (ס' 32 לתצהיר המבקש 1).</w:t>
      </w:r>
    </w:p>
    <w:p w:rsidRPr="004231A6" w:rsidR="004231A6" w:rsidP="004231A6" w:rsidRDefault="004231A6">
      <w:pPr>
        <w:spacing w:after="160" w:line="480" w:lineRule="auto"/>
        <w:ind w:left="720"/>
        <w:contextualSpacing/>
        <w:jc w:val="both"/>
        <w:rPr>
          <w:rFonts w:ascii="Arial" w:hAnsi="Arial"/>
          <w:noProof w:val="0"/>
          <w:rtl/>
        </w:rPr>
      </w:pPr>
    </w:p>
    <w:p w:rsidRPr="004231A6" w:rsidR="004231A6" w:rsidP="007B421F" w:rsidRDefault="004231A6">
      <w:pPr>
        <w:spacing w:after="160" w:line="480" w:lineRule="auto"/>
        <w:ind w:left="706"/>
        <w:contextualSpacing/>
        <w:jc w:val="both"/>
        <w:rPr>
          <w:rFonts w:ascii="Arial" w:hAnsi="Arial"/>
          <w:noProof w:val="0"/>
        </w:rPr>
      </w:pPr>
      <w:r w:rsidRPr="004231A6">
        <w:rPr>
          <w:rFonts w:ascii="Arial" w:hAnsi="Arial"/>
          <w:noProof w:val="0"/>
          <w:rtl/>
        </w:rPr>
        <w:t>ביחס למבקש 1 טענה המשיבה כי נתן הסכמתו להצטרף למועדון הלקוחות שלה</w:t>
      </w:r>
      <w:r w:rsidR="00980A53">
        <w:rPr>
          <w:rFonts w:ascii="Arial" w:hAnsi="Arial"/>
          <w:noProof w:val="0"/>
          <w:rtl/>
        </w:rPr>
        <w:t xml:space="preserve"> </w:t>
      </w:r>
      <w:r w:rsidRPr="004231A6">
        <w:rPr>
          <w:rFonts w:ascii="Arial" w:hAnsi="Arial"/>
          <w:noProof w:val="0"/>
          <w:rtl/>
        </w:rPr>
        <w:t>ביום 13.7.2011, וזאת בעקבות ההסכמות שבין המשיבה למעסיקתו הקודמת של המבקש, חברת פלאפון, מכוח כרטיס ההסעדה שהוענק למבקש 1 על ידי מעסיקתו; וכי המבקש 1 מילא בעצמו את פרטיו האישיים במסמך ההצטרפות ואף נתן הסכמתו לקבלת דברי פרסומת באמצעות מערכת אלקטרונית אוטומטית, הפועלת כך ש</w:t>
      </w:r>
      <w:r w:rsidRPr="004231A6">
        <w:rPr>
          <w:rFonts w:ascii="Arial" w:hAnsi="Arial"/>
          <w:noProof w:val="0"/>
          <w:u w:val="single"/>
          <w:rtl/>
        </w:rPr>
        <w:t>רק</w:t>
      </w:r>
      <w:r w:rsidRPr="004231A6">
        <w:rPr>
          <w:rFonts w:ascii="Arial" w:hAnsi="Arial"/>
          <w:noProof w:val="0"/>
          <w:rtl/>
        </w:rPr>
        <w:t xml:space="preserve"> לקוחות המאשרים משלוח דבר פרסומת אליהם מו</w:t>
      </w:r>
      <w:r w:rsidR="007B421F">
        <w:rPr>
          <w:rFonts w:hint="cs" w:ascii="Arial" w:hAnsi="Arial"/>
          <w:noProof w:val="0"/>
          <w:rtl/>
        </w:rPr>
        <w:t>ספים</w:t>
      </w:r>
      <w:r w:rsidRPr="004231A6">
        <w:rPr>
          <w:rFonts w:ascii="Arial" w:hAnsi="Arial"/>
          <w:noProof w:val="0"/>
          <w:rtl/>
        </w:rPr>
        <w:t xml:space="preserve"> לרשימת התפוצה אליה נשלחות הודעות פרסומת (ס' 11-15 לתצהיר מר רונן לבייב, מנהל מועדון 365 אצל המשיבה; להלן: "</w:t>
      </w:r>
      <w:r w:rsidRPr="004231A6">
        <w:rPr>
          <w:rFonts w:ascii="Arial" w:hAnsi="Arial"/>
          <w:b/>
          <w:bCs/>
          <w:noProof w:val="0"/>
          <w:rtl/>
        </w:rPr>
        <w:t>לבייב</w:t>
      </w:r>
      <w:r w:rsidRPr="004231A6">
        <w:rPr>
          <w:rFonts w:ascii="Arial" w:hAnsi="Arial"/>
          <w:noProof w:val="0"/>
          <w:rtl/>
        </w:rPr>
        <w:t>").</w:t>
      </w:r>
    </w:p>
    <w:p w:rsidRPr="007B421F" w:rsidR="004231A6" w:rsidP="004231A6" w:rsidRDefault="004231A6">
      <w:pPr>
        <w:spacing w:after="160" w:line="480" w:lineRule="auto"/>
        <w:ind w:left="720"/>
        <w:contextualSpacing/>
        <w:jc w:val="both"/>
        <w:rPr>
          <w:rFonts w:ascii="Arial" w:hAnsi="Arial"/>
          <w:noProof w:val="0"/>
          <w:rtl/>
        </w:rPr>
      </w:pPr>
    </w:p>
    <w:p w:rsidRPr="004231A6" w:rsidR="004231A6" w:rsidP="007B421F" w:rsidRDefault="004231A6">
      <w:pPr>
        <w:spacing w:after="160" w:line="480" w:lineRule="auto"/>
        <w:ind w:left="706"/>
        <w:contextualSpacing/>
        <w:jc w:val="both"/>
        <w:rPr>
          <w:rFonts w:ascii="Arial" w:hAnsi="Arial"/>
          <w:noProof w:val="0"/>
        </w:rPr>
      </w:pPr>
      <w:r w:rsidRPr="004231A6">
        <w:rPr>
          <w:rFonts w:ascii="Arial" w:hAnsi="Arial"/>
          <w:noProof w:val="0"/>
          <w:rtl/>
        </w:rPr>
        <w:t xml:space="preserve">בנוגע לטענה שהמשיבה המשיכה לשלוח מסרוני פרסומות גם לאחר שנמסרה לה הודעת סירוב - אין מחלוקת כי המבקש 1 לא שלח למשיבה הודעת הסרה באמצעות מסרון, אלא רק לאחר כארבעה חודשים בהם קיבל מסרונים שלח מכתב דרישה בפקסימיליה לתשלום פיצוי ללא הוכחת נזק בגין המסרונים שנשלחו אליו (נספח ח'1 לתצהיר המבקש 1). אין מחלוקת בין הצדדים כי מכתבו של המבקש 1 לא כלל דרישה להסרתו מרשימת הדיוור וטענתו היא כי לאור דרישתו לפיצוי הדבר "מובן מאליו" (ע' 41, ש. 32). לטענת המשיבה המבקש 1 נמנע במכוון מלהשיב למסרונים שנשלחו אליו במסרון "הסרה" אך ורק על מנת לייצר לעצמו עילת </w:t>
      </w:r>
      <w:r w:rsidRPr="004231A6">
        <w:rPr>
          <w:rFonts w:ascii="Arial" w:hAnsi="Arial"/>
          <w:noProof w:val="0"/>
          <w:rtl/>
        </w:rPr>
        <w:lastRenderedPageBreak/>
        <w:t>תביעה. לטענת המשיבה פנייתו של המבקש 1 אף לא הגיעה למשרדיה במועד משלוחה ועל כן לא נענתה.</w:t>
      </w:r>
      <w:r w:rsidR="00980A53">
        <w:rPr>
          <w:rFonts w:ascii="Arial" w:hAnsi="Arial"/>
          <w:noProof w:val="0"/>
          <w:rtl/>
        </w:rPr>
        <w:t xml:space="preserve"> </w:t>
      </w:r>
    </w:p>
    <w:p w:rsidRPr="004231A6" w:rsidR="004231A6" w:rsidP="004231A6" w:rsidRDefault="004231A6">
      <w:pPr>
        <w:spacing w:after="160" w:line="480" w:lineRule="auto"/>
        <w:ind w:left="720"/>
        <w:contextualSpacing/>
        <w:jc w:val="both"/>
        <w:rPr>
          <w:rFonts w:ascii="Arial" w:hAnsi="Arial"/>
          <w:noProof w:val="0"/>
          <w:rtl/>
        </w:rPr>
      </w:pPr>
    </w:p>
    <w:p w:rsidRPr="004231A6" w:rsidR="004231A6" w:rsidP="004231A6" w:rsidRDefault="004231A6">
      <w:pPr>
        <w:numPr>
          <w:ilvl w:val="0"/>
          <w:numId w:val="2"/>
        </w:numPr>
        <w:spacing w:after="160" w:line="480" w:lineRule="auto"/>
        <w:ind w:left="706" w:hanging="425"/>
        <w:contextualSpacing/>
        <w:jc w:val="both"/>
        <w:rPr>
          <w:rFonts w:ascii="Arial" w:hAnsi="Arial"/>
          <w:b/>
          <w:bCs/>
          <w:noProof w:val="0"/>
        </w:rPr>
      </w:pPr>
      <w:r w:rsidRPr="004231A6">
        <w:rPr>
          <w:rFonts w:ascii="Arial" w:hAnsi="Arial"/>
          <w:noProof w:val="0"/>
          <w:rtl/>
        </w:rPr>
        <w:t>המבקש 2 טען כי "</w:t>
      </w:r>
      <w:r w:rsidRPr="004231A6">
        <w:rPr>
          <w:rFonts w:ascii="Arial" w:hAnsi="Arial"/>
          <w:b/>
          <w:bCs/>
          <w:noProof w:val="0"/>
          <w:rtl/>
        </w:rPr>
        <w:t xml:space="preserve">למיטב ידיעתי, לא נתתי למשיבה את הסכמתי לשלוח אלי דברי פרסומת" </w:t>
      </w:r>
      <w:r w:rsidRPr="004231A6">
        <w:rPr>
          <w:rFonts w:ascii="Arial" w:hAnsi="Arial"/>
          <w:noProof w:val="0"/>
          <w:rtl/>
        </w:rPr>
        <w:t>(ס' 22 לתצהיר המבקש 2); כי גם הוא עבד בעבר בחברת אלביט וקיבל כחלק מעבודתו כרטיס של חברת הסעדה (חברת סיבוס) וכי מאז החליף את מספר הטלפון בו עשה שימוש במועד עבודתו בחברה. בהתאם טען המשיב 2 כי "</w:t>
      </w:r>
      <w:r w:rsidRPr="004231A6">
        <w:rPr>
          <w:rFonts w:ascii="Arial" w:hAnsi="Arial"/>
          <w:b/>
          <w:bCs/>
          <w:noProof w:val="0"/>
          <w:rtl/>
        </w:rPr>
        <w:t xml:space="preserve">אף אם נתתי את הסכמתי דאז לקבל מהמשיבה הודעות שיווקיות, הרי שהסכמה זו הייתה תקפה אך ורק לאותו מספר טלפון, ולא למספר הנוכחי, והיא פקעה עם סיום עבודתי באלביט" </w:t>
      </w:r>
      <w:r w:rsidRPr="004231A6">
        <w:rPr>
          <w:rFonts w:ascii="Arial" w:hAnsi="Arial"/>
          <w:noProof w:val="0"/>
          <w:rtl/>
        </w:rPr>
        <w:t>(ס' 40 לתצהיר המבקש 2)</w:t>
      </w:r>
      <w:r w:rsidRPr="004231A6">
        <w:rPr>
          <w:rFonts w:ascii="Arial" w:hAnsi="Arial"/>
          <w:b/>
          <w:bCs/>
          <w:noProof w:val="0"/>
          <w:rtl/>
        </w:rPr>
        <w:t>.</w:t>
      </w:r>
    </w:p>
    <w:p w:rsidRPr="004231A6" w:rsidR="004231A6" w:rsidP="004231A6" w:rsidRDefault="004231A6">
      <w:pPr>
        <w:spacing w:after="160" w:line="480" w:lineRule="auto"/>
        <w:ind w:left="720"/>
        <w:contextualSpacing/>
        <w:jc w:val="both"/>
        <w:rPr>
          <w:rFonts w:ascii="Arial" w:hAnsi="Arial"/>
          <w:b/>
          <w:bCs/>
          <w:noProof w:val="0"/>
        </w:rPr>
      </w:pPr>
    </w:p>
    <w:p w:rsidRPr="004231A6" w:rsidR="004231A6" w:rsidP="004231A6" w:rsidRDefault="004231A6">
      <w:pPr>
        <w:spacing w:after="160" w:line="480" w:lineRule="auto"/>
        <w:ind w:left="706"/>
        <w:contextualSpacing/>
        <w:jc w:val="both"/>
        <w:rPr>
          <w:rFonts w:ascii="Arial" w:hAnsi="Arial"/>
          <w:noProof w:val="0"/>
          <w:rtl/>
        </w:rPr>
      </w:pPr>
      <w:r w:rsidRPr="004231A6">
        <w:rPr>
          <w:rFonts w:ascii="Arial" w:hAnsi="Arial"/>
          <w:noProof w:val="0"/>
          <w:rtl/>
        </w:rPr>
        <w:t>ביחס למבקש 2 טענה המשיבה כי כמו גם המבקש 1 הוא נתן את הסכמתו לקבלת דיוור ממנה בזמן שהצטרף למועדון הלקוחות שלה. עוד נטען כי מספר הטלפון אליו נשלחו ההודעות הפרסומיות הוא מספר הטלפון שנמסר על ידי המבקש 2 (ס' 21-22 לתצהיר לבייב).</w:t>
      </w:r>
    </w:p>
    <w:p w:rsidRPr="004231A6" w:rsidR="004231A6" w:rsidP="004231A6" w:rsidRDefault="004231A6">
      <w:pPr>
        <w:spacing w:after="160" w:line="480" w:lineRule="auto"/>
        <w:ind w:left="720"/>
        <w:contextualSpacing/>
        <w:jc w:val="both"/>
        <w:rPr>
          <w:rFonts w:ascii="Arial" w:hAnsi="Arial"/>
          <w:noProof w:val="0"/>
          <w:rtl/>
        </w:rPr>
      </w:pPr>
    </w:p>
    <w:p w:rsidRPr="004231A6" w:rsidR="004231A6" w:rsidP="004231A6" w:rsidRDefault="004231A6">
      <w:pPr>
        <w:spacing w:after="160" w:line="480" w:lineRule="auto"/>
        <w:ind w:left="706"/>
        <w:jc w:val="both"/>
        <w:rPr>
          <w:rFonts w:ascii="Arial" w:hAnsi="Arial"/>
          <w:b/>
          <w:bCs/>
          <w:noProof w:val="0"/>
          <w:rtl/>
        </w:rPr>
      </w:pPr>
      <w:r w:rsidRPr="004231A6">
        <w:rPr>
          <w:rFonts w:ascii="Arial" w:hAnsi="Arial"/>
          <w:noProof w:val="0"/>
          <w:rtl/>
        </w:rPr>
        <w:t>בהתייחס להודעות הסירוב ששלח המבקש 2 טענה המשיבה כי בתחילה הקליד בהודעת הסירוב רצף תווים שגוי ולכן לא בוצעה ההסרה ולאחר מכן טענה המשיבה כי אי-הסרתו מרשימת הדיוור נבעה מתקלה נקודתית (ע' 73, ש. 24-34).</w:t>
      </w:r>
    </w:p>
    <w:p w:rsidRPr="004231A6" w:rsidR="004231A6" w:rsidP="004231A6" w:rsidRDefault="004231A6">
      <w:pPr>
        <w:spacing w:after="160" w:line="480" w:lineRule="auto"/>
        <w:ind w:left="720"/>
        <w:contextualSpacing/>
        <w:jc w:val="both"/>
        <w:rPr>
          <w:rFonts w:ascii="Arial" w:hAnsi="Arial"/>
          <w:b/>
          <w:bCs/>
          <w:noProof w:val="0"/>
          <w:rtl/>
        </w:rPr>
      </w:pPr>
    </w:p>
    <w:p w:rsidRPr="004231A6" w:rsidR="004231A6" w:rsidP="004231A6" w:rsidRDefault="004231A6">
      <w:pPr>
        <w:numPr>
          <w:ilvl w:val="0"/>
          <w:numId w:val="2"/>
        </w:numPr>
        <w:spacing w:after="160" w:line="480" w:lineRule="auto"/>
        <w:ind w:left="706" w:hanging="425"/>
        <w:contextualSpacing/>
        <w:jc w:val="both"/>
        <w:rPr>
          <w:rFonts w:ascii="Arial" w:hAnsi="Arial"/>
          <w:b/>
          <w:bCs/>
          <w:noProof w:val="0"/>
          <w:rtl/>
        </w:rPr>
      </w:pPr>
      <w:r w:rsidRPr="004231A6">
        <w:rPr>
          <w:rFonts w:ascii="Arial" w:hAnsi="Arial"/>
          <w:noProof w:val="0"/>
          <w:rtl/>
        </w:rPr>
        <w:t>המבקש 3 טען כי מכשיר הטלפון שבו התקבלו הודעות הפרסומת משמש את בנו בן העשר וכי לא הוא ולא בנו נתנו הסכמה לקבלת הודעות פרסומת מהמשיבה (ס' 8-9 לתצהיר המבקש 3).</w:t>
      </w:r>
    </w:p>
    <w:p w:rsidRPr="004231A6" w:rsidR="004231A6" w:rsidP="004231A6" w:rsidRDefault="004231A6">
      <w:pPr>
        <w:spacing w:after="160" w:line="480" w:lineRule="auto"/>
        <w:ind w:left="720"/>
        <w:contextualSpacing/>
        <w:jc w:val="both"/>
        <w:rPr>
          <w:rFonts w:ascii="Arial" w:hAnsi="Arial"/>
          <w:noProof w:val="0"/>
          <w:rtl/>
        </w:rPr>
      </w:pPr>
    </w:p>
    <w:p w:rsidRPr="004231A6" w:rsidR="004231A6" w:rsidP="004231A6" w:rsidRDefault="004231A6">
      <w:pPr>
        <w:spacing w:after="160" w:line="480" w:lineRule="auto"/>
        <w:ind w:left="706"/>
        <w:contextualSpacing/>
        <w:jc w:val="both"/>
        <w:rPr>
          <w:rFonts w:ascii="Arial" w:hAnsi="Arial"/>
          <w:noProof w:val="0"/>
          <w:rtl/>
        </w:rPr>
      </w:pPr>
      <w:r w:rsidRPr="004231A6">
        <w:rPr>
          <w:rFonts w:ascii="Arial" w:hAnsi="Arial"/>
          <w:noProof w:val="0"/>
          <w:rtl/>
        </w:rPr>
        <w:t xml:space="preserve">בהתייחס למבקש 3 טענה המשיבה כי שמו לא נמצא ברשימת חברי מועדון הלקוחות של המשיבה וכי מספר הטלפון שאליו נשלחו ההודעות מופיע ברישומי מועדון הלקוחות תחת שם של חברת מועדון אחרת, אשר אין בינה לבין המבקש 3 כל קשר. בהתאם נטען כי יכול ומדובר </w:t>
      </w:r>
      <w:r w:rsidRPr="004231A6">
        <w:rPr>
          <w:rFonts w:ascii="Arial" w:hAnsi="Arial"/>
          <w:noProof w:val="0"/>
          <w:rtl/>
        </w:rPr>
        <w:lastRenderedPageBreak/>
        <w:t>בטעות נדירה שייתכן ומקורה בהזנת מספר טלפון שגוי על ידי אותה חברת מועדון (ס' 28-29 לתצהיר לבייב).</w:t>
      </w:r>
    </w:p>
    <w:p w:rsidRPr="004231A6" w:rsidR="004231A6" w:rsidP="004231A6" w:rsidRDefault="004231A6">
      <w:pPr>
        <w:spacing w:after="160" w:line="480" w:lineRule="auto"/>
        <w:ind w:left="720"/>
        <w:contextualSpacing/>
        <w:jc w:val="both"/>
        <w:rPr>
          <w:rFonts w:ascii="Arial" w:hAnsi="Arial"/>
          <w:noProof w:val="0"/>
          <w:rtl/>
        </w:rPr>
      </w:pPr>
    </w:p>
    <w:p w:rsidRPr="004231A6" w:rsidR="004231A6" w:rsidP="004231A6" w:rsidRDefault="004231A6">
      <w:pPr>
        <w:spacing w:after="160" w:line="480" w:lineRule="auto"/>
        <w:ind w:left="706"/>
        <w:contextualSpacing/>
        <w:jc w:val="both"/>
        <w:rPr>
          <w:rFonts w:ascii="Arial" w:hAnsi="Arial"/>
          <w:noProof w:val="0"/>
          <w:rtl/>
        </w:rPr>
      </w:pPr>
      <w:r w:rsidRPr="004231A6">
        <w:rPr>
          <w:rFonts w:ascii="Arial" w:hAnsi="Arial"/>
          <w:noProof w:val="0"/>
          <w:rtl/>
        </w:rPr>
        <w:t>בכל הנוגע למבקש 3 אין מחלוקת כי לא נשלחו אליו מסרונים נוספים לאחר ששלח הודעת סירוב (באמצעות מסרון).</w:t>
      </w:r>
    </w:p>
    <w:p w:rsidRPr="004231A6" w:rsidR="004231A6" w:rsidP="004231A6" w:rsidRDefault="004231A6">
      <w:pPr>
        <w:spacing w:after="160" w:line="480" w:lineRule="auto"/>
        <w:ind w:left="720"/>
        <w:contextualSpacing/>
        <w:jc w:val="both"/>
        <w:rPr>
          <w:rFonts w:ascii="Arial" w:hAnsi="Arial"/>
          <w:noProof w:val="0"/>
        </w:rPr>
      </w:pPr>
    </w:p>
    <w:p w:rsidRPr="004231A6" w:rsidR="004231A6" w:rsidP="004231A6" w:rsidRDefault="004231A6">
      <w:pPr>
        <w:numPr>
          <w:ilvl w:val="0"/>
          <w:numId w:val="2"/>
        </w:numPr>
        <w:spacing w:after="160" w:line="480" w:lineRule="auto"/>
        <w:ind w:left="706" w:hanging="425"/>
        <w:contextualSpacing/>
        <w:jc w:val="both"/>
        <w:rPr>
          <w:rFonts w:ascii="Arial" w:hAnsi="Arial"/>
          <w:noProof w:val="0"/>
        </w:rPr>
      </w:pPr>
      <w:r w:rsidRPr="004231A6">
        <w:rPr>
          <w:rFonts w:ascii="Arial" w:hAnsi="Arial"/>
          <w:noProof w:val="0"/>
          <w:rtl/>
        </w:rPr>
        <w:t>בבקשת האישור טענו המבקשים שהמשיבה הפרה את הדין כלפי נפגעים נוספים והפנתה לשתי דוגמאות של תביעות קטנות (שנמחקו) אשר לשיטתם די בהן כדי ללמד כי לא מדובר בתקלה נקודתית אלא במחדל מגמתי ומתמשך המצדיק ניהול הליך ייצוגי (ס' 67-69 לבקשה המאוחדת לאישור תובענה ייצוגית).</w:t>
      </w:r>
    </w:p>
    <w:p w:rsidRPr="004231A6" w:rsidR="004231A6" w:rsidP="004231A6" w:rsidRDefault="004231A6">
      <w:pPr>
        <w:spacing w:after="160" w:line="480" w:lineRule="auto"/>
        <w:ind w:left="720"/>
        <w:contextualSpacing/>
        <w:jc w:val="both"/>
        <w:rPr>
          <w:rFonts w:ascii="Arial" w:hAnsi="Arial"/>
          <w:noProof w:val="0"/>
          <w:rtl/>
        </w:rPr>
      </w:pPr>
    </w:p>
    <w:p w:rsidRPr="004231A6" w:rsidR="004231A6" w:rsidP="004231A6" w:rsidRDefault="004231A6">
      <w:pPr>
        <w:spacing w:after="160" w:line="480" w:lineRule="auto"/>
        <w:ind w:firstLine="720"/>
        <w:jc w:val="both"/>
        <w:rPr>
          <w:rFonts w:ascii="Arial" w:hAnsi="Arial"/>
          <w:b/>
          <w:bCs/>
          <w:noProof w:val="0"/>
          <w:rtl/>
        </w:rPr>
      </w:pPr>
      <w:r w:rsidRPr="004231A6">
        <w:rPr>
          <w:rFonts w:ascii="Arial" w:hAnsi="Arial"/>
          <w:b/>
          <w:bCs/>
          <w:noProof w:val="0"/>
          <w:u w:val="single"/>
          <w:rtl/>
        </w:rPr>
        <w:t xml:space="preserve">דיון </w:t>
      </w:r>
    </w:p>
    <w:p w:rsidRPr="004231A6" w:rsidR="004231A6" w:rsidP="004231A6" w:rsidRDefault="004231A6">
      <w:pPr>
        <w:numPr>
          <w:ilvl w:val="0"/>
          <w:numId w:val="2"/>
        </w:numPr>
        <w:spacing w:after="160" w:line="480" w:lineRule="auto"/>
        <w:ind w:left="706" w:hanging="425"/>
        <w:contextualSpacing/>
        <w:jc w:val="both"/>
        <w:rPr>
          <w:rFonts w:ascii="Arial" w:hAnsi="Arial"/>
          <w:noProof w:val="0"/>
          <w:rtl/>
        </w:rPr>
      </w:pPr>
      <w:r w:rsidRPr="004231A6">
        <w:rPr>
          <w:rFonts w:ascii="Arial" w:hAnsi="Arial"/>
          <w:noProof w:val="0"/>
          <w:rtl/>
        </w:rPr>
        <w:t>המסקנה אליה הגעתי היא כי</w:t>
      </w:r>
      <w:r w:rsidR="00980A53">
        <w:rPr>
          <w:rFonts w:ascii="Arial" w:hAnsi="Arial"/>
          <w:noProof w:val="0"/>
          <w:rtl/>
        </w:rPr>
        <w:t xml:space="preserve"> </w:t>
      </w:r>
      <w:r w:rsidRPr="004231A6">
        <w:rPr>
          <w:rFonts w:ascii="Arial" w:hAnsi="Arial"/>
          <w:noProof w:val="0"/>
          <w:rtl/>
        </w:rPr>
        <w:t>דינה של בקשת האישור להידחות מהטעם שהמבקשים לא עמדו בנטל להוכיח את התנאים לאישור התובענה כייצוגית, ובכלל זה התנאים הקבועים בסעיפים 8(א)(1) ו- 8(א)(2) לחוק תובענות ייצוגיות, התשס"ו- 2006 (להלן: "</w:t>
      </w:r>
      <w:r w:rsidRPr="004231A6">
        <w:rPr>
          <w:rFonts w:ascii="Arial" w:hAnsi="Arial"/>
          <w:b/>
          <w:bCs/>
          <w:noProof w:val="0"/>
          <w:rtl/>
        </w:rPr>
        <w:t>חוק תובענות ייצוגיות</w:t>
      </w:r>
      <w:r w:rsidRPr="004231A6">
        <w:rPr>
          <w:rFonts w:ascii="Arial" w:hAnsi="Arial"/>
          <w:noProof w:val="0"/>
          <w:rtl/>
        </w:rPr>
        <w:t>"). לפי התנאי הראשון יש להשתכנע כי "</w:t>
      </w:r>
      <w:r w:rsidRPr="004231A6">
        <w:rPr>
          <w:rFonts w:ascii="Arial" w:hAnsi="Arial"/>
          <w:b/>
          <w:bCs/>
          <w:noProof w:val="0"/>
          <w:rtl/>
        </w:rPr>
        <w:t>התובענה מעוררת שאלות מהותיות של עובדה או משפט המשותפות לכלל חברי הקבוצה, ויש אפשרות סבירה שהן יוכרעו בתובענה לטובת הקבוצה</w:t>
      </w:r>
      <w:r w:rsidRPr="004231A6">
        <w:rPr>
          <w:rFonts w:ascii="Arial" w:hAnsi="Arial"/>
          <w:noProof w:val="0"/>
          <w:rtl/>
        </w:rPr>
        <w:t>". התנאי השני קובע</w:t>
      </w:r>
      <w:r w:rsidR="00980A53">
        <w:rPr>
          <w:rFonts w:ascii="Arial" w:hAnsi="Arial"/>
          <w:noProof w:val="0"/>
          <w:rtl/>
        </w:rPr>
        <w:t xml:space="preserve"> </w:t>
      </w:r>
      <w:r w:rsidRPr="004231A6">
        <w:rPr>
          <w:rFonts w:ascii="Arial" w:hAnsi="Arial"/>
          <w:noProof w:val="0"/>
          <w:rtl/>
        </w:rPr>
        <w:t>כי "</w:t>
      </w:r>
      <w:r w:rsidRPr="004231A6">
        <w:rPr>
          <w:rFonts w:ascii="Arial" w:hAnsi="Arial"/>
          <w:b/>
          <w:bCs/>
          <w:noProof w:val="0"/>
          <w:rtl/>
        </w:rPr>
        <w:t>תובענה ייצוגית היא הדרך היעילה וההוגנת להכרעה במחלוקת בנסיבות הענין</w:t>
      </w:r>
      <w:r w:rsidRPr="004231A6">
        <w:rPr>
          <w:noProof w:val="0"/>
          <w:rtl/>
        </w:rPr>
        <w:t>"</w:t>
      </w:r>
      <w:r w:rsidRPr="004231A6">
        <w:rPr>
          <w:rFonts w:ascii="Arial" w:hAnsi="Arial"/>
          <w:noProof w:val="0"/>
          <w:rtl/>
        </w:rPr>
        <w:t>. התנאים הקבועים בחוק תובענות ייצוגיות לשם אישורה של תובענה כייצוגית הם תנאים מצטברים ודי בכך שהמבקשים כשלו באחד מהתנאים כדי להביא לדחיית בקשת האישור. להלן נימוקיי.</w:t>
      </w:r>
    </w:p>
    <w:p w:rsidRPr="004231A6" w:rsidR="004231A6" w:rsidP="004231A6" w:rsidRDefault="004231A6">
      <w:pPr>
        <w:spacing w:after="160" w:line="480" w:lineRule="auto"/>
        <w:ind w:left="720"/>
        <w:contextualSpacing/>
        <w:jc w:val="both"/>
        <w:rPr>
          <w:rFonts w:ascii="Arial" w:hAnsi="Arial"/>
          <w:b/>
          <w:bCs/>
          <w:noProof w:val="0"/>
          <w:u w:val="single"/>
        </w:rPr>
      </w:pPr>
    </w:p>
    <w:p w:rsidRPr="004231A6" w:rsidR="004231A6" w:rsidP="00773833" w:rsidRDefault="004231A6">
      <w:pPr>
        <w:numPr>
          <w:ilvl w:val="0"/>
          <w:numId w:val="2"/>
        </w:numPr>
        <w:spacing w:after="160" w:line="480" w:lineRule="auto"/>
        <w:ind w:left="706" w:hanging="425"/>
        <w:contextualSpacing/>
        <w:jc w:val="both"/>
        <w:rPr>
          <w:rFonts w:ascii="Arial" w:hAnsi="Arial"/>
          <w:b/>
          <w:bCs/>
          <w:noProof w:val="0"/>
          <w:u w:val="single"/>
          <w:rtl/>
        </w:rPr>
      </w:pPr>
      <w:r w:rsidRPr="004231A6">
        <w:rPr>
          <w:rFonts w:ascii="Arial" w:hAnsi="Arial"/>
          <w:noProof w:val="0"/>
          <w:rtl/>
        </w:rPr>
        <w:t>המשיבה פרטה</w:t>
      </w:r>
      <w:r w:rsidR="00980A53">
        <w:rPr>
          <w:rFonts w:ascii="Arial" w:hAnsi="Arial"/>
          <w:noProof w:val="0"/>
          <w:rtl/>
        </w:rPr>
        <w:t xml:space="preserve"> </w:t>
      </w:r>
      <w:r w:rsidRPr="004231A6">
        <w:rPr>
          <w:rFonts w:ascii="Arial" w:hAnsi="Arial"/>
          <w:noProof w:val="0"/>
          <w:rtl/>
        </w:rPr>
        <w:t xml:space="preserve">את דרכי ההצטרפות למועדון הלקוחות, והבהירה כי ניתן לעשות </w:t>
      </w:r>
      <w:r w:rsidR="00773833">
        <w:rPr>
          <w:rFonts w:hint="cs" w:ascii="Arial" w:hAnsi="Arial"/>
          <w:noProof w:val="0"/>
          <w:rtl/>
        </w:rPr>
        <w:t>זאת</w:t>
      </w:r>
      <w:r w:rsidRPr="004231A6">
        <w:rPr>
          <w:rFonts w:ascii="Arial" w:hAnsi="Arial"/>
          <w:noProof w:val="0"/>
          <w:rtl/>
        </w:rPr>
        <w:t xml:space="preserve"> באמצעות אתר האינטרנט של מועדון הלקוחות, בסניפי המשיבה ובאמצעות הרשמה </w:t>
      </w:r>
      <w:r w:rsidRPr="004231A6">
        <w:rPr>
          <w:rFonts w:ascii="Arial" w:hAnsi="Arial"/>
          <w:noProof w:val="0"/>
          <w:rtl/>
        </w:rPr>
        <w:lastRenderedPageBreak/>
        <w:t>אינטרנטית בהתאם להסכמי שיתוף פעולה של המשיבה עם גורמים שונים ובהם חברות הסעדה. המשיבה הוכיחה שבכל אחת מאפשרויות ההצטרפות קיימת לחברי מועדון הלקוחות האפשרות לבחור האם ברצונם לקבל מידע שיווקי מהמשיבה באמצעות דוא"ל ו/או מסרוני טקסט וכן מצוינת האפשרות לבקש חדילה מקבלת מידע שיווקי מהמשיבה. על פי שיטת העבודה הנוהגת אצל המשיבה מערכת אוטומטית מסירה כל נמען המודיע על רצונו שלא לקבל דברי פרסומת (ס' 4-10 לתצהיר לבייב). שיטת פעולה לגיטימית זו לא נסתרה על ידי המבקשים;</w:t>
      </w:r>
      <w:r w:rsidR="00980A53">
        <w:rPr>
          <w:rFonts w:ascii="Arial" w:hAnsi="Arial"/>
          <w:noProof w:val="0"/>
          <w:rtl/>
        </w:rPr>
        <w:t xml:space="preserve"> </w:t>
      </w:r>
      <w:r w:rsidRPr="004231A6">
        <w:rPr>
          <w:rFonts w:ascii="Arial" w:hAnsi="Arial"/>
          <w:noProof w:val="0"/>
          <w:rtl/>
        </w:rPr>
        <w:t>ומנגד לא הוכחה על ידי המבקשים קיומה של מדיניות מכוונת שיש בה משום הפרה שיטתית של הדין.</w:t>
      </w:r>
    </w:p>
    <w:p w:rsidRPr="004231A6" w:rsidR="004231A6" w:rsidP="004231A6" w:rsidRDefault="004231A6">
      <w:pPr>
        <w:spacing w:after="160" w:line="480" w:lineRule="auto"/>
        <w:ind w:left="720"/>
        <w:contextualSpacing/>
        <w:jc w:val="both"/>
        <w:rPr>
          <w:rFonts w:ascii="Arial" w:hAnsi="Arial"/>
          <w:noProof w:val="0"/>
          <w:rtl/>
        </w:rPr>
      </w:pPr>
    </w:p>
    <w:p w:rsidRPr="004231A6" w:rsidR="004231A6" w:rsidP="004231A6" w:rsidRDefault="004231A6">
      <w:pPr>
        <w:spacing w:after="160" w:line="480" w:lineRule="auto"/>
        <w:ind w:left="706"/>
        <w:contextualSpacing/>
        <w:jc w:val="both"/>
        <w:rPr>
          <w:rFonts w:ascii="Arial" w:hAnsi="Arial"/>
          <w:noProof w:val="0"/>
        </w:rPr>
      </w:pPr>
      <w:r w:rsidRPr="004231A6">
        <w:rPr>
          <w:rFonts w:ascii="Arial" w:hAnsi="Arial"/>
          <w:noProof w:val="0"/>
          <w:rtl/>
        </w:rPr>
        <w:t xml:space="preserve">מקובלת עלי טענת המשיבה לפיה מצופה כי אלו המבקשים לייצג קבוצת תובעים בטענה לקיומה של הפרה רוחבית של המשיבה את הוראות חוק התקשורת יערכו את כל הבדיקות המתחייבות ביחס לקיומה של סוגיה רוחבית וביחס לעילת התביעה האישית שלהם בטרם הגשת בקשת האישור, ולא יסתפקו בניסוחים פתלתלים לפיהם "למיטב ידיעתם" לא נתנו הסכמה למשלוח הודעות פרסומת, וביתר שאת כשמדובר בעורך-דין המבקש לתבוע ולייצג את הקבוצה, שעליו לדקדק שבעתיים בעובדות שביסוד הבקשה לאישור תובענה כייצוגית. </w:t>
      </w:r>
    </w:p>
    <w:p w:rsidRPr="004231A6" w:rsidR="004231A6" w:rsidP="004231A6" w:rsidRDefault="004231A6">
      <w:pPr>
        <w:spacing w:after="160" w:line="480" w:lineRule="auto"/>
        <w:ind w:left="720"/>
        <w:contextualSpacing/>
        <w:jc w:val="both"/>
        <w:rPr>
          <w:rFonts w:ascii="Arial" w:hAnsi="Arial"/>
          <w:noProof w:val="0"/>
          <w:rtl/>
        </w:rPr>
      </w:pPr>
    </w:p>
    <w:p w:rsidRPr="004231A6" w:rsidR="004231A6" w:rsidP="00065F91" w:rsidRDefault="004231A6">
      <w:pPr>
        <w:spacing w:after="160" w:line="480" w:lineRule="auto"/>
        <w:ind w:left="706"/>
        <w:contextualSpacing/>
        <w:jc w:val="both"/>
        <w:rPr>
          <w:rFonts w:ascii="Arial" w:hAnsi="Arial"/>
          <w:noProof w:val="0"/>
          <w:rtl/>
        </w:rPr>
      </w:pPr>
      <w:r w:rsidRPr="004231A6">
        <w:rPr>
          <w:rFonts w:ascii="Arial" w:hAnsi="Arial"/>
          <w:noProof w:val="0"/>
          <w:rtl/>
        </w:rPr>
        <w:t>בעניין ההסכמה למשלוח ההודעות העיד</w:t>
      </w:r>
      <w:r w:rsidR="00065F91">
        <w:rPr>
          <w:rFonts w:hint="cs" w:ascii="Arial" w:hAnsi="Arial"/>
          <w:noProof w:val="0"/>
          <w:rtl/>
        </w:rPr>
        <w:t xml:space="preserve"> </w:t>
      </w:r>
      <w:r w:rsidRPr="004231A6">
        <w:rPr>
          <w:rFonts w:ascii="Arial" w:hAnsi="Arial"/>
          <w:noProof w:val="0"/>
          <w:rtl/>
        </w:rPr>
        <w:t>מטעם המשיבה מר עשהאל טרגן, סמנכ"ל התפעול בחברת סיבוס (להלן: "</w:t>
      </w:r>
      <w:r w:rsidRPr="004231A6">
        <w:rPr>
          <w:rFonts w:ascii="Arial" w:hAnsi="Arial"/>
          <w:b/>
          <w:bCs/>
          <w:noProof w:val="0"/>
          <w:rtl/>
        </w:rPr>
        <w:t>טרגן</w:t>
      </w:r>
      <w:r w:rsidRPr="004231A6">
        <w:rPr>
          <w:rFonts w:ascii="Arial" w:hAnsi="Arial"/>
          <w:noProof w:val="0"/>
          <w:rtl/>
        </w:rPr>
        <w:t>"), והציג תדפיסי רשומות אלקטרונית המלמדים כי המבקשים 1-2 נרשמו במועדון הלקוחות של המשיבה. בניגוד לטענות המבקשים הבהיר מר טרגן כי היה על המבקשים להזין את פרטיהם האישיים וכן סיסמה אישית הידועה רק להם לאתר האינטרנט של סיבוס, וכי ידוע לו בוודאות מהנתונים שבפניו כי המבקשים 1-2 אישרו את טופס ההצטרפות האלקטרוני למועדון (ע' 52, ש. 8-23; ע' 58, ש. 12-25; ע' 36, ש. 3-6). דבר לא מנע מהמבקשים לברר סוגיה זו בטרם הגשת בקשת האישור, ואף במהלך בירור בקשת האישור לא פעלו המבקשים לתמוך בראיות את טענתם הסתמית לפיה צורפו למועדון הלקוחות של המשיבה על ידי מעסיקיהם הקודמים (ע' 35, ש. 1-29).</w:t>
      </w:r>
    </w:p>
    <w:p w:rsidRPr="004231A6" w:rsidR="004231A6" w:rsidP="004231A6" w:rsidRDefault="004231A6">
      <w:pPr>
        <w:spacing w:after="160" w:line="480" w:lineRule="auto"/>
        <w:ind w:left="720"/>
        <w:contextualSpacing/>
        <w:jc w:val="both"/>
        <w:rPr>
          <w:rFonts w:ascii="Arial" w:hAnsi="Arial"/>
          <w:noProof w:val="0"/>
          <w:rtl/>
        </w:rPr>
      </w:pPr>
    </w:p>
    <w:p w:rsidRPr="004231A6" w:rsidR="004231A6" w:rsidP="00F77C7D" w:rsidRDefault="004231A6">
      <w:pPr>
        <w:spacing w:after="160" w:line="480" w:lineRule="auto"/>
        <w:ind w:left="706"/>
        <w:contextualSpacing/>
        <w:jc w:val="both"/>
        <w:rPr>
          <w:rFonts w:ascii="Arial" w:hAnsi="Arial"/>
          <w:noProof w:val="0"/>
          <w:rtl/>
        </w:rPr>
      </w:pPr>
      <w:r w:rsidRPr="004231A6">
        <w:rPr>
          <w:rFonts w:ascii="Arial" w:hAnsi="Arial"/>
          <w:noProof w:val="0"/>
          <w:rtl/>
        </w:rPr>
        <w:t>מצאתי שעדותו של מר טרגן הייתה מהימנה ומקצועית ונתמכה באסמכתאות. עדותו לא נסתרה על ידי המבקשים, על אף ניסיונותיהם למצוא "אי-התאמות" ו"סתירות" ביחס לנתונים שהוצגו. לכל "אי-התאמה" נטענת, ניתנה תשובה סדורה והגיונית בעדותו של מר טרגן:</w:t>
      </w:r>
    </w:p>
    <w:p w:rsidRPr="004231A6" w:rsidR="004231A6" w:rsidP="00BF3D31" w:rsidRDefault="004231A6">
      <w:pPr>
        <w:spacing w:after="160" w:line="480" w:lineRule="auto"/>
        <w:ind w:left="706"/>
        <w:jc w:val="both"/>
        <w:rPr>
          <w:rFonts w:ascii="Arial" w:hAnsi="Arial"/>
          <w:noProof w:val="0"/>
          <w:rtl/>
        </w:rPr>
      </w:pPr>
      <w:r w:rsidRPr="004231A6">
        <w:rPr>
          <w:rFonts w:ascii="Arial" w:hAnsi="Arial"/>
          <w:noProof w:val="0"/>
          <w:rtl/>
        </w:rPr>
        <w:t>כך למשל, ניסו המבקשים לטעון כי טופס ההרשמה האינטרנטי שהציגה המשיבה לא נשלח על ידם אלא מהווה רק "צילום מסך" שהוכן בדיעבד</w:t>
      </w:r>
      <w:r w:rsidR="00BF3D31">
        <w:rPr>
          <w:rFonts w:hint="cs" w:ascii="Arial" w:hAnsi="Arial"/>
          <w:noProof w:val="0"/>
          <w:rtl/>
        </w:rPr>
        <w:t xml:space="preserve">. </w:t>
      </w:r>
      <w:r w:rsidR="00BF3D31">
        <w:rPr>
          <w:rFonts w:ascii="Arial" w:hAnsi="Arial"/>
          <w:noProof w:val="0"/>
          <w:rtl/>
        </w:rPr>
        <w:t xml:space="preserve"> מר טרגן השיב כי אלמלא בוצע</w:t>
      </w:r>
      <w:r w:rsidR="00BF3D31">
        <w:rPr>
          <w:rFonts w:hint="cs" w:ascii="Arial" w:hAnsi="Arial"/>
          <w:noProof w:val="0"/>
          <w:rtl/>
        </w:rPr>
        <w:t xml:space="preserve"> משלוח</w:t>
      </w:r>
      <w:r w:rsidRPr="004231A6">
        <w:rPr>
          <w:rFonts w:ascii="Arial" w:hAnsi="Arial"/>
          <w:noProof w:val="0"/>
          <w:rtl/>
        </w:rPr>
        <w:t xml:space="preserve"> של טופס ההרשמה לא הייתה נקלטת ההרשמה בבסיס הנתונים של סיבוס (ע' 65, ש. 16-24; ע' 67, ש. 3-6);</w:t>
      </w:r>
    </w:p>
    <w:p w:rsidRPr="004231A6" w:rsidR="004231A6" w:rsidP="00BF3D31" w:rsidRDefault="004231A6">
      <w:pPr>
        <w:spacing w:after="160" w:line="480" w:lineRule="auto"/>
        <w:ind w:left="706"/>
        <w:jc w:val="both"/>
        <w:rPr>
          <w:rFonts w:ascii="Arial" w:hAnsi="Arial"/>
          <w:noProof w:val="0"/>
          <w:rtl/>
        </w:rPr>
      </w:pPr>
      <w:r w:rsidRPr="004231A6">
        <w:rPr>
          <w:rFonts w:ascii="Arial" w:hAnsi="Arial"/>
          <w:noProof w:val="0"/>
          <w:rtl/>
        </w:rPr>
        <w:t>כך ניסו המבקשים לטעון כי קיימת אי-התאמה בין מספר הארוחות המופיעות ברישומי סיבוס ובין מ</w:t>
      </w:r>
      <w:r w:rsidR="00BF3D31">
        <w:rPr>
          <w:rFonts w:ascii="Arial" w:hAnsi="Arial"/>
          <w:noProof w:val="0"/>
          <w:rtl/>
        </w:rPr>
        <w:t>ספר הארוחות המופיעות בתלוש השכר</w:t>
      </w:r>
      <w:r w:rsidR="00BF3D31">
        <w:rPr>
          <w:rFonts w:hint="cs" w:ascii="Arial" w:hAnsi="Arial"/>
          <w:noProof w:val="0"/>
          <w:rtl/>
        </w:rPr>
        <w:t xml:space="preserve">. </w:t>
      </w:r>
      <w:r w:rsidRPr="004231A6">
        <w:rPr>
          <w:rFonts w:ascii="Arial" w:hAnsi="Arial"/>
          <w:noProof w:val="0"/>
          <w:rtl/>
        </w:rPr>
        <w:t>מר טרגן הסביר בפשטות כי ייתכן שמחלקת משאבי האנוש אצל המעסיק לא שינתה את הגדרת הספק בעקבות חילופי ספקים (ע' 57, ש. 24 – ע' 58, ש. 11);</w:t>
      </w:r>
    </w:p>
    <w:p w:rsidRPr="004231A6" w:rsidR="004231A6" w:rsidP="00BF3D31" w:rsidRDefault="004231A6">
      <w:pPr>
        <w:spacing w:after="160" w:line="480" w:lineRule="auto"/>
        <w:ind w:left="706"/>
        <w:jc w:val="both"/>
        <w:rPr>
          <w:rFonts w:ascii="Arial" w:hAnsi="Arial"/>
          <w:noProof w:val="0"/>
          <w:rtl/>
        </w:rPr>
      </w:pPr>
      <w:r w:rsidRPr="004231A6">
        <w:rPr>
          <w:rFonts w:ascii="Arial" w:hAnsi="Arial"/>
          <w:noProof w:val="0"/>
          <w:rtl/>
        </w:rPr>
        <w:t>כך למשל</w:t>
      </w:r>
      <w:r w:rsidR="00BF3D31">
        <w:rPr>
          <w:rFonts w:hint="cs" w:ascii="Arial" w:hAnsi="Arial"/>
          <w:noProof w:val="0"/>
          <w:rtl/>
        </w:rPr>
        <w:t>,</w:t>
      </w:r>
      <w:r w:rsidRPr="004231A6">
        <w:rPr>
          <w:rFonts w:ascii="Arial" w:hAnsi="Arial"/>
          <w:noProof w:val="0"/>
          <w:rtl/>
        </w:rPr>
        <w:t xml:space="preserve"> ניסו המבקשים לטעון כי ייתכן ואדם אחר בחברה בה הועסקו מילא</w:t>
      </w:r>
      <w:r w:rsidR="00BF3D31">
        <w:rPr>
          <w:rFonts w:ascii="Arial" w:hAnsi="Arial"/>
          <w:noProof w:val="0"/>
          <w:rtl/>
        </w:rPr>
        <w:t xml:space="preserve"> את פרטיהם האישיים לצורך ההרשמה</w:t>
      </w:r>
      <w:r w:rsidR="00BF3D31">
        <w:rPr>
          <w:rFonts w:hint="cs" w:ascii="Arial" w:hAnsi="Arial"/>
          <w:noProof w:val="0"/>
          <w:rtl/>
        </w:rPr>
        <w:t>. מר</w:t>
      </w:r>
      <w:r w:rsidRPr="004231A6">
        <w:rPr>
          <w:rFonts w:ascii="Arial" w:hAnsi="Arial"/>
          <w:noProof w:val="0"/>
          <w:rtl/>
        </w:rPr>
        <w:t xml:space="preserve"> טרגן הבהיר כי הוא רואה שהוזנו פרטים אישיים דוגמת כתובת דוא"ל אישית ושמה של אחת מנשות המבקשים וכן כי הסיסמה המונפקת לצורך כניסה למערכת ההרשמה מוצפנת ואינה גלויה לנציגי השירות של סיבוס (ע' 58, ש. 18-33);</w:t>
      </w:r>
    </w:p>
    <w:p w:rsidRPr="004231A6" w:rsidR="004231A6" w:rsidP="0030626C" w:rsidRDefault="004231A6">
      <w:pPr>
        <w:spacing w:after="160" w:line="480" w:lineRule="auto"/>
        <w:ind w:left="706"/>
        <w:jc w:val="both"/>
        <w:rPr>
          <w:rFonts w:ascii="Arial" w:hAnsi="Arial"/>
          <w:noProof w:val="0"/>
          <w:rtl/>
        </w:rPr>
      </w:pPr>
      <w:r w:rsidRPr="004231A6">
        <w:rPr>
          <w:rFonts w:ascii="Arial" w:hAnsi="Arial"/>
          <w:noProof w:val="0"/>
          <w:rtl/>
        </w:rPr>
        <w:t>ו</w:t>
      </w:r>
      <w:r w:rsidR="0030626C">
        <w:rPr>
          <w:rFonts w:hint="cs" w:ascii="Arial" w:hAnsi="Arial"/>
          <w:noProof w:val="0"/>
          <w:rtl/>
        </w:rPr>
        <w:t xml:space="preserve">בנוסף, </w:t>
      </w:r>
      <w:r w:rsidRPr="004231A6">
        <w:rPr>
          <w:rFonts w:ascii="Arial" w:hAnsi="Arial"/>
          <w:noProof w:val="0"/>
          <w:rtl/>
        </w:rPr>
        <w:t xml:space="preserve"> ניסו המבקשים לטעון כי המסמכים שהוצגו אינם אותנטיים מכיוון שהוצג בהם לוגו של חברת סודסקו ולא של חברת סיבוס</w:t>
      </w:r>
      <w:r w:rsidR="0030626C">
        <w:rPr>
          <w:rFonts w:hint="cs" w:ascii="Arial" w:hAnsi="Arial"/>
          <w:noProof w:val="0"/>
          <w:rtl/>
        </w:rPr>
        <w:t>, ומר</w:t>
      </w:r>
      <w:r w:rsidRPr="004231A6">
        <w:rPr>
          <w:rFonts w:ascii="Arial" w:hAnsi="Arial"/>
          <w:noProof w:val="0"/>
          <w:rtl/>
        </w:rPr>
        <w:t xml:space="preserve"> טרגן הבהיר כי מדובר בעניין עיצובי וכי מסביב לשדות הנתונים שלא השתנו קיימת מסגרת עיצובית שהיא זו ששינתה צורה בעקבות רכישת סיבוס על ידי סודסקו (ע' 63, ש. 17-22) </w:t>
      </w:r>
    </w:p>
    <w:p w:rsidRPr="004231A6" w:rsidR="004231A6" w:rsidP="004231A6" w:rsidRDefault="004231A6">
      <w:pPr>
        <w:spacing w:after="160" w:line="480" w:lineRule="auto"/>
        <w:ind w:left="720"/>
        <w:contextualSpacing/>
        <w:jc w:val="both"/>
        <w:rPr>
          <w:rFonts w:cs="Arial" w:asciiTheme="minorHAnsi" w:hAnsiTheme="minorHAnsi"/>
          <w:noProof w:val="0"/>
          <w:rtl/>
        </w:rPr>
      </w:pPr>
    </w:p>
    <w:p w:rsidRPr="004231A6" w:rsidR="004231A6" w:rsidP="004231A6" w:rsidRDefault="004231A6">
      <w:pPr>
        <w:spacing w:after="160" w:line="480" w:lineRule="auto"/>
        <w:ind w:left="706"/>
        <w:contextualSpacing/>
        <w:jc w:val="both"/>
        <w:rPr>
          <w:rFonts w:ascii="Arial" w:hAnsi="Arial"/>
          <w:noProof w:val="0"/>
          <w:rtl/>
        </w:rPr>
      </w:pPr>
      <w:r w:rsidRPr="004231A6">
        <w:rPr>
          <w:rFonts w:ascii="Arial" w:hAnsi="Arial"/>
          <w:noProof w:val="0"/>
          <w:rtl/>
        </w:rPr>
        <w:lastRenderedPageBreak/>
        <w:t>הוכח</w:t>
      </w:r>
      <w:r w:rsidR="00980A53">
        <w:rPr>
          <w:rFonts w:ascii="Arial" w:hAnsi="Arial"/>
          <w:noProof w:val="0"/>
          <w:rtl/>
        </w:rPr>
        <w:t xml:space="preserve"> </w:t>
      </w:r>
      <w:r w:rsidRPr="004231A6">
        <w:rPr>
          <w:rFonts w:ascii="Arial" w:hAnsi="Arial"/>
          <w:noProof w:val="0"/>
          <w:rtl/>
        </w:rPr>
        <w:t>לפיכך כי המבקשים 1-2 הצטרפו למועדון המשיבה ונתנו הסכמתם לקבלת מסרוני הפרסום,</w:t>
      </w:r>
      <w:r w:rsidR="00980A53">
        <w:rPr>
          <w:rFonts w:ascii="Arial" w:hAnsi="Arial"/>
          <w:noProof w:val="0"/>
          <w:rtl/>
        </w:rPr>
        <w:t xml:space="preserve"> </w:t>
      </w:r>
      <w:r w:rsidRPr="004231A6">
        <w:rPr>
          <w:rFonts w:ascii="Arial" w:hAnsi="Arial"/>
          <w:noProof w:val="0"/>
          <w:rtl/>
        </w:rPr>
        <w:t>ואין להם</w:t>
      </w:r>
      <w:r w:rsidR="00980A53">
        <w:rPr>
          <w:rFonts w:ascii="Arial" w:hAnsi="Arial"/>
          <w:noProof w:val="0"/>
          <w:rtl/>
        </w:rPr>
        <w:t xml:space="preserve"> </w:t>
      </w:r>
      <w:r w:rsidRPr="004231A6">
        <w:rPr>
          <w:rFonts w:ascii="Arial" w:hAnsi="Arial"/>
          <w:noProof w:val="0"/>
          <w:rtl/>
        </w:rPr>
        <w:t xml:space="preserve">עילת תביעה אישית כנגד המשיבה בכל הנוגע לטענה למשלוח מסרוני פרסומת בהעדר הסכמה. </w:t>
      </w:r>
    </w:p>
    <w:p w:rsidRPr="004231A6" w:rsidR="004231A6" w:rsidP="004231A6" w:rsidRDefault="004231A6">
      <w:pPr>
        <w:spacing w:after="160" w:line="480" w:lineRule="auto"/>
        <w:ind w:left="706"/>
        <w:contextualSpacing/>
        <w:jc w:val="both"/>
        <w:rPr>
          <w:rFonts w:ascii="Arial" w:hAnsi="Arial"/>
          <w:noProof w:val="0"/>
          <w:rtl/>
        </w:rPr>
      </w:pPr>
      <w:r w:rsidRPr="004231A6">
        <w:rPr>
          <w:rFonts w:ascii="Arial" w:hAnsi="Arial"/>
          <w:noProof w:val="0"/>
          <w:rtl/>
        </w:rPr>
        <w:t>בכל הנוגע לעילת התביעה האישית של המבקש 3 לא התבררה די הצורך המחלוקת העובדתית ביחס לנסיבות רישום מספר הטלפון הספציפי במאגר הלקוחות של המשיבה. אף אם קיימת למבקש עילת תביעה אישית</w:t>
      </w:r>
      <w:r w:rsidR="00AC0D5A">
        <w:rPr>
          <w:rFonts w:hint="cs" w:ascii="Arial" w:hAnsi="Arial"/>
          <w:noProof w:val="0"/>
          <w:rtl/>
        </w:rPr>
        <w:t>,</w:t>
      </w:r>
      <w:r w:rsidRPr="004231A6">
        <w:rPr>
          <w:rFonts w:ascii="Arial" w:hAnsi="Arial"/>
          <w:noProof w:val="0"/>
          <w:rtl/>
        </w:rPr>
        <w:t xml:space="preserve"> ממילא קיימים קשיים נוספים בפניהם עומדת תביעתו האישית של המבקש 3 דוגמת העובדה שהטלפון היה בשימושו של בנו של המבקש 3 ולא בשימוש המבקש 3 כך שכלל לא ברור שהמבקש 3 הוא בעל זכות התביעה או כי נגרם נזק כלשהו למבקש 3 עצמו (ראו חקירת המבקש 3 בעניין זה בע' 17, ש. 6 ואילך). </w:t>
      </w:r>
    </w:p>
    <w:p w:rsidRPr="004231A6" w:rsidR="004231A6" w:rsidP="004231A6" w:rsidRDefault="004231A6">
      <w:pPr>
        <w:spacing w:after="160" w:line="480" w:lineRule="auto"/>
        <w:ind w:left="706"/>
        <w:contextualSpacing/>
        <w:jc w:val="both"/>
        <w:rPr>
          <w:rFonts w:ascii="Arial" w:hAnsi="Arial"/>
          <w:noProof w:val="0"/>
          <w:rtl/>
        </w:rPr>
      </w:pPr>
      <w:r w:rsidRPr="004231A6">
        <w:rPr>
          <w:rFonts w:ascii="Arial" w:hAnsi="Arial"/>
          <w:noProof w:val="0"/>
          <w:rtl/>
        </w:rPr>
        <w:t>ביחס</w:t>
      </w:r>
      <w:r w:rsidR="00980A53">
        <w:rPr>
          <w:rFonts w:ascii="Arial" w:hAnsi="Arial"/>
          <w:noProof w:val="0"/>
          <w:rtl/>
        </w:rPr>
        <w:t xml:space="preserve"> </w:t>
      </w:r>
      <w:r w:rsidRPr="004231A6">
        <w:rPr>
          <w:rFonts w:ascii="Arial" w:hAnsi="Arial"/>
          <w:noProof w:val="0"/>
          <w:rtl/>
        </w:rPr>
        <w:t>לאי-ההסרה הנטענת</w:t>
      </w:r>
      <w:r w:rsidR="00AC0D5A">
        <w:rPr>
          <w:rFonts w:hint="cs" w:ascii="Arial" w:hAnsi="Arial"/>
          <w:noProof w:val="0"/>
          <w:rtl/>
        </w:rPr>
        <w:t>,</w:t>
      </w:r>
      <w:r w:rsidRPr="004231A6">
        <w:rPr>
          <w:rFonts w:ascii="Arial" w:hAnsi="Arial"/>
          <w:noProof w:val="0"/>
          <w:rtl/>
        </w:rPr>
        <w:t xml:space="preserve"> הרי שכמפורט לעיל קיים ספק אם ניתן לראות במכתב הדרישה ששיגר המבקש 1 כהודעת סירוב על פי חוק התקשורת; ביחס למבקש 2 אישרה המשיבה שמדובר ב"תקלה נקודתית" ואילו המבקש 3 הוסר מרשימת הדיוור לאחר ששלח הודעת סירוב באמצעות מסרון. המשיבה אף טוענת במדה </w:t>
      </w:r>
      <w:r w:rsidR="00AC0D5A">
        <w:rPr>
          <w:rFonts w:hint="cs" w:ascii="Arial" w:hAnsi="Arial"/>
          <w:noProof w:val="0"/>
          <w:rtl/>
        </w:rPr>
        <w:t xml:space="preserve"> </w:t>
      </w:r>
      <w:r w:rsidRPr="004231A6">
        <w:rPr>
          <w:rFonts w:ascii="Arial" w:hAnsi="Arial"/>
          <w:noProof w:val="0"/>
          <w:rtl/>
        </w:rPr>
        <w:t>רבה של צדק כי עניינו של המבקש 3 מלמד על הכלל לפיו היא פועלת בהתאם להודעות הסירוב שנשלחות אליה.</w:t>
      </w:r>
    </w:p>
    <w:p w:rsidRPr="004231A6" w:rsidR="004231A6" w:rsidP="004231A6" w:rsidRDefault="00980A53">
      <w:pPr>
        <w:spacing w:after="160" w:line="480" w:lineRule="auto"/>
        <w:ind w:left="720"/>
        <w:contextualSpacing/>
        <w:jc w:val="both"/>
        <w:rPr>
          <w:rFonts w:ascii="Arial" w:hAnsi="Arial"/>
          <w:noProof w:val="0"/>
          <w:rtl/>
        </w:rPr>
      </w:pPr>
      <w:r>
        <w:rPr>
          <w:rFonts w:ascii="Arial" w:hAnsi="Arial"/>
          <w:noProof w:val="0"/>
          <w:rtl/>
        </w:rPr>
        <w:t xml:space="preserve"> </w:t>
      </w:r>
    </w:p>
    <w:p w:rsidRPr="004231A6" w:rsidR="004231A6" w:rsidP="004231A6" w:rsidRDefault="004231A6">
      <w:pPr>
        <w:numPr>
          <w:ilvl w:val="0"/>
          <w:numId w:val="2"/>
        </w:numPr>
        <w:spacing w:after="160" w:line="480" w:lineRule="auto"/>
        <w:ind w:left="706" w:hanging="425"/>
        <w:contextualSpacing/>
        <w:jc w:val="both"/>
        <w:rPr>
          <w:rFonts w:ascii="Arial" w:hAnsi="Arial"/>
          <w:noProof w:val="0"/>
        </w:rPr>
      </w:pPr>
      <w:r w:rsidRPr="004231A6">
        <w:rPr>
          <w:rFonts w:ascii="Arial" w:hAnsi="Arial"/>
          <w:noProof w:val="0"/>
          <w:rtl/>
        </w:rPr>
        <w:t xml:space="preserve">מסקנתי היא כי אין בדוגמאות הבלתי מייצגות של המבקשים, שכאמור לעיל חלקן אף אינן מלמדות על הפרת הדין על ידי המשיבה, כדי לעמוד בנטל להראות שתובענה ייצוגית היא הדרך היעילה וההוגנת להכריע במחלוקת בנסיבות העניין או כי קיימת קבוצת נפגעים המצדיקה ניהול התובענה כייצוגית. </w:t>
      </w:r>
    </w:p>
    <w:p w:rsidRPr="004231A6" w:rsidR="004231A6" w:rsidP="004231A6" w:rsidRDefault="004231A6">
      <w:pPr>
        <w:spacing w:after="160" w:line="480" w:lineRule="auto"/>
        <w:ind w:left="720"/>
        <w:contextualSpacing/>
        <w:jc w:val="both"/>
        <w:rPr>
          <w:rFonts w:ascii="Arial" w:hAnsi="Arial"/>
          <w:noProof w:val="0"/>
        </w:rPr>
      </w:pPr>
    </w:p>
    <w:p w:rsidRPr="004231A6" w:rsidR="004231A6" w:rsidP="004231A6" w:rsidRDefault="004231A6">
      <w:pPr>
        <w:spacing w:after="160" w:line="480" w:lineRule="auto"/>
        <w:ind w:left="706"/>
        <w:contextualSpacing/>
        <w:jc w:val="both"/>
        <w:rPr>
          <w:rFonts w:ascii="Arial" w:hAnsi="Arial"/>
          <w:noProof w:val="0"/>
          <w:rtl/>
        </w:rPr>
      </w:pPr>
      <w:r w:rsidRPr="004231A6">
        <w:rPr>
          <w:rFonts w:ascii="Arial" w:hAnsi="Arial"/>
          <w:noProof w:val="0"/>
          <w:rtl/>
        </w:rPr>
        <w:t xml:space="preserve">בנוסף על שתי התביעות הקטנות אליהן הפנו המבקשים בבקשת האישור, ובעקבות הליך גילוי המסמכים שהתקיים בין הצדדים ותשובות המשיבה לשאלון שנשלח אליה, הציגו המבקשים את תשובת המשיבה לשאלון לפיה קיימות 11 פניות נוספות למשיבה בעניינים נשוא בקשת האישור וכן 9 הליכים משפטיים נוספים בבית המשפט לתביעות קטנות (מוצגים </w:t>
      </w:r>
      <w:r w:rsidRPr="004231A6">
        <w:rPr>
          <w:rFonts w:ascii="Arial" w:hAnsi="Arial"/>
          <w:noProof w:val="0"/>
          <w:rtl/>
        </w:rPr>
        <w:lastRenderedPageBreak/>
        <w:t xml:space="preserve">מב/1 ו- מב/22). במסגרת חקירתו של מר לבייב הוצגו כ- 3 הליכים משפטיים נוספים שנטען כי לא גולו בתשובה לשאלון (ע' 68-70). </w:t>
      </w:r>
    </w:p>
    <w:p w:rsidRPr="004231A6" w:rsidR="004231A6" w:rsidP="004231A6" w:rsidRDefault="004231A6">
      <w:pPr>
        <w:spacing w:after="160" w:line="480" w:lineRule="auto"/>
        <w:ind w:left="720"/>
        <w:contextualSpacing/>
        <w:jc w:val="both"/>
        <w:rPr>
          <w:rFonts w:ascii="Arial" w:hAnsi="Arial"/>
          <w:noProof w:val="0"/>
          <w:rtl/>
        </w:rPr>
      </w:pPr>
    </w:p>
    <w:p w:rsidRPr="004231A6" w:rsidR="004231A6" w:rsidP="004231A6" w:rsidRDefault="004231A6">
      <w:pPr>
        <w:spacing w:after="160" w:line="480" w:lineRule="auto"/>
        <w:ind w:left="706"/>
        <w:contextualSpacing/>
        <w:jc w:val="both"/>
        <w:rPr>
          <w:rFonts w:ascii="Arial" w:hAnsi="Arial"/>
          <w:noProof w:val="0"/>
          <w:rtl/>
        </w:rPr>
      </w:pPr>
      <w:r w:rsidRPr="004231A6">
        <w:rPr>
          <w:rFonts w:ascii="Arial" w:hAnsi="Arial"/>
          <w:noProof w:val="0"/>
          <w:rtl/>
        </w:rPr>
        <w:t>לשיטת המבקשים טענת המשיבה לקיומן של "תקלות נקודתיות" אינו עולה בקנה אחד עם מספר התביעות והתלונות שהוצגו על ידם (ס' 55 לסיכומי המשיבה).</w:t>
      </w:r>
      <w:r w:rsidR="00980A53">
        <w:rPr>
          <w:rFonts w:ascii="Arial" w:hAnsi="Arial"/>
          <w:noProof w:val="0"/>
          <w:rtl/>
        </w:rPr>
        <w:t xml:space="preserve"> </w:t>
      </w:r>
      <w:r w:rsidRPr="004231A6">
        <w:rPr>
          <w:rFonts w:ascii="Arial" w:hAnsi="Arial"/>
          <w:noProof w:val="0"/>
          <w:rtl/>
        </w:rPr>
        <w:t>לא ניתן לקבל טענה זו, ולהבנתי לאור מספרן של התלונות והתביעות נגזרת דווקא מסקנה הפוכה והיא כי לא עלה בידי המבקשים להוכיח "שיטת פעולה" פסולה של המשיבה או כי מדובר ב"מדיניות מכוונת" של המשיבה.</w:t>
      </w:r>
    </w:p>
    <w:p w:rsidRPr="004231A6" w:rsidR="004231A6" w:rsidP="004231A6" w:rsidRDefault="004231A6">
      <w:pPr>
        <w:spacing w:after="160" w:line="480" w:lineRule="auto"/>
        <w:ind w:left="720"/>
        <w:contextualSpacing/>
        <w:jc w:val="both"/>
        <w:rPr>
          <w:rFonts w:ascii="Arial" w:hAnsi="Arial"/>
          <w:noProof w:val="0"/>
          <w:rtl/>
        </w:rPr>
      </w:pPr>
    </w:p>
    <w:p w:rsidRPr="004231A6" w:rsidR="004231A6" w:rsidP="004231A6" w:rsidRDefault="004231A6">
      <w:pPr>
        <w:spacing w:after="160" w:line="480" w:lineRule="auto"/>
        <w:ind w:left="706"/>
        <w:contextualSpacing/>
        <w:jc w:val="both"/>
        <w:rPr>
          <w:rFonts w:ascii="Arial" w:hAnsi="Arial"/>
          <w:noProof w:val="0"/>
          <w:rtl/>
        </w:rPr>
      </w:pPr>
      <w:r w:rsidRPr="004231A6">
        <w:rPr>
          <w:rFonts w:ascii="Arial" w:hAnsi="Arial"/>
          <w:noProof w:val="0"/>
          <w:rtl/>
        </w:rPr>
        <w:t xml:space="preserve">לשיטת המבקשים עצמם במועדון הלקוחות שמפעילה המשיבה חברים מעל ל- 663,000 בתי אב, כאשר על חברי המועדון נמנים 43,000 מחזיקי כרטיס ההסעדה "סיבוס" (ס' 2 לבקשת האישור); עד המשיבה מר לבייב הבהיר כי נכון למועד חקירתו למשיבה </w:t>
      </w:r>
      <w:r w:rsidRPr="004231A6">
        <w:rPr>
          <w:rFonts w:ascii="David" w:hAnsi="David"/>
          <w:noProof w:val="0"/>
          <w:rtl/>
        </w:rPr>
        <w:t xml:space="preserve">693,000 </w:t>
      </w:r>
      <w:r w:rsidRPr="004231A6">
        <w:rPr>
          <w:rFonts w:hint="eastAsia" w:ascii="David" w:hAnsi="David"/>
          <w:noProof w:val="0"/>
          <w:rtl/>
        </w:rPr>
        <w:t>חברי</w:t>
      </w:r>
      <w:r w:rsidRPr="004231A6">
        <w:rPr>
          <w:rFonts w:ascii="David" w:hAnsi="David"/>
          <w:noProof w:val="0"/>
          <w:rtl/>
        </w:rPr>
        <w:t xml:space="preserve"> </w:t>
      </w:r>
      <w:r w:rsidRPr="004231A6">
        <w:rPr>
          <w:rFonts w:hint="eastAsia" w:ascii="David" w:hAnsi="David"/>
          <w:noProof w:val="0"/>
          <w:rtl/>
        </w:rPr>
        <w:t>מועדון</w:t>
      </w:r>
      <w:r w:rsidRPr="004231A6">
        <w:rPr>
          <w:rFonts w:ascii="David" w:hAnsi="David"/>
          <w:noProof w:val="0"/>
          <w:rtl/>
        </w:rPr>
        <w:t xml:space="preserve">; </w:t>
      </w:r>
      <w:r w:rsidRPr="004231A6">
        <w:rPr>
          <w:rFonts w:hint="eastAsia" w:ascii="David" w:hAnsi="David"/>
          <w:noProof w:val="0"/>
          <w:rtl/>
        </w:rPr>
        <w:t>כי</w:t>
      </w:r>
      <w:r w:rsidRPr="004231A6">
        <w:rPr>
          <w:rFonts w:ascii="David" w:hAnsi="David"/>
          <w:noProof w:val="0"/>
          <w:rtl/>
        </w:rPr>
        <w:t xml:space="preserve"> </w:t>
      </w:r>
      <w:r w:rsidRPr="004231A6">
        <w:rPr>
          <w:rFonts w:hint="eastAsia" w:ascii="David" w:hAnsi="David"/>
          <w:noProof w:val="0"/>
          <w:rtl/>
        </w:rPr>
        <w:t>משנת</w:t>
      </w:r>
      <w:r w:rsidRPr="004231A6">
        <w:rPr>
          <w:rFonts w:ascii="David" w:hAnsi="David"/>
          <w:noProof w:val="0"/>
          <w:rtl/>
        </w:rPr>
        <w:t xml:space="preserve"> 2001 </w:t>
      </w:r>
      <w:r w:rsidRPr="004231A6">
        <w:rPr>
          <w:rFonts w:hint="eastAsia" w:ascii="David" w:hAnsi="David"/>
          <w:noProof w:val="0"/>
          <w:rtl/>
        </w:rPr>
        <w:t>ועד</w:t>
      </w:r>
      <w:r w:rsidRPr="004231A6">
        <w:rPr>
          <w:rFonts w:ascii="David" w:hAnsi="David"/>
          <w:noProof w:val="0"/>
          <w:rtl/>
        </w:rPr>
        <w:t xml:space="preserve"> </w:t>
      </w:r>
      <w:r w:rsidRPr="004231A6">
        <w:rPr>
          <w:rFonts w:hint="eastAsia" w:ascii="David" w:hAnsi="David"/>
          <w:noProof w:val="0"/>
          <w:rtl/>
        </w:rPr>
        <w:t>היום</w:t>
      </w:r>
      <w:r w:rsidRPr="004231A6">
        <w:rPr>
          <w:rFonts w:ascii="David" w:hAnsi="David"/>
          <w:noProof w:val="0"/>
          <w:rtl/>
        </w:rPr>
        <w:t xml:space="preserve"> </w:t>
      </w:r>
      <w:r w:rsidRPr="004231A6">
        <w:rPr>
          <w:rFonts w:hint="eastAsia" w:ascii="David" w:hAnsi="David"/>
          <w:noProof w:val="0"/>
          <w:rtl/>
        </w:rPr>
        <w:t>היו</w:t>
      </w:r>
      <w:r w:rsidRPr="004231A6">
        <w:rPr>
          <w:rFonts w:ascii="David" w:hAnsi="David"/>
          <w:noProof w:val="0"/>
          <w:rtl/>
        </w:rPr>
        <w:t xml:space="preserve"> </w:t>
      </w:r>
      <w:r w:rsidRPr="004231A6">
        <w:rPr>
          <w:rFonts w:hint="eastAsia" w:ascii="David" w:hAnsi="David"/>
          <w:noProof w:val="0"/>
          <w:rtl/>
        </w:rPr>
        <w:t>חברים</w:t>
      </w:r>
      <w:r w:rsidRPr="004231A6">
        <w:rPr>
          <w:rFonts w:ascii="David" w:hAnsi="David"/>
          <w:noProof w:val="0"/>
          <w:rtl/>
        </w:rPr>
        <w:t xml:space="preserve"> </w:t>
      </w:r>
      <w:r w:rsidRPr="004231A6">
        <w:rPr>
          <w:rFonts w:hint="eastAsia" w:ascii="David" w:hAnsi="David"/>
          <w:noProof w:val="0"/>
          <w:rtl/>
        </w:rPr>
        <w:t>במועדון</w:t>
      </w:r>
      <w:r w:rsidRPr="004231A6">
        <w:rPr>
          <w:rFonts w:ascii="David" w:hAnsi="David"/>
          <w:noProof w:val="0"/>
          <w:rtl/>
        </w:rPr>
        <w:t xml:space="preserve"> </w:t>
      </w:r>
      <w:r w:rsidRPr="004231A6">
        <w:rPr>
          <w:rFonts w:hint="eastAsia" w:ascii="David" w:hAnsi="David"/>
          <w:noProof w:val="0"/>
          <w:rtl/>
        </w:rPr>
        <w:t>הלקוחות</w:t>
      </w:r>
      <w:r w:rsidRPr="004231A6">
        <w:rPr>
          <w:rFonts w:ascii="David" w:hAnsi="David"/>
          <w:noProof w:val="0"/>
          <w:rtl/>
        </w:rPr>
        <w:t xml:space="preserve"> </w:t>
      </w:r>
      <w:r w:rsidRPr="004231A6">
        <w:rPr>
          <w:rFonts w:hint="eastAsia" w:ascii="David" w:hAnsi="David"/>
          <w:noProof w:val="0"/>
          <w:rtl/>
        </w:rPr>
        <w:t>כ</w:t>
      </w:r>
      <w:r w:rsidRPr="004231A6">
        <w:rPr>
          <w:rFonts w:ascii="David" w:hAnsi="David"/>
          <w:noProof w:val="0"/>
          <w:rtl/>
        </w:rPr>
        <w:t xml:space="preserve">- 2.8 </w:t>
      </w:r>
      <w:r w:rsidRPr="004231A6">
        <w:rPr>
          <w:rFonts w:hint="eastAsia" w:ascii="David" w:hAnsi="David"/>
          <w:noProof w:val="0"/>
          <w:rtl/>
        </w:rPr>
        <w:t>מיליון</w:t>
      </w:r>
      <w:r w:rsidRPr="004231A6">
        <w:rPr>
          <w:rFonts w:ascii="David" w:hAnsi="David"/>
          <w:noProof w:val="0"/>
          <w:rtl/>
        </w:rPr>
        <w:t xml:space="preserve"> </w:t>
      </w:r>
      <w:r w:rsidRPr="004231A6">
        <w:rPr>
          <w:rFonts w:hint="eastAsia" w:ascii="David" w:hAnsi="David"/>
          <w:noProof w:val="0"/>
          <w:rtl/>
        </w:rPr>
        <w:t>לקוחות</w:t>
      </w:r>
      <w:r w:rsidRPr="004231A6">
        <w:rPr>
          <w:rFonts w:ascii="David" w:hAnsi="David"/>
          <w:noProof w:val="0"/>
          <w:rtl/>
        </w:rPr>
        <w:t xml:space="preserve">; </w:t>
      </w:r>
      <w:r w:rsidRPr="004231A6">
        <w:rPr>
          <w:rFonts w:hint="eastAsia" w:ascii="David" w:hAnsi="David"/>
          <w:noProof w:val="0"/>
          <w:rtl/>
        </w:rPr>
        <w:t>כי</w:t>
      </w:r>
      <w:r w:rsidRPr="004231A6">
        <w:rPr>
          <w:rFonts w:ascii="David" w:hAnsi="David"/>
          <w:noProof w:val="0"/>
          <w:rtl/>
        </w:rPr>
        <w:t xml:space="preserve"> </w:t>
      </w:r>
      <w:r w:rsidRPr="004231A6">
        <w:rPr>
          <w:rFonts w:hint="eastAsia" w:ascii="David" w:hAnsi="David"/>
          <w:noProof w:val="0"/>
          <w:rtl/>
        </w:rPr>
        <w:t>כל</w:t>
      </w:r>
      <w:r w:rsidRPr="004231A6">
        <w:rPr>
          <w:rFonts w:ascii="David" w:hAnsi="David"/>
          <w:noProof w:val="0"/>
          <w:rtl/>
        </w:rPr>
        <w:t xml:space="preserve"> </w:t>
      </w:r>
      <w:r w:rsidRPr="004231A6">
        <w:rPr>
          <w:rFonts w:hint="eastAsia" w:ascii="David" w:hAnsi="David"/>
          <w:noProof w:val="0"/>
          <w:rtl/>
        </w:rPr>
        <w:t>חודש</w:t>
      </w:r>
      <w:r w:rsidRPr="004231A6">
        <w:rPr>
          <w:rFonts w:ascii="David" w:hAnsi="David"/>
          <w:noProof w:val="0"/>
          <w:rtl/>
        </w:rPr>
        <w:t xml:space="preserve"> </w:t>
      </w:r>
      <w:r w:rsidRPr="004231A6">
        <w:rPr>
          <w:rFonts w:hint="eastAsia" w:ascii="David" w:hAnsi="David"/>
          <w:noProof w:val="0"/>
          <w:rtl/>
        </w:rPr>
        <w:t>מגויסים</w:t>
      </w:r>
      <w:r w:rsidRPr="004231A6">
        <w:rPr>
          <w:rFonts w:ascii="David" w:hAnsi="David"/>
          <w:noProof w:val="0"/>
          <w:rtl/>
        </w:rPr>
        <w:t xml:space="preserve"> </w:t>
      </w:r>
      <w:r w:rsidRPr="004231A6">
        <w:rPr>
          <w:rFonts w:hint="eastAsia" w:ascii="David" w:hAnsi="David"/>
          <w:noProof w:val="0"/>
          <w:rtl/>
        </w:rPr>
        <w:t>למועדון</w:t>
      </w:r>
      <w:r w:rsidRPr="004231A6">
        <w:rPr>
          <w:rFonts w:ascii="David" w:hAnsi="David"/>
          <w:noProof w:val="0"/>
          <w:rtl/>
        </w:rPr>
        <w:t xml:space="preserve"> </w:t>
      </w:r>
      <w:r w:rsidRPr="004231A6">
        <w:rPr>
          <w:rFonts w:hint="eastAsia" w:ascii="David" w:hAnsi="David"/>
          <w:noProof w:val="0"/>
          <w:rtl/>
        </w:rPr>
        <w:t>הלקוחות</w:t>
      </w:r>
      <w:r w:rsidRPr="004231A6">
        <w:rPr>
          <w:rFonts w:ascii="David" w:hAnsi="David"/>
          <w:noProof w:val="0"/>
          <w:rtl/>
        </w:rPr>
        <w:t xml:space="preserve"> </w:t>
      </w:r>
      <w:r w:rsidRPr="004231A6">
        <w:rPr>
          <w:rFonts w:hint="eastAsia" w:ascii="David" w:hAnsi="David"/>
          <w:noProof w:val="0"/>
          <w:rtl/>
        </w:rPr>
        <w:t>כ</w:t>
      </w:r>
      <w:r w:rsidRPr="004231A6">
        <w:rPr>
          <w:rFonts w:ascii="David" w:hAnsi="David"/>
          <w:noProof w:val="0"/>
          <w:rtl/>
        </w:rPr>
        <w:t xml:space="preserve">- 50,000 </w:t>
      </w:r>
      <w:r w:rsidRPr="004231A6">
        <w:rPr>
          <w:rFonts w:hint="eastAsia" w:ascii="David" w:hAnsi="David"/>
          <w:noProof w:val="0"/>
          <w:rtl/>
        </w:rPr>
        <w:t>לקוחות</w:t>
      </w:r>
      <w:r w:rsidRPr="004231A6">
        <w:rPr>
          <w:rFonts w:ascii="David" w:hAnsi="David"/>
          <w:noProof w:val="0"/>
          <w:rtl/>
        </w:rPr>
        <w:t xml:space="preserve"> </w:t>
      </w:r>
      <w:r w:rsidRPr="004231A6">
        <w:rPr>
          <w:rFonts w:hint="eastAsia" w:ascii="David" w:hAnsi="David"/>
          <w:noProof w:val="0"/>
          <w:rtl/>
        </w:rPr>
        <w:t>מחדשים</w:t>
      </w:r>
      <w:r w:rsidRPr="004231A6">
        <w:rPr>
          <w:rFonts w:ascii="David" w:hAnsi="David"/>
          <w:noProof w:val="0"/>
          <w:rtl/>
        </w:rPr>
        <w:t xml:space="preserve"> </w:t>
      </w:r>
      <w:r w:rsidRPr="004231A6">
        <w:rPr>
          <w:rFonts w:hint="eastAsia" w:ascii="David" w:hAnsi="David"/>
          <w:noProof w:val="0"/>
          <w:rtl/>
        </w:rPr>
        <w:t>וחדשים</w:t>
      </w:r>
      <w:r w:rsidRPr="004231A6">
        <w:rPr>
          <w:rFonts w:ascii="David" w:hAnsi="David"/>
          <w:noProof w:val="0"/>
          <w:rtl/>
        </w:rPr>
        <w:t xml:space="preserve"> (</w:t>
      </w:r>
      <w:r w:rsidRPr="004231A6">
        <w:rPr>
          <w:rFonts w:ascii="Arial" w:hAnsi="Arial"/>
          <w:noProof w:val="0"/>
          <w:rtl/>
        </w:rPr>
        <w:t>ע' 70, ש. 16-20); וכי בכל חודש מבקשים להסיר עצמם מרשימת הדיוור כ- 3,000 חברים במועדון הלקוחות (ע' 70, ש. 21-24). עוד ציין מר לבייב כי החל משנת 2010 המשיבה שולחת לחברי המועדון כל שנה כ- 50 מיליון מסרונים (ע' 67, ש. 34). המבקשים אינם חולקים על נתון זה ואף מסתמכים עליו (ראו ס' 45 לסיכומי המבקשים).</w:t>
      </w:r>
    </w:p>
    <w:p w:rsidRPr="004231A6" w:rsidR="004231A6" w:rsidP="004231A6" w:rsidRDefault="004231A6">
      <w:pPr>
        <w:spacing w:after="160" w:line="480" w:lineRule="auto"/>
        <w:ind w:left="720"/>
        <w:contextualSpacing/>
        <w:jc w:val="both"/>
        <w:rPr>
          <w:rFonts w:ascii="Arial" w:hAnsi="Arial"/>
          <w:noProof w:val="0"/>
          <w:rtl/>
        </w:rPr>
      </w:pPr>
    </w:p>
    <w:p w:rsidRPr="004231A6" w:rsidR="004231A6" w:rsidP="00F80D42" w:rsidRDefault="004231A6">
      <w:pPr>
        <w:spacing w:after="160" w:line="480" w:lineRule="auto"/>
        <w:ind w:left="706"/>
        <w:contextualSpacing/>
        <w:jc w:val="both"/>
        <w:rPr>
          <w:rFonts w:ascii="Arial" w:hAnsi="Arial"/>
          <w:noProof w:val="0"/>
          <w:rtl/>
        </w:rPr>
      </w:pPr>
      <w:r w:rsidRPr="004231A6">
        <w:rPr>
          <w:rFonts w:ascii="Arial" w:hAnsi="Arial"/>
          <w:noProof w:val="0"/>
          <w:rtl/>
        </w:rPr>
        <w:t>במצב דברים זה אין די בהסתמכות על קיומן של מספר מצומצם של תלונות ותביעות קטנות (שחלקן אף נמחק בהסכמת התובעים שם) כדי לעמוד בנטל ה</w:t>
      </w:r>
      <w:r w:rsidR="00F80D42">
        <w:rPr>
          <w:rFonts w:hint="cs" w:ascii="Arial" w:hAnsi="Arial"/>
          <w:noProof w:val="0"/>
          <w:rtl/>
        </w:rPr>
        <w:t xml:space="preserve">מוטל על </w:t>
      </w:r>
      <w:r w:rsidRPr="004231A6">
        <w:rPr>
          <w:rFonts w:ascii="Arial" w:hAnsi="Arial"/>
          <w:noProof w:val="0"/>
          <w:rtl/>
        </w:rPr>
        <w:t xml:space="preserve"> המבקשים. ראו פסק דינו של בית המשפט העליון בע"א 3948/11 </w:t>
      </w:r>
      <w:r w:rsidRPr="004231A6">
        <w:rPr>
          <w:rFonts w:ascii="Arial" w:hAnsi="Arial"/>
          <w:b/>
          <w:bCs/>
          <w:noProof w:val="0"/>
          <w:rtl/>
        </w:rPr>
        <w:t>חגי נ' פרטנר תקשורת בע"מ</w:t>
      </w:r>
      <w:r w:rsidRPr="004231A6">
        <w:rPr>
          <w:rFonts w:ascii="Arial" w:hAnsi="Arial"/>
          <w:noProof w:val="0"/>
          <w:rtl/>
        </w:rPr>
        <w:t xml:space="preserve"> (20.11.2012) שם נקבע כי:</w:t>
      </w:r>
    </w:p>
    <w:p w:rsidRPr="004231A6" w:rsidR="004231A6" w:rsidP="004231A6" w:rsidRDefault="004231A6">
      <w:pPr>
        <w:spacing w:after="160" w:line="480" w:lineRule="auto"/>
        <w:ind w:left="1125" w:right="567"/>
        <w:jc w:val="both"/>
        <w:rPr>
          <w:rFonts w:ascii="Arial" w:hAnsi="Arial"/>
          <w:b/>
          <w:bCs/>
          <w:noProof w:val="0"/>
          <w:rtl/>
        </w:rPr>
      </w:pPr>
      <w:r w:rsidRPr="004231A6">
        <w:rPr>
          <w:rFonts w:ascii="Arial" w:hAnsi="Arial"/>
          <w:noProof w:val="0"/>
          <w:rtl/>
        </w:rPr>
        <w:t>"</w:t>
      </w:r>
      <w:r w:rsidRPr="004231A6">
        <w:rPr>
          <w:rFonts w:ascii="Arial" w:hAnsi="Arial"/>
          <w:b/>
          <w:bCs/>
          <w:noProof w:val="0"/>
          <w:rtl/>
        </w:rPr>
        <w:t xml:space="preserve">אף שהמערערת הוכיחה את תביעתה האישית, תמימת דעים אני עם בית המשפט המחוזי, שהיא לא עמדה במידה מספקת בנטל להוכיח כי מה שארע </w:t>
      </w:r>
      <w:r w:rsidRPr="004231A6">
        <w:rPr>
          <w:rFonts w:ascii="Arial" w:hAnsi="Arial"/>
          <w:b/>
          <w:bCs/>
          <w:noProof w:val="0"/>
          <w:rtl/>
        </w:rPr>
        <w:lastRenderedPageBreak/>
        <w:t>לגביה – חיובים בתשלום עבור שירותי תוכן שלא ביקשה ולא אישרה – ארע גם בעניינה של "קבוצה" של תובעים ייצוגיים, ועל כן מדובר ב"שיטה" של הנתבעת...</w:t>
      </w:r>
    </w:p>
    <w:p w:rsidRPr="004231A6" w:rsidR="004231A6" w:rsidP="004231A6" w:rsidRDefault="004231A6">
      <w:pPr>
        <w:spacing w:after="160" w:line="480" w:lineRule="auto"/>
        <w:ind w:left="1125" w:right="567"/>
        <w:jc w:val="both"/>
        <w:rPr>
          <w:rFonts w:ascii="Arial" w:hAnsi="Arial"/>
          <w:b/>
          <w:bCs/>
          <w:noProof w:val="0"/>
          <w:rtl/>
        </w:rPr>
      </w:pPr>
      <w:r w:rsidRPr="004231A6">
        <w:rPr>
          <w:rFonts w:ascii="Arial" w:hAnsi="Arial"/>
          <w:b/>
          <w:bCs/>
          <w:noProof w:val="0"/>
          <w:rtl/>
        </w:rPr>
        <w:t>נראה לי כי המערערת לא עשתה די כדי לעמוד בנטל הנדרש להוכחת העובדות באופן שיצדיק אישור התובענה בתובענה ייצוגית. על כן לדעתי צדק בית המשפט כשקבע כי לא די במה שהובא לפניו כדי לקבוע שהונחה תשתית ראייתית לכאורה לכך שהמשיבה נוהגת כ"שיטה" או כדרך עבודה לעודד מוקדני שירות לחייב את לקוחותיה בחבילות תוכן ללא הסכמתם. משכך לא הוכח, אף לא לכאורה, כי קיימת קבוצה שקיימת לה עילת תביעה</w:t>
      </w:r>
      <w:r w:rsidRPr="004231A6">
        <w:rPr>
          <w:rFonts w:ascii="Arial" w:hAnsi="Arial"/>
          <w:noProof w:val="0"/>
          <w:rtl/>
        </w:rPr>
        <w:t xml:space="preserve">". </w:t>
      </w:r>
    </w:p>
    <w:p w:rsidRPr="004231A6" w:rsidR="004231A6" w:rsidP="00B221D9" w:rsidRDefault="004231A6">
      <w:pPr>
        <w:spacing w:after="160" w:line="480" w:lineRule="auto"/>
        <w:ind w:left="706"/>
        <w:contextualSpacing/>
        <w:jc w:val="both"/>
        <w:rPr>
          <w:rFonts w:ascii="Arial" w:hAnsi="Arial"/>
          <w:noProof w:val="0"/>
          <w:rtl/>
        </w:rPr>
      </w:pPr>
      <w:r w:rsidRPr="004231A6">
        <w:rPr>
          <w:rFonts w:ascii="Arial" w:hAnsi="Arial"/>
          <w:noProof w:val="0"/>
          <w:rtl/>
        </w:rPr>
        <w:t>הדברים נכונים ביתר שאת בענייננו</w:t>
      </w:r>
      <w:r w:rsidR="00F80D42">
        <w:rPr>
          <w:rFonts w:hint="cs" w:ascii="Arial" w:hAnsi="Arial"/>
          <w:noProof w:val="0"/>
          <w:rtl/>
        </w:rPr>
        <w:t>,</w:t>
      </w:r>
      <w:r w:rsidRPr="004231A6">
        <w:rPr>
          <w:rFonts w:ascii="Arial" w:hAnsi="Arial"/>
          <w:noProof w:val="0"/>
          <w:rtl/>
        </w:rPr>
        <w:t xml:space="preserve"> באשר עילות התביעה האישיות של המבקשים לא קיימות או מסופקות</w:t>
      </w:r>
      <w:r w:rsidR="00F80D42">
        <w:rPr>
          <w:rFonts w:hint="cs" w:ascii="Arial" w:hAnsi="Arial"/>
          <w:noProof w:val="0"/>
          <w:rtl/>
        </w:rPr>
        <w:t>,</w:t>
      </w:r>
      <w:r w:rsidRPr="004231A6">
        <w:rPr>
          <w:rFonts w:ascii="Arial" w:hAnsi="Arial"/>
          <w:noProof w:val="0"/>
          <w:rtl/>
        </w:rPr>
        <w:t xml:space="preserve"> וכן בשים לב לכך ש</w:t>
      </w:r>
      <w:r w:rsidRPr="004231A6">
        <w:rPr>
          <w:rFonts w:ascii="Arial" w:hAnsi="Arial"/>
          <w:b/>
          <w:bCs/>
          <w:noProof w:val="0"/>
          <w:rtl/>
        </w:rPr>
        <w:t xml:space="preserve">בעניין חגי </w:t>
      </w:r>
      <w:r w:rsidRPr="004231A6">
        <w:rPr>
          <w:rFonts w:ascii="Arial" w:hAnsi="Arial"/>
          <w:noProof w:val="0"/>
          <w:rtl/>
        </w:rPr>
        <w:t>הנ"ל לא פעלה המערערת כדי לקבל את נתוני המשיבה עובר להכרעה בבקשת האישור</w:t>
      </w:r>
      <w:r w:rsidR="00F80D42">
        <w:rPr>
          <w:rFonts w:hint="cs" w:ascii="Arial" w:hAnsi="Arial"/>
          <w:noProof w:val="0"/>
          <w:rtl/>
        </w:rPr>
        <w:t>,</w:t>
      </w:r>
      <w:r w:rsidRPr="004231A6">
        <w:rPr>
          <w:rFonts w:ascii="Arial" w:hAnsi="Arial"/>
          <w:noProof w:val="0"/>
          <w:rtl/>
        </w:rPr>
        <w:t xml:space="preserve"> ואילו בענייננו אף לאחר שהתקבלו בידי המבקשים נתוני המשיבה,</w:t>
      </w:r>
      <w:r w:rsidR="00980A53">
        <w:rPr>
          <w:rFonts w:ascii="Arial" w:hAnsi="Arial"/>
          <w:noProof w:val="0"/>
          <w:rtl/>
        </w:rPr>
        <w:t xml:space="preserve"> </w:t>
      </w:r>
      <w:r w:rsidRPr="004231A6">
        <w:rPr>
          <w:rFonts w:ascii="Arial" w:hAnsi="Arial"/>
          <w:noProof w:val="0"/>
          <w:rtl/>
        </w:rPr>
        <w:t>אין בנתונים הקיימים כדי ללמד על קיומה של</w:t>
      </w:r>
      <w:r w:rsidR="00980A53">
        <w:rPr>
          <w:rFonts w:ascii="Arial" w:hAnsi="Arial"/>
          <w:noProof w:val="0"/>
          <w:rtl/>
        </w:rPr>
        <w:t xml:space="preserve"> </w:t>
      </w:r>
      <w:r w:rsidRPr="004231A6">
        <w:rPr>
          <w:rFonts w:ascii="Arial" w:hAnsi="Arial"/>
          <w:noProof w:val="0"/>
          <w:rtl/>
        </w:rPr>
        <w:t>שיטה או מדיניות פסולה בה נוהגת המשיבה או כי קיימת קבוצה המצדיקה ניהול הליך ייצוגי.</w:t>
      </w:r>
    </w:p>
    <w:p w:rsidRPr="004231A6" w:rsidR="004231A6" w:rsidP="004231A6" w:rsidRDefault="004231A6">
      <w:pPr>
        <w:spacing w:after="160" w:line="480" w:lineRule="auto"/>
        <w:ind w:left="720"/>
        <w:contextualSpacing/>
        <w:jc w:val="both"/>
        <w:rPr>
          <w:rFonts w:ascii="Arial" w:hAnsi="Arial"/>
          <w:noProof w:val="0"/>
          <w:rtl/>
        </w:rPr>
      </w:pPr>
    </w:p>
    <w:p w:rsidRPr="004231A6" w:rsidR="004231A6" w:rsidP="004231A6" w:rsidRDefault="004231A6">
      <w:pPr>
        <w:spacing w:after="160" w:line="480" w:lineRule="auto"/>
        <w:ind w:left="706"/>
        <w:contextualSpacing/>
        <w:jc w:val="both"/>
        <w:rPr>
          <w:rFonts w:ascii="Arial" w:hAnsi="Arial"/>
          <w:noProof w:val="0"/>
          <w:rtl/>
        </w:rPr>
      </w:pPr>
      <w:r w:rsidRPr="004231A6">
        <w:rPr>
          <w:rFonts w:ascii="Arial" w:hAnsi="Arial"/>
          <w:noProof w:val="0"/>
          <w:rtl/>
        </w:rPr>
        <w:t xml:space="preserve">כן ראו בפסק דינו של כבוד השופט גרוסקופף בת"צ (מחוזי מרכז) 30759-02-13 </w:t>
      </w:r>
      <w:r w:rsidRPr="004231A6">
        <w:rPr>
          <w:rFonts w:ascii="Arial" w:hAnsi="Arial"/>
          <w:b/>
          <w:bCs/>
          <w:noProof w:val="0"/>
          <w:rtl/>
        </w:rPr>
        <w:t>גרסט נ' 013 נטוויז'ן בע"מ</w:t>
      </w:r>
      <w:r w:rsidRPr="004231A6">
        <w:rPr>
          <w:rFonts w:ascii="Arial" w:hAnsi="Arial"/>
          <w:noProof w:val="0"/>
          <w:rtl/>
        </w:rPr>
        <w:t xml:space="preserve"> (19.01.2017), שם נקבע כי:</w:t>
      </w:r>
    </w:p>
    <w:p w:rsidRPr="004231A6" w:rsidR="004231A6" w:rsidP="004231A6" w:rsidRDefault="004231A6">
      <w:pPr>
        <w:spacing w:after="160" w:line="480" w:lineRule="auto"/>
        <w:ind w:left="1125" w:right="567"/>
        <w:jc w:val="both"/>
        <w:rPr>
          <w:rFonts w:ascii="Arial" w:hAnsi="Arial"/>
          <w:b/>
          <w:bCs/>
          <w:noProof w:val="0"/>
          <w:rtl/>
        </w:rPr>
      </w:pPr>
      <w:r w:rsidRPr="004231A6">
        <w:rPr>
          <w:rFonts w:ascii="Arial" w:hAnsi="Arial"/>
          <w:b/>
          <w:bCs/>
          <w:noProof w:val="0"/>
          <w:rtl/>
        </w:rPr>
        <w:t xml:space="preserve">"עצם קיומן של תלונות אין בו רבותא. פשיטא כי נגד עוסק בסדר הגודל של נטוויז'ן יצטברו תלונות, ואף ניתן לשער כי הן לא יהיו בודדות. זו דרכו של עולם, ואין בה, כשלעצמה, כדי לשמש בסיס לניהול תובענה ייצוגית. על מנת שניתן יהיה ללמוד דבר מה ממצבור התלונות יש לבצע לגביו ניתוח מקצועי, אשר ממנו ניתן יהיה להסיק מסקנות הרלבנטיות לניהול התובענה. כך, למשל, אפשר להציג חוות דעת מומחה הבוחנת באופן סטטיסטי את התלונות נגד העוסקים בענף מסוים, ומלמדת כי היקף התלונות נגד עוסק פלוני חורגת באופן מובהק </w:t>
      </w:r>
      <w:r w:rsidRPr="004231A6">
        <w:rPr>
          <w:rFonts w:ascii="Arial" w:hAnsi="Arial"/>
          <w:b/>
          <w:bCs/>
          <w:noProof w:val="0"/>
          <w:rtl/>
        </w:rPr>
        <w:lastRenderedPageBreak/>
        <w:t>ומשמעותי מהמקובל בענף, ומהווה אינדיקציה להתנהלות פגומה מצדו ... בהעדר ניתוח שכזה, הרי שקשה להסיק מסקנה משמעותית מצבר התלונות."</w:t>
      </w:r>
    </w:p>
    <w:p w:rsidRPr="004231A6" w:rsidR="004231A6" w:rsidP="004231A6" w:rsidRDefault="004231A6">
      <w:pPr>
        <w:spacing w:after="160" w:line="480" w:lineRule="auto"/>
        <w:ind w:left="1125"/>
        <w:jc w:val="both"/>
        <w:rPr>
          <w:rFonts w:ascii="Arial" w:hAnsi="Arial"/>
          <w:b/>
          <w:bCs/>
          <w:noProof w:val="0"/>
          <w:rtl/>
        </w:rPr>
      </w:pPr>
      <w:r w:rsidRPr="004231A6">
        <w:rPr>
          <w:rFonts w:ascii="Arial" w:hAnsi="Arial"/>
          <w:b/>
          <w:bCs/>
          <w:noProof w:val="0"/>
          <w:rtl/>
        </w:rPr>
        <w:t>...</w:t>
      </w:r>
    </w:p>
    <w:p w:rsidRPr="004231A6" w:rsidR="004231A6" w:rsidP="004231A6" w:rsidRDefault="004231A6">
      <w:pPr>
        <w:spacing w:after="160" w:line="480" w:lineRule="auto"/>
        <w:ind w:left="1125" w:right="567"/>
        <w:jc w:val="both"/>
        <w:rPr>
          <w:rFonts w:ascii="Arial" w:hAnsi="Arial"/>
          <w:b/>
          <w:bCs/>
          <w:noProof w:val="0"/>
          <w:rtl/>
        </w:rPr>
      </w:pPr>
      <w:r w:rsidRPr="004231A6">
        <w:rPr>
          <w:rFonts w:ascii="Arial" w:hAnsi="Arial"/>
          <w:b/>
          <w:bCs/>
          <w:noProof w:val="0"/>
          <w:rtl/>
        </w:rPr>
        <w:t>"האם מקרב אוכלוסייה המונה לערך 150 אלף מתנתקים בשנתיים אין זה סביר שיוגשו לגורמים שנבדקו 432 תלונות? ללא חוות דעת מומחה בעניין זה, אין לבית המשפט כלים המאפשרים לו לגבש עמדה לכאן או לכאן</w:t>
      </w:r>
      <w:r w:rsidRPr="004231A6">
        <w:rPr>
          <w:rFonts w:ascii="Arial" w:hAnsi="Arial"/>
          <w:noProof w:val="0"/>
          <w:rtl/>
        </w:rPr>
        <w:t xml:space="preserve">". </w:t>
      </w:r>
    </w:p>
    <w:p w:rsidRPr="004231A6" w:rsidR="004231A6" w:rsidP="00B221D9" w:rsidRDefault="004231A6">
      <w:pPr>
        <w:spacing w:after="160" w:line="480" w:lineRule="auto"/>
        <w:ind w:left="706"/>
        <w:contextualSpacing/>
        <w:jc w:val="both"/>
        <w:rPr>
          <w:rFonts w:ascii="Arial" w:hAnsi="Arial"/>
          <w:noProof w:val="0"/>
          <w:rtl/>
        </w:rPr>
      </w:pPr>
      <w:r w:rsidRPr="004231A6">
        <w:rPr>
          <w:rFonts w:ascii="Arial" w:hAnsi="Arial"/>
          <w:noProof w:val="0"/>
          <w:rtl/>
        </w:rPr>
        <w:t>בענייננו לא הציגו המבקשים חוות דעת מקצועית שיש בה כדי ללמד שמספר התביעות הקטנות ומכתבי התלונה שהתקבלו אצל המשיבה (מדובר על כעשרים מקרים בסך הכל) אינו סביר או חורג מהמקובל בענף, הדעת נותנת כי מספר זה הוא זניח ביותר יחסית להיקף פעילות המשיבה במשלוח מסרונים לחברי המועדון שלה שאינו מצביע על קיומה של</w:t>
      </w:r>
      <w:r w:rsidR="00980A53">
        <w:rPr>
          <w:rFonts w:ascii="Arial" w:hAnsi="Arial"/>
          <w:noProof w:val="0"/>
          <w:rtl/>
        </w:rPr>
        <w:t xml:space="preserve"> </w:t>
      </w:r>
      <w:r w:rsidRPr="004231A6">
        <w:rPr>
          <w:rFonts w:ascii="Arial" w:hAnsi="Arial"/>
          <w:noProof w:val="0"/>
          <w:rtl/>
        </w:rPr>
        <w:t xml:space="preserve"> מדיניות מכוונת או על</w:t>
      </w:r>
      <w:r w:rsidR="00B221D9">
        <w:rPr>
          <w:rFonts w:hint="cs" w:ascii="Arial" w:hAnsi="Arial"/>
          <w:noProof w:val="0"/>
          <w:rtl/>
        </w:rPr>
        <w:t xml:space="preserve"> </w:t>
      </w:r>
      <w:r w:rsidR="00B221D9">
        <w:rPr>
          <w:rFonts w:ascii="Arial" w:hAnsi="Arial"/>
          <w:noProof w:val="0"/>
          <w:rtl/>
        </w:rPr>
        <w:t>שיטת עבודה קלוקולת</w:t>
      </w:r>
      <w:r w:rsidRPr="004231A6">
        <w:rPr>
          <w:rFonts w:ascii="Arial" w:hAnsi="Arial"/>
          <w:noProof w:val="0"/>
          <w:rtl/>
        </w:rPr>
        <w:t xml:space="preserve"> בה נוקטת המשיבה.</w:t>
      </w:r>
    </w:p>
    <w:p w:rsidRPr="004231A6" w:rsidR="004231A6" w:rsidP="004231A6" w:rsidRDefault="004231A6">
      <w:pPr>
        <w:spacing w:after="160" w:line="480" w:lineRule="auto"/>
        <w:ind w:left="706"/>
        <w:contextualSpacing/>
        <w:jc w:val="both"/>
        <w:rPr>
          <w:rFonts w:ascii="Arial" w:hAnsi="Arial"/>
          <w:noProof w:val="0"/>
          <w:rtl/>
        </w:rPr>
      </w:pPr>
    </w:p>
    <w:p w:rsidRPr="004231A6" w:rsidR="004231A6" w:rsidP="00B221D9" w:rsidRDefault="004231A6">
      <w:pPr>
        <w:numPr>
          <w:ilvl w:val="0"/>
          <w:numId w:val="2"/>
        </w:numPr>
        <w:spacing w:after="160" w:line="480" w:lineRule="auto"/>
        <w:ind w:left="706" w:hanging="425"/>
        <w:contextualSpacing/>
        <w:jc w:val="both"/>
        <w:rPr>
          <w:rFonts w:cs="Arial" w:asciiTheme="minorHAnsi" w:hAnsiTheme="minorHAnsi"/>
          <w:noProof w:val="0"/>
          <w:sz w:val="22"/>
          <w:szCs w:val="22"/>
        </w:rPr>
      </w:pPr>
      <w:r w:rsidRPr="004231A6">
        <w:rPr>
          <w:rFonts w:ascii="Arial" w:hAnsi="Arial"/>
          <w:noProof w:val="0"/>
          <w:rtl/>
        </w:rPr>
        <w:t xml:space="preserve">כמו כן ראו בפסק דינו של כבוד השופט גרוסקופף בת"צ (מרכז) 4818-07-10 </w:t>
      </w:r>
      <w:r w:rsidRPr="004231A6">
        <w:rPr>
          <w:rFonts w:ascii="Arial" w:hAnsi="Arial"/>
          <w:b/>
          <w:bCs/>
          <w:noProof w:val="0"/>
          <w:rtl/>
        </w:rPr>
        <w:t>מנדנך נ' גלובל נטוורקס אי.סי.איי בע"מ</w:t>
      </w:r>
      <w:r w:rsidRPr="004231A6">
        <w:rPr>
          <w:rFonts w:ascii="Arial" w:hAnsi="Arial"/>
          <w:noProof w:val="0"/>
          <w:rtl/>
        </w:rPr>
        <w:t xml:space="preserve"> (9.2.2012), בהתייחס לטענה זהה להפרת הוראות חוק התקשורת</w:t>
      </w:r>
      <w:r w:rsidR="00B221D9">
        <w:rPr>
          <w:rFonts w:hint="cs" w:ascii="Arial" w:hAnsi="Arial"/>
          <w:noProof w:val="0"/>
          <w:rtl/>
        </w:rPr>
        <w:t>:</w:t>
      </w:r>
      <w:r w:rsidRPr="004231A6">
        <w:rPr>
          <w:rFonts w:ascii="Arial" w:hAnsi="Arial"/>
          <w:noProof w:val="0"/>
          <w:rtl/>
        </w:rPr>
        <w:t xml:space="preserve"> </w:t>
      </w:r>
    </w:p>
    <w:p w:rsidRPr="004231A6" w:rsidR="004231A6" w:rsidP="004231A6" w:rsidRDefault="004231A6">
      <w:pPr>
        <w:spacing w:after="160" w:line="480" w:lineRule="auto"/>
        <w:ind w:left="1125" w:right="567"/>
        <w:jc w:val="both"/>
        <w:rPr>
          <w:rFonts w:ascii="Arial" w:hAnsi="Arial"/>
          <w:b/>
          <w:bCs/>
          <w:noProof w:val="0"/>
          <w:rtl/>
        </w:rPr>
      </w:pPr>
      <w:r w:rsidRPr="004231A6">
        <w:rPr>
          <w:rFonts w:ascii="Arial" w:hAnsi="Arial"/>
          <w:b/>
          <w:bCs/>
          <w:noProof w:val="0"/>
          <w:rtl/>
        </w:rPr>
        <w:t xml:space="preserve">"מקובל על שני הצדדים כי חובת המשיבה היא להפסיק לשלוח פרסומות וטיזרים למנויי האתר שמסרו הודעות סירוב. השאלה המתעוררת היא האם במקרה כזה או אחר פעלה המשיבה בהתאם לחובתה זו. לשיטת ב"כ המבקש המשיבה מפרה במקרים רבים את חובתה. לשיטת ב"כ המשיבה היא מכבדת ככלל (בכפוף לתקלות אקראיות) הודעות סירוב. </w:t>
      </w:r>
      <w:r w:rsidRPr="004231A6">
        <w:rPr>
          <w:rFonts w:ascii="Arial" w:hAnsi="Arial"/>
          <w:b/>
          <w:bCs/>
          <w:noProof w:val="0"/>
          <w:u w:val="single"/>
          <w:rtl/>
        </w:rPr>
        <w:t>אינני סבור כי מחלוקת מסוג זה, בנסיבות בהן לא הובאו ראיות של ממש לכך שהתעלמות מהודעות סירוב מהווה מדיניות מכוונת של המשיבה, נוגעת ל"שאלות מהותיות של עובדה או משפט"</w:t>
      </w:r>
      <w:r w:rsidRPr="004231A6">
        <w:rPr>
          <w:rFonts w:ascii="Arial" w:hAnsi="Arial"/>
          <w:b/>
          <w:bCs/>
          <w:noProof w:val="0"/>
          <w:rtl/>
        </w:rPr>
        <w:t xml:space="preserve"> (וראו גם </w:t>
      </w:r>
      <w:hyperlink w:history="1" r:id="rId10">
        <w:r w:rsidRPr="004231A6">
          <w:rPr>
            <w:rFonts w:hint="eastAsia" w:asciiTheme="minorHAnsi" w:hAnsiTheme="minorHAnsi"/>
            <w:b/>
            <w:bCs/>
            <w:noProof w:val="0"/>
            <w:rtl/>
          </w:rPr>
          <w:t>ת</w:t>
        </w:r>
        <w:r w:rsidRPr="004231A6">
          <w:rPr>
            <w:rFonts w:asciiTheme="minorHAnsi" w:hAnsiTheme="minorHAnsi"/>
            <w:b/>
            <w:bCs/>
            <w:noProof w:val="0"/>
            <w:rtl/>
          </w:rPr>
          <w:t>"</w:t>
        </w:r>
        <w:r w:rsidRPr="004231A6">
          <w:rPr>
            <w:rFonts w:hint="eastAsia" w:asciiTheme="minorHAnsi" w:hAnsiTheme="minorHAnsi"/>
            <w:b/>
            <w:bCs/>
            <w:noProof w:val="0"/>
            <w:rtl/>
          </w:rPr>
          <w:t>צ</w:t>
        </w:r>
        <w:r w:rsidRPr="004231A6">
          <w:rPr>
            <w:rFonts w:asciiTheme="minorHAnsi" w:hAnsiTheme="minorHAnsi"/>
            <w:b/>
            <w:bCs/>
            <w:noProof w:val="0"/>
            <w:rtl/>
          </w:rPr>
          <w:t xml:space="preserve"> 24912-03-10</w:t>
        </w:r>
      </w:hyperlink>
      <w:r w:rsidRPr="004231A6">
        <w:rPr>
          <w:rFonts w:ascii="Arial" w:hAnsi="Arial"/>
          <w:b/>
          <w:bCs/>
          <w:noProof w:val="0"/>
          <w:rtl/>
        </w:rPr>
        <w:t xml:space="preserve"> חגי נ' חברת פרטנר לישראל בע"מ (ניתן ב- 27.3.2011 ע"י השופטת מיכל נד"ב)). </w:t>
      </w:r>
    </w:p>
    <w:p w:rsidRPr="004231A6" w:rsidR="004231A6" w:rsidP="004231A6" w:rsidRDefault="004231A6">
      <w:pPr>
        <w:spacing w:after="160" w:line="480" w:lineRule="auto"/>
        <w:ind w:left="1125" w:right="567"/>
        <w:jc w:val="both"/>
        <w:rPr>
          <w:rFonts w:ascii="Arial" w:hAnsi="Arial"/>
          <w:noProof w:val="0"/>
          <w:rtl/>
        </w:rPr>
      </w:pPr>
      <w:r w:rsidRPr="004231A6">
        <w:rPr>
          <w:rFonts w:ascii="Arial" w:hAnsi="Arial"/>
          <w:b/>
          <w:bCs/>
          <w:noProof w:val="0"/>
          <w:rtl/>
        </w:rPr>
        <w:lastRenderedPageBreak/>
        <w:t xml:space="preserve">זאת ועוד, אף אם תאמר שטענת המבקש היא שיש רשלנות מצד המבקשת בטיפול בהודעות סירוב, הרי </w:t>
      </w:r>
      <w:r w:rsidRPr="004231A6">
        <w:rPr>
          <w:rFonts w:ascii="Arial" w:hAnsi="Arial"/>
          <w:b/>
          <w:bCs/>
          <w:noProof w:val="0"/>
          <w:u w:val="single"/>
          <w:rtl/>
        </w:rPr>
        <w:t>שבהעדר ראיות ישירות לקיומה של מדיניות מכוונת בעניין זה, אינני סבור כי תובענה ייצוגית היא הדרך היעילה וההוגנת להכרעה במחלוקת - די לנו בכך שבכל מקרה בו כשלה המשיבה ניתן להגיש נגדה תביעה לפיצויים לדוגמה (והלכה למעשה, תביעות כאלו אכן מוגשות, כפי שניתן ללמוד מפסקי הדין השונים שהגיש המבקש).</w:t>
      </w:r>
      <w:r w:rsidR="00980A53">
        <w:rPr>
          <w:rFonts w:ascii="Arial" w:hAnsi="Arial"/>
          <w:b/>
          <w:bCs/>
          <w:noProof w:val="0"/>
          <w:rtl/>
        </w:rPr>
        <w:t xml:space="preserve"> </w:t>
      </w:r>
      <w:r w:rsidRPr="004231A6">
        <w:rPr>
          <w:rFonts w:ascii="Arial" w:hAnsi="Arial"/>
          <w:b/>
          <w:bCs/>
          <w:noProof w:val="0"/>
          <w:rtl/>
        </w:rPr>
        <w:t>ממה נפשך, אם צודק המבקש, יהיו תביעות רבות כאלו, והמשיבה תלמד את לקחה; אם המשיבה צודקת, יהיו התביעות מועטות, והיא לא תיענש על לא עוול בכפה. בין כך ובין כך, אין צורך להשתמש בהליך המורכב, המסורבל והיקר של תובענות ייצוגיות על מנת להרתיע עוסקים מטיפול רשלני בהודעות סירוב (וזאת להבדיל ממצבים בהם מובאות ראיות ישירות המעידות על אימוץ מדיניות מכוונת של התעלמות מחוק התקשורת). השוו, לעניין זה, לדברים שציינתי בהקשר קרוב (הטעיה צרכנית) ב</w:t>
      </w:r>
      <w:hyperlink w:history="1" r:id="rId11">
        <w:r w:rsidRPr="004231A6">
          <w:rPr>
            <w:rFonts w:hint="eastAsia" w:asciiTheme="minorHAnsi" w:hAnsiTheme="minorHAnsi"/>
            <w:b/>
            <w:bCs/>
            <w:noProof w:val="0"/>
            <w:rtl/>
          </w:rPr>
          <w:t>ת</w:t>
        </w:r>
        <w:r w:rsidRPr="004231A6">
          <w:rPr>
            <w:rFonts w:asciiTheme="minorHAnsi" w:hAnsiTheme="minorHAnsi"/>
            <w:b/>
            <w:bCs/>
            <w:noProof w:val="0"/>
            <w:rtl/>
          </w:rPr>
          <w:t>"</w:t>
        </w:r>
        <w:r w:rsidRPr="004231A6">
          <w:rPr>
            <w:rFonts w:hint="eastAsia" w:asciiTheme="minorHAnsi" w:hAnsiTheme="minorHAnsi"/>
            <w:b/>
            <w:bCs/>
            <w:noProof w:val="0"/>
            <w:rtl/>
          </w:rPr>
          <w:t>צ</w:t>
        </w:r>
        <w:r w:rsidRPr="004231A6">
          <w:rPr>
            <w:rFonts w:asciiTheme="minorHAnsi" w:hAnsiTheme="minorHAnsi"/>
            <w:b/>
            <w:bCs/>
            <w:noProof w:val="0"/>
            <w:rtl/>
          </w:rPr>
          <w:t xml:space="preserve"> 5567-06-08</w:t>
        </w:r>
      </w:hyperlink>
      <w:r w:rsidRPr="004231A6">
        <w:rPr>
          <w:rFonts w:ascii="Arial" w:hAnsi="Arial"/>
          <w:b/>
          <w:bCs/>
          <w:noProof w:val="0"/>
          <w:rtl/>
        </w:rPr>
        <w:t xml:space="preserve"> בר נ' עטרות תעשיות 1996 בע"מ (ניתן ב- 20.12.2010), פסקה 39, בדבר העדיפות שראוי לתת, במצבים מתאימים, לסנקציה של "פיצויים לדוגמה" על פני הכלי רב העוצמה של תובענה ייצוגית</w:t>
      </w:r>
      <w:r w:rsidRPr="004231A6">
        <w:rPr>
          <w:rFonts w:ascii="Arial" w:hAnsi="Arial"/>
          <w:noProof w:val="0"/>
          <w:rtl/>
        </w:rPr>
        <w:t>" (ההדגשות הוספו על ידי, ה.ע.).</w:t>
      </w:r>
    </w:p>
    <w:p w:rsidRPr="004231A6" w:rsidR="004231A6" w:rsidP="004231A6" w:rsidRDefault="004231A6">
      <w:pPr>
        <w:spacing w:after="160" w:line="480" w:lineRule="auto"/>
        <w:ind w:left="706"/>
        <w:contextualSpacing/>
        <w:jc w:val="both"/>
        <w:rPr>
          <w:rFonts w:ascii="Arial" w:hAnsi="Arial"/>
          <w:noProof w:val="0"/>
          <w:rtl/>
        </w:rPr>
      </w:pPr>
      <w:r w:rsidRPr="004231A6">
        <w:rPr>
          <w:rFonts w:ascii="Arial" w:hAnsi="Arial"/>
          <w:noProof w:val="0"/>
          <w:rtl/>
        </w:rPr>
        <w:t>ראו גם עמדתם של פלינט ו- ויניצקי:</w:t>
      </w:r>
    </w:p>
    <w:p w:rsidRPr="004231A6" w:rsidR="004231A6" w:rsidP="004231A6" w:rsidRDefault="004231A6">
      <w:pPr>
        <w:spacing w:after="160" w:line="480" w:lineRule="auto"/>
        <w:ind w:left="1125" w:right="567"/>
        <w:jc w:val="both"/>
        <w:rPr>
          <w:rFonts w:ascii="Arial" w:hAnsi="Arial"/>
          <w:noProof w:val="0"/>
          <w:rtl/>
        </w:rPr>
      </w:pPr>
      <w:r w:rsidRPr="004231A6">
        <w:rPr>
          <w:rFonts w:ascii="Arial" w:hAnsi="Arial"/>
          <w:b/>
          <w:bCs/>
          <w:noProof w:val="0"/>
          <w:rtl/>
        </w:rPr>
        <w:t>"כאשר מדובר בחברות שיש להן מאות אלפי לקוחות, לא מן הנמנע שתתגלענה תקלות זהות אצל כמה לקוחות, ואפילו אצל מספר לא מבוטל של לקוחות. עם זאת, הדבר לא בהכרח מצביע על תקלות מכוונות או על שיטת פעולה, ובוודאי אי-אפשר להסיק ממדגם לא מייצג של תקלות, את קיומה של שיטת פעולה</w:t>
      </w:r>
      <w:r w:rsidRPr="004231A6">
        <w:rPr>
          <w:rFonts w:ascii="Arial" w:hAnsi="Arial"/>
          <w:noProof w:val="0"/>
          <w:rtl/>
        </w:rPr>
        <w:t>"</w:t>
      </w:r>
    </w:p>
    <w:p w:rsidRPr="004231A6" w:rsidR="004231A6" w:rsidP="004231A6" w:rsidRDefault="004231A6">
      <w:pPr>
        <w:spacing w:after="160" w:line="480" w:lineRule="auto"/>
        <w:ind w:left="720" w:firstLine="405"/>
        <w:contextualSpacing/>
        <w:jc w:val="both"/>
        <w:rPr>
          <w:rFonts w:ascii="Arial" w:hAnsi="Arial"/>
          <w:noProof w:val="0"/>
          <w:rtl/>
        </w:rPr>
      </w:pPr>
      <w:r w:rsidRPr="004231A6">
        <w:rPr>
          <w:rFonts w:ascii="Arial" w:hAnsi="Arial"/>
          <w:noProof w:val="0"/>
          <w:rtl/>
        </w:rPr>
        <w:t xml:space="preserve">אביאל פלינט וחגי ויניצקי </w:t>
      </w:r>
      <w:r w:rsidRPr="004231A6">
        <w:rPr>
          <w:rFonts w:ascii="Arial" w:hAnsi="Arial"/>
          <w:b/>
          <w:bCs/>
          <w:noProof w:val="0"/>
          <w:rtl/>
        </w:rPr>
        <w:t>תובענות ייצוגיות</w:t>
      </w:r>
      <w:r w:rsidRPr="004231A6">
        <w:rPr>
          <w:rFonts w:ascii="Arial" w:hAnsi="Arial"/>
          <w:noProof w:val="0"/>
          <w:rtl/>
        </w:rPr>
        <w:t xml:space="preserve"> 142 (2017); </w:t>
      </w:r>
    </w:p>
    <w:p w:rsidRPr="004231A6" w:rsidR="004231A6" w:rsidP="004231A6" w:rsidRDefault="004231A6">
      <w:pPr>
        <w:spacing w:after="160" w:line="480" w:lineRule="auto"/>
        <w:ind w:left="1125" w:right="567"/>
        <w:jc w:val="both"/>
        <w:rPr>
          <w:rFonts w:ascii="Arial" w:hAnsi="Arial"/>
          <w:noProof w:val="0"/>
          <w:rtl/>
        </w:rPr>
      </w:pPr>
      <w:r w:rsidRPr="004231A6">
        <w:rPr>
          <w:rFonts w:ascii="Arial" w:hAnsi="Arial"/>
          <w:noProof w:val="0"/>
          <w:u w:val="single"/>
          <w:rtl/>
        </w:rPr>
        <w:t>ראו בנוסף</w:t>
      </w:r>
      <w:r w:rsidRPr="004231A6">
        <w:rPr>
          <w:rFonts w:ascii="Arial" w:hAnsi="Arial"/>
          <w:noProof w:val="0"/>
          <w:rtl/>
        </w:rPr>
        <w:t xml:space="preserve">: בר"מ 3284/10 </w:t>
      </w:r>
      <w:r w:rsidRPr="004231A6">
        <w:rPr>
          <w:rFonts w:ascii="Arial" w:hAnsi="Arial"/>
          <w:b/>
          <w:bCs/>
          <w:noProof w:val="0"/>
          <w:rtl/>
        </w:rPr>
        <w:t>עיריית תל אביב נ' יהודה רסלר, חברת עורכי דין</w:t>
      </w:r>
      <w:r w:rsidRPr="004231A6">
        <w:rPr>
          <w:rFonts w:ascii="Arial" w:hAnsi="Arial"/>
          <w:noProof w:val="0"/>
          <w:rtl/>
        </w:rPr>
        <w:t xml:space="preserve"> (03.12.2012); ת"צ (מחוזי מרכז) 24969-06-15 </w:t>
      </w:r>
      <w:r w:rsidRPr="004231A6">
        <w:rPr>
          <w:rFonts w:ascii="Arial" w:hAnsi="Arial"/>
          <w:b/>
          <w:bCs/>
          <w:noProof w:val="0"/>
          <w:rtl/>
        </w:rPr>
        <w:t>לוין נ' ישראייר תעופה ותיירות בע"מ</w:t>
      </w:r>
      <w:r w:rsidRPr="004231A6">
        <w:rPr>
          <w:rFonts w:ascii="Arial" w:hAnsi="Arial"/>
          <w:noProof w:val="0"/>
          <w:rtl/>
        </w:rPr>
        <w:t xml:space="preserve"> (09.01.2018); ת"צ (מרכז) 20081-02-15 </w:t>
      </w:r>
      <w:r w:rsidRPr="004231A6">
        <w:rPr>
          <w:rFonts w:ascii="Arial" w:hAnsi="Arial"/>
          <w:b/>
          <w:bCs/>
          <w:noProof w:val="0"/>
          <w:rtl/>
        </w:rPr>
        <w:t>חיים נ' אספרסו קלאב בע"מ</w:t>
      </w:r>
      <w:r w:rsidRPr="004231A6">
        <w:rPr>
          <w:rFonts w:ascii="Arial" w:hAnsi="Arial"/>
          <w:noProof w:val="0"/>
          <w:rtl/>
        </w:rPr>
        <w:t xml:space="preserve"> </w:t>
      </w:r>
      <w:r w:rsidRPr="004231A6">
        <w:rPr>
          <w:rFonts w:ascii="Arial" w:hAnsi="Arial"/>
          <w:noProof w:val="0"/>
          <w:rtl/>
        </w:rPr>
        <w:lastRenderedPageBreak/>
        <w:t xml:space="preserve">(25.10.2017); ת"צ (מחוזי ת"א) 27578-08-15 </w:t>
      </w:r>
      <w:r w:rsidRPr="004231A6">
        <w:rPr>
          <w:rFonts w:ascii="Arial" w:hAnsi="Arial"/>
          <w:b/>
          <w:bCs/>
          <w:noProof w:val="0"/>
          <w:rtl/>
        </w:rPr>
        <w:t>דהרי נ' מנקס אונליין טריידינג בע"מ</w:t>
      </w:r>
      <w:r w:rsidRPr="004231A6">
        <w:rPr>
          <w:rFonts w:ascii="Arial" w:hAnsi="Arial"/>
          <w:noProof w:val="0"/>
          <w:rtl/>
        </w:rPr>
        <w:t xml:space="preserve"> (22.1.2017); ת"צ (מרכז) 9582-05-13 </w:t>
      </w:r>
      <w:r w:rsidRPr="004231A6">
        <w:rPr>
          <w:rFonts w:ascii="Arial" w:hAnsi="Arial"/>
          <w:b/>
          <w:bCs/>
          <w:noProof w:val="0"/>
          <w:rtl/>
        </w:rPr>
        <w:t>גינר נ' חברת החשמל לישראל בע"מ</w:t>
      </w:r>
      <w:r w:rsidRPr="004231A6">
        <w:rPr>
          <w:rFonts w:ascii="Arial" w:hAnsi="Arial"/>
          <w:noProof w:val="0"/>
          <w:rtl/>
        </w:rPr>
        <w:t xml:space="preserve"> (27.3.2016); ת"צ (מרכז) 33277-12-11 </w:t>
      </w:r>
      <w:r w:rsidRPr="004231A6">
        <w:rPr>
          <w:rFonts w:ascii="Arial" w:hAnsi="Arial"/>
          <w:b/>
          <w:bCs/>
          <w:noProof w:val="0"/>
          <w:rtl/>
        </w:rPr>
        <w:t>ליבוביץ נ' קרסו מוטורס בע"מ</w:t>
      </w:r>
      <w:r w:rsidRPr="004231A6">
        <w:rPr>
          <w:rFonts w:ascii="Arial" w:hAnsi="Arial"/>
          <w:noProof w:val="0"/>
          <w:rtl/>
        </w:rPr>
        <w:t xml:space="preserve"> (14.5.2014); בש"א 17027/01 </w:t>
      </w:r>
      <w:r w:rsidRPr="004231A6">
        <w:rPr>
          <w:rFonts w:ascii="Arial" w:hAnsi="Arial"/>
          <w:b/>
          <w:bCs/>
          <w:noProof w:val="0"/>
          <w:rtl/>
        </w:rPr>
        <w:t xml:space="preserve">טרוים נ' בנק לאומי </w:t>
      </w:r>
      <w:r w:rsidRPr="004231A6">
        <w:rPr>
          <w:rFonts w:ascii="Arial" w:hAnsi="Arial"/>
          <w:noProof w:val="0"/>
          <w:rtl/>
        </w:rPr>
        <w:t>(9.3.2003).</w:t>
      </w:r>
    </w:p>
    <w:p w:rsidRPr="004231A6" w:rsidR="004231A6" w:rsidP="00000081" w:rsidRDefault="004231A6">
      <w:pPr>
        <w:spacing w:after="160" w:line="480" w:lineRule="auto"/>
        <w:ind w:left="706"/>
        <w:contextualSpacing/>
        <w:jc w:val="both"/>
        <w:rPr>
          <w:rFonts w:ascii="Arial" w:hAnsi="Arial"/>
          <w:noProof w:val="0"/>
        </w:rPr>
      </w:pPr>
      <w:r w:rsidRPr="004231A6">
        <w:rPr>
          <w:rFonts w:ascii="Arial" w:hAnsi="Arial"/>
          <w:noProof w:val="0"/>
          <w:rtl/>
        </w:rPr>
        <w:t xml:space="preserve">למעלה </w:t>
      </w:r>
      <w:r w:rsidR="00AF1DC7">
        <w:rPr>
          <w:rFonts w:hint="cs" w:ascii="Arial" w:hAnsi="Arial"/>
          <w:noProof w:val="0"/>
          <w:rtl/>
        </w:rPr>
        <w:t>מהצורך</w:t>
      </w:r>
      <w:r w:rsidRPr="004231A6">
        <w:rPr>
          <w:rFonts w:ascii="Arial" w:hAnsi="Arial"/>
          <w:noProof w:val="0"/>
          <w:rtl/>
        </w:rPr>
        <w:t>, בשים לב לדרישה כי עניינם של חברי הקבוצה ייוצג וינוהל בדרך הולמת ובתום לב בהתאם לסעיף 8(א)(3) ו- (4) לחוק תובענות ייצוגיות מצאתי גם להתייחס לבעייתיות העולה מכך שהמבקש 1 עו"ד בליטשטיין משמש גם כב"כ המייצג של הקבוצה</w:t>
      </w:r>
      <w:r w:rsidR="00AF1DC7">
        <w:rPr>
          <w:rFonts w:hint="cs" w:ascii="Arial" w:hAnsi="Arial"/>
          <w:noProof w:val="0"/>
          <w:rtl/>
        </w:rPr>
        <w:t>, ולהיפך, וחוזר חלילה</w:t>
      </w:r>
      <w:r w:rsidRPr="004231A6">
        <w:rPr>
          <w:rFonts w:ascii="Arial" w:hAnsi="Arial"/>
          <w:noProof w:val="0"/>
          <w:rtl/>
        </w:rPr>
        <w:t>. בהחלטתי מיום 19.12.2016</w:t>
      </w:r>
      <w:r w:rsidR="00B221D9">
        <w:rPr>
          <w:rFonts w:hint="cs" w:ascii="Arial" w:hAnsi="Arial"/>
          <w:noProof w:val="0"/>
          <w:rtl/>
        </w:rPr>
        <w:t xml:space="preserve"> </w:t>
      </w:r>
      <w:r w:rsidRPr="004231A6">
        <w:rPr>
          <w:rFonts w:ascii="Arial" w:hAnsi="Arial"/>
          <w:noProof w:val="0"/>
          <w:rtl/>
        </w:rPr>
        <w:t>הצעתי כי תוסדר סוגיית הייצוג על ידי המבקש 1 עקב</w:t>
      </w:r>
      <w:r w:rsidRPr="004231A6">
        <w:rPr>
          <w:rFonts w:ascii="Arial" w:hAnsi="Arial"/>
          <w:noProof w:val="0"/>
        </w:rPr>
        <w:t xml:space="preserve"> </w:t>
      </w:r>
      <w:r w:rsidRPr="004231A6">
        <w:rPr>
          <w:rFonts w:ascii="Arial" w:hAnsi="Arial"/>
          <w:noProof w:val="0"/>
          <w:rtl/>
        </w:rPr>
        <w:t>החשש</w:t>
      </w:r>
      <w:r w:rsidRPr="004231A6">
        <w:rPr>
          <w:rFonts w:ascii="Arial" w:hAnsi="Arial"/>
          <w:noProof w:val="0"/>
        </w:rPr>
        <w:t xml:space="preserve"> </w:t>
      </w:r>
      <w:r w:rsidRPr="004231A6">
        <w:rPr>
          <w:rFonts w:ascii="Arial" w:hAnsi="Arial"/>
          <w:noProof w:val="0"/>
          <w:rtl/>
        </w:rPr>
        <w:t>לניגוד</w:t>
      </w:r>
      <w:r w:rsidRPr="004231A6">
        <w:rPr>
          <w:rFonts w:ascii="Arial" w:hAnsi="Arial"/>
          <w:noProof w:val="0"/>
        </w:rPr>
        <w:t xml:space="preserve"> </w:t>
      </w:r>
      <w:r w:rsidRPr="004231A6">
        <w:rPr>
          <w:rFonts w:ascii="Arial" w:hAnsi="Arial"/>
          <w:noProof w:val="0"/>
          <w:rtl/>
        </w:rPr>
        <w:t>עניינים אינהרנטי</w:t>
      </w:r>
      <w:r w:rsidRPr="004231A6">
        <w:rPr>
          <w:rFonts w:ascii="Arial" w:hAnsi="Arial"/>
          <w:noProof w:val="0"/>
        </w:rPr>
        <w:t xml:space="preserve"> </w:t>
      </w:r>
      <w:r w:rsidRPr="004231A6">
        <w:rPr>
          <w:rFonts w:ascii="Arial" w:hAnsi="Arial"/>
          <w:noProof w:val="0"/>
          <w:rtl/>
        </w:rPr>
        <w:t>הנובע</w:t>
      </w:r>
      <w:r w:rsidRPr="004231A6">
        <w:rPr>
          <w:rFonts w:ascii="Arial" w:hAnsi="Arial"/>
          <w:noProof w:val="0"/>
        </w:rPr>
        <w:t xml:space="preserve"> </w:t>
      </w:r>
      <w:r w:rsidRPr="004231A6">
        <w:rPr>
          <w:rFonts w:ascii="Arial" w:hAnsi="Arial"/>
          <w:noProof w:val="0"/>
          <w:rtl/>
        </w:rPr>
        <w:t>לכאורה</w:t>
      </w:r>
      <w:r w:rsidRPr="004231A6">
        <w:rPr>
          <w:rFonts w:ascii="Arial" w:hAnsi="Arial"/>
          <w:noProof w:val="0"/>
        </w:rPr>
        <w:t xml:space="preserve"> </w:t>
      </w:r>
      <w:r w:rsidRPr="004231A6">
        <w:rPr>
          <w:rFonts w:ascii="Arial" w:hAnsi="Arial"/>
          <w:noProof w:val="0"/>
          <w:rtl/>
        </w:rPr>
        <w:t>מכפילות</w:t>
      </w:r>
      <w:r w:rsidRPr="004231A6">
        <w:rPr>
          <w:rFonts w:ascii="Arial" w:hAnsi="Arial"/>
          <w:noProof w:val="0"/>
        </w:rPr>
        <w:t xml:space="preserve"> </w:t>
      </w:r>
      <w:r w:rsidRPr="004231A6">
        <w:rPr>
          <w:rFonts w:ascii="Arial" w:hAnsi="Arial"/>
          <w:noProof w:val="0"/>
          <w:rtl/>
        </w:rPr>
        <w:t xml:space="preserve">תפקידיו של עו"ד בליטשטיין הן כמבקש והן כב"כ מייצג [ראו: רע"א 1690/14 </w:t>
      </w:r>
      <w:r w:rsidRPr="004231A6">
        <w:rPr>
          <w:rFonts w:ascii="Arial" w:hAnsi="Arial"/>
          <w:b/>
          <w:bCs/>
          <w:noProof w:val="0"/>
          <w:rtl/>
        </w:rPr>
        <w:t>בן</w:t>
      </w:r>
      <w:r w:rsidRPr="004231A6">
        <w:rPr>
          <w:rFonts w:ascii="Arial" w:hAnsi="Arial"/>
          <w:b/>
          <w:bCs/>
          <w:noProof w:val="0"/>
        </w:rPr>
        <w:t xml:space="preserve"> </w:t>
      </w:r>
      <w:r w:rsidRPr="004231A6">
        <w:rPr>
          <w:rFonts w:ascii="Arial" w:hAnsi="Arial"/>
          <w:b/>
          <w:bCs/>
          <w:noProof w:val="0"/>
          <w:rtl/>
        </w:rPr>
        <w:t>אדוה</w:t>
      </w:r>
      <w:r w:rsidRPr="004231A6">
        <w:rPr>
          <w:rFonts w:ascii="Arial" w:hAnsi="Arial"/>
          <w:b/>
          <w:bCs/>
          <w:noProof w:val="0"/>
        </w:rPr>
        <w:t xml:space="preserve"> </w:t>
      </w:r>
      <w:r w:rsidRPr="004231A6">
        <w:rPr>
          <w:rFonts w:ascii="Arial" w:hAnsi="Arial"/>
          <w:b/>
          <w:bCs/>
          <w:noProof w:val="0"/>
          <w:rtl/>
        </w:rPr>
        <w:t>נ' חברת דואר ישראל בע"מ</w:t>
      </w:r>
      <w:r w:rsidRPr="004231A6">
        <w:rPr>
          <w:rFonts w:ascii="Arial" w:hAnsi="Arial"/>
          <w:noProof w:val="0"/>
          <w:rtl/>
        </w:rPr>
        <w:t xml:space="preserve">, בפסקה 11 (10.04.2014); ת"א (מחוזי ת"א) 2519-06 </w:t>
      </w:r>
      <w:r w:rsidRPr="004231A6">
        <w:rPr>
          <w:rFonts w:ascii="Arial" w:hAnsi="Arial"/>
          <w:b/>
          <w:bCs/>
          <w:noProof w:val="0"/>
          <w:rtl/>
        </w:rPr>
        <w:t>גולדנברג נ' בזק החברה הישראלית לתקשורת בע"מ</w:t>
      </w:r>
      <w:r w:rsidRPr="004231A6">
        <w:rPr>
          <w:rFonts w:ascii="Arial" w:hAnsi="Arial"/>
          <w:noProof w:val="0"/>
          <w:rtl/>
        </w:rPr>
        <w:t xml:space="preserve"> (פורסם בנבו, 15.05.2014); ת"א (מחוזי ת"א) 1437-09 </w:t>
      </w:r>
      <w:r w:rsidRPr="004231A6">
        <w:rPr>
          <w:rFonts w:ascii="Arial" w:hAnsi="Arial"/>
          <w:b/>
          <w:bCs/>
          <w:noProof w:val="0"/>
          <w:rtl/>
        </w:rPr>
        <w:t>פלד נ' אול יו ניד בע"מ</w:t>
      </w:r>
      <w:r w:rsidRPr="004231A6">
        <w:rPr>
          <w:rFonts w:ascii="Arial" w:hAnsi="Arial"/>
          <w:noProof w:val="0"/>
          <w:rtl/>
        </w:rPr>
        <w:t xml:space="preserve"> (11.06.2012); ת"צ (מחוזי ת"א) 1934-09 </w:t>
      </w:r>
      <w:r w:rsidRPr="004231A6">
        <w:rPr>
          <w:rFonts w:ascii="Arial" w:hAnsi="Arial"/>
          <w:b/>
          <w:bCs/>
          <w:noProof w:val="0"/>
          <w:rtl/>
        </w:rPr>
        <w:t>גולדברג נ' אקסלנס נשואה גמל ופנסיה בע"מ</w:t>
      </w:r>
      <w:r w:rsidRPr="004231A6">
        <w:rPr>
          <w:rFonts w:ascii="Arial" w:hAnsi="Arial"/>
          <w:noProof w:val="0"/>
          <w:rtl/>
        </w:rPr>
        <w:t xml:space="preserve">, בפסקה 47 (29.04.2012); ת"צ 4263-03-11 </w:t>
      </w:r>
      <w:r w:rsidRPr="004231A6">
        <w:rPr>
          <w:rFonts w:ascii="Arial" w:hAnsi="Arial"/>
          <w:b/>
          <w:bCs/>
          <w:noProof w:val="0"/>
          <w:rtl/>
        </w:rPr>
        <w:t>אשל היאור בע"מ נ' פרטנר תקשורת בע"מ</w:t>
      </w:r>
      <w:r w:rsidRPr="004231A6">
        <w:rPr>
          <w:rFonts w:ascii="Arial" w:hAnsi="Arial"/>
          <w:noProof w:val="0"/>
          <w:rtl/>
        </w:rPr>
        <w:t xml:space="preserve"> (16.4.2012); ת.א. (מחוזי י-ם) 1279/96 </w:t>
      </w:r>
      <w:r w:rsidRPr="004231A6">
        <w:rPr>
          <w:rFonts w:ascii="Arial" w:hAnsi="Arial"/>
          <w:b/>
          <w:bCs/>
          <w:noProof w:val="0"/>
          <w:rtl/>
        </w:rPr>
        <w:t>גבעון נ' המרכז הרפואי שערי צדק</w:t>
      </w:r>
      <w:r w:rsidRPr="004231A6">
        <w:rPr>
          <w:rFonts w:ascii="Arial" w:hAnsi="Arial"/>
          <w:noProof w:val="0"/>
          <w:rtl/>
        </w:rPr>
        <w:t xml:space="preserve">, בפסקאות 34-37 (8.9.1997)]. </w:t>
      </w:r>
      <w:r w:rsidR="00AF1DC7">
        <w:rPr>
          <w:rFonts w:hint="cs" w:ascii="Arial" w:hAnsi="Arial"/>
          <w:noProof w:val="0"/>
          <w:rtl/>
        </w:rPr>
        <w:t xml:space="preserve">אעיר </w:t>
      </w:r>
      <w:r w:rsidR="00423691">
        <w:rPr>
          <w:rFonts w:hint="cs" w:ascii="Arial" w:hAnsi="Arial"/>
          <w:noProof w:val="0"/>
          <w:rtl/>
        </w:rPr>
        <w:t xml:space="preserve">כהערה כללית </w:t>
      </w:r>
      <w:r w:rsidR="00AF1DC7">
        <w:rPr>
          <w:rFonts w:hint="cs" w:ascii="Arial" w:hAnsi="Arial"/>
          <w:noProof w:val="0"/>
          <w:rtl/>
        </w:rPr>
        <w:t>כי גם מבחינת א</w:t>
      </w:r>
      <w:r w:rsidR="00423691">
        <w:rPr>
          <w:rFonts w:hint="cs" w:ascii="Arial" w:hAnsi="Arial"/>
          <w:noProof w:val="0"/>
          <w:rtl/>
        </w:rPr>
        <w:t>סטרטגית ניהול ההליך על ידי ב"כ מבקש בבקשת אישור תובענה כייצוגית, מוטב להימנע מכ</w:t>
      </w:r>
      <w:r w:rsidR="00000081">
        <w:rPr>
          <w:rFonts w:hint="cs" w:ascii="Arial" w:hAnsi="Arial"/>
          <w:noProof w:val="0"/>
          <w:rtl/>
        </w:rPr>
        <w:t xml:space="preserve">פל תפקידים שכזה, שכן </w:t>
      </w:r>
      <w:r w:rsidR="00423691">
        <w:rPr>
          <w:rFonts w:hint="cs" w:ascii="Arial" w:hAnsi="Arial"/>
          <w:noProof w:val="0"/>
          <w:rtl/>
        </w:rPr>
        <w:t xml:space="preserve">  כרסום במהימנות עדות</w:t>
      </w:r>
      <w:r w:rsidR="00000081">
        <w:rPr>
          <w:rFonts w:hint="cs" w:ascii="Arial" w:hAnsi="Arial"/>
          <w:noProof w:val="0"/>
          <w:rtl/>
        </w:rPr>
        <w:t>ו</w:t>
      </w:r>
      <w:r w:rsidR="00423691">
        <w:rPr>
          <w:rFonts w:hint="cs" w:ascii="Arial" w:hAnsi="Arial"/>
          <w:noProof w:val="0"/>
          <w:rtl/>
        </w:rPr>
        <w:t xml:space="preserve"> של עור</w:t>
      </w:r>
      <w:r w:rsidR="00000081">
        <w:rPr>
          <w:rFonts w:hint="cs" w:ascii="Arial" w:hAnsi="Arial"/>
          <w:noProof w:val="0"/>
          <w:rtl/>
        </w:rPr>
        <w:t>ך דין עלולה במקרים המתאימים לכך, להעמיד בספק גם את מידת התאמתו לייצוג הקבוצה.</w:t>
      </w:r>
    </w:p>
    <w:p w:rsidRPr="004231A6" w:rsidR="004231A6" w:rsidP="004231A6" w:rsidRDefault="004231A6">
      <w:pPr>
        <w:spacing w:after="160" w:line="480" w:lineRule="auto"/>
        <w:ind w:left="706"/>
        <w:contextualSpacing/>
        <w:jc w:val="both"/>
        <w:rPr>
          <w:rFonts w:ascii="Arial" w:hAnsi="Arial"/>
          <w:noProof w:val="0"/>
          <w:rtl/>
        </w:rPr>
      </w:pPr>
      <w:r w:rsidRPr="004231A6">
        <w:rPr>
          <w:rFonts w:ascii="Arial" w:hAnsi="Arial"/>
          <w:noProof w:val="0"/>
          <w:rtl/>
        </w:rPr>
        <w:t xml:space="preserve">במעמד הדיון בבקשת האישור הודיע עו"ד בליטשטיין כי הוא גם מעיד ונחקר על תצהירו וגם טוען (ע' 13, ש. 9) לאחר מכן הובהר שעו"ד </w:t>
      </w:r>
      <w:r w:rsidRPr="004231A6">
        <w:rPr>
          <w:rFonts w:hint="eastAsia" w:asciiTheme="minorHAnsi" w:hAnsiTheme="minorHAnsi"/>
          <w:noProof w:val="0"/>
          <w:rtl/>
        </w:rPr>
        <w:t>רועי</w:t>
      </w:r>
      <w:r w:rsidRPr="004231A6">
        <w:rPr>
          <w:rFonts w:asciiTheme="minorHAnsi" w:hAnsiTheme="minorHAnsi"/>
          <w:noProof w:val="0"/>
          <w:rtl/>
        </w:rPr>
        <w:t xml:space="preserve"> </w:t>
      </w:r>
      <w:r w:rsidRPr="004231A6">
        <w:rPr>
          <w:rFonts w:hint="eastAsia" w:asciiTheme="minorHAnsi" w:hAnsiTheme="minorHAnsi"/>
          <w:noProof w:val="0"/>
          <w:rtl/>
        </w:rPr>
        <w:t>שפריר</w:t>
      </w:r>
      <w:r w:rsidRPr="004231A6">
        <w:rPr>
          <w:rFonts w:asciiTheme="minorHAnsi" w:hAnsiTheme="minorHAnsi"/>
          <w:noProof w:val="0"/>
          <w:rtl/>
        </w:rPr>
        <w:t xml:space="preserve"> </w:t>
      </w:r>
      <w:r w:rsidRPr="004231A6">
        <w:rPr>
          <w:rFonts w:hint="eastAsia" w:asciiTheme="minorHAnsi" w:hAnsiTheme="minorHAnsi"/>
          <w:noProof w:val="0"/>
          <w:rtl/>
        </w:rPr>
        <w:t>יצטרף</w:t>
      </w:r>
      <w:r w:rsidRPr="004231A6">
        <w:rPr>
          <w:rFonts w:asciiTheme="minorHAnsi" w:hAnsiTheme="minorHAnsi"/>
          <w:noProof w:val="0"/>
          <w:rtl/>
        </w:rPr>
        <w:t xml:space="preserve"> </w:t>
      </w:r>
      <w:r w:rsidRPr="004231A6">
        <w:rPr>
          <w:rFonts w:hint="eastAsia" w:asciiTheme="minorHAnsi" w:hAnsiTheme="minorHAnsi"/>
          <w:noProof w:val="0"/>
          <w:rtl/>
        </w:rPr>
        <w:t>כמייצג</w:t>
      </w:r>
      <w:r w:rsidRPr="004231A6">
        <w:rPr>
          <w:rFonts w:asciiTheme="minorHAnsi" w:hAnsiTheme="minorHAnsi"/>
          <w:noProof w:val="0"/>
          <w:rtl/>
        </w:rPr>
        <w:t xml:space="preserve"> </w:t>
      </w:r>
      <w:r w:rsidRPr="004231A6">
        <w:rPr>
          <w:rFonts w:hint="eastAsia" w:asciiTheme="minorHAnsi" w:hAnsiTheme="minorHAnsi"/>
          <w:noProof w:val="0"/>
          <w:rtl/>
        </w:rPr>
        <w:t>אך</w:t>
      </w:r>
      <w:r w:rsidRPr="004231A6">
        <w:rPr>
          <w:rFonts w:asciiTheme="minorHAnsi" w:hAnsiTheme="minorHAnsi"/>
          <w:noProof w:val="0"/>
          <w:rtl/>
        </w:rPr>
        <w:t xml:space="preserve"> </w:t>
      </w:r>
      <w:r w:rsidRPr="004231A6">
        <w:rPr>
          <w:rFonts w:hint="eastAsia" w:asciiTheme="minorHAnsi" w:hAnsiTheme="minorHAnsi"/>
          <w:noProof w:val="0"/>
          <w:rtl/>
        </w:rPr>
        <w:t>ורק</w:t>
      </w:r>
      <w:r w:rsidRPr="004231A6">
        <w:rPr>
          <w:rFonts w:asciiTheme="minorHAnsi" w:hAnsiTheme="minorHAnsi"/>
          <w:noProof w:val="0"/>
          <w:rtl/>
        </w:rPr>
        <w:t xml:space="preserve"> </w:t>
      </w:r>
      <w:r w:rsidRPr="004231A6">
        <w:rPr>
          <w:rFonts w:hint="eastAsia" w:asciiTheme="minorHAnsi" w:hAnsiTheme="minorHAnsi"/>
          <w:noProof w:val="0"/>
          <w:rtl/>
        </w:rPr>
        <w:t>של</w:t>
      </w:r>
      <w:r w:rsidRPr="004231A6">
        <w:rPr>
          <w:rFonts w:asciiTheme="minorHAnsi" w:hAnsiTheme="minorHAnsi"/>
          <w:noProof w:val="0"/>
          <w:rtl/>
        </w:rPr>
        <w:t xml:space="preserve"> </w:t>
      </w:r>
      <w:r w:rsidRPr="004231A6">
        <w:rPr>
          <w:rFonts w:hint="eastAsia" w:asciiTheme="minorHAnsi" w:hAnsiTheme="minorHAnsi"/>
          <w:noProof w:val="0"/>
          <w:rtl/>
        </w:rPr>
        <w:t>עו</w:t>
      </w:r>
      <w:r w:rsidRPr="004231A6">
        <w:rPr>
          <w:rFonts w:asciiTheme="minorHAnsi" w:hAnsiTheme="minorHAnsi"/>
          <w:noProof w:val="0"/>
          <w:rtl/>
        </w:rPr>
        <w:t>"</w:t>
      </w:r>
      <w:r w:rsidRPr="004231A6">
        <w:rPr>
          <w:rFonts w:hint="eastAsia" w:asciiTheme="minorHAnsi" w:hAnsiTheme="minorHAnsi"/>
          <w:noProof w:val="0"/>
          <w:rtl/>
        </w:rPr>
        <w:t>ד</w:t>
      </w:r>
      <w:r w:rsidRPr="004231A6">
        <w:rPr>
          <w:rFonts w:asciiTheme="minorHAnsi" w:hAnsiTheme="minorHAnsi"/>
          <w:noProof w:val="0"/>
          <w:rtl/>
        </w:rPr>
        <w:t xml:space="preserve"> </w:t>
      </w:r>
      <w:r w:rsidRPr="004231A6">
        <w:rPr>
          <w:rFonts w:hint="eastAsia" w:asciiTheme="minorHAnsi" w:hAnsiTheme="minorHAnsi"/>
          <w:noProof w:val="0"/>
          <w:rtl/>
        </w:rPr>
        <w:t>בליטשטיין</w:t>
      </w:r>
      <w:r w:rsidRPr="004231A6">
        <w:rPr>
          <w:rFonts w:asciiTheme="minorHAnsi" w:hAnsiTheme="minorHAnsi"/>
          <w:noProof w:val="0"/>
          <w:rtl/>
        </w:rPr>
        <w:t xml:space="preserve"> </w:t>
      </w:r>
      <w:r w:rsidRPr="004231A6">
        <w:rPr>
          <w:rFonts w:hint="eastAsia" w:asciiTheme="minorHAnsi" w:hAnsiTheme="minorHAnsi"/>
          <w:noProof w:val="0"/>
          <w:rtl/>
        </w:rPr>
        <w:t>כמבקש</w:t>
      </w:r>
      <w:r w:rsidRPr="004231A6">
        <w:rPr>
          <w:rFonts w:asciiTheme="minorHAnsi" w:hAnsiTheme="minorHAnsi"/>
          <w:noProof w:val="0"/>
          <w:rtl/>
        </w:rPr>
        <w:t xml:space="preserve"> 1 </w:t>
      </w:r>
      <w:r w:rsidRPr="004231A6">
        <w:rPr>
          <w:rFonts w:hint="eastAsia" w:asciiTheme="minorHAnsi" w:hAnsiTheme="minorHAnsi"/>
          <w:noProof w:val="0"/>
          <w:rtl/>
        </w:rPr>
        <w:t>בעוד</w:t>
      </w:r>
      <w:r w:rsidRPr="004231A6">
        <w:rPr>
          <w:rFonts w:asciiTheme="minorHAnsi" w:hAnsiTheme="minorHAnsi"/>
          <w:noProof w:val="0"/>
          <w:rtl/>
        </w:rPr>
        <w:t xml:space="preserve"> </w:t>
      </w:r>
      <w:r w:rsidRPr="004231A6">
        <w:rPr>
          <w:rFonts w:hint="eastAsia" w:asciiTheme="minorHAnsi" w:hAnsiTheme="minorHAnsi"/>
          <w:noProof w:val="0"/>
          <w:rtl/>
        </w:rPr>
        <w:t>עו</w:t>
      </w:r>
      <w:r w:rsidRPr="004231A6">
        <w:rPr>
          <w:rFonts w:asciiTheme="minorHAnsi" w:hAnsiTheme="minorHAnsi"/>
          <w:noProof w:val="0"/>
          <w:rtl/>
        </w:rPr>
        <w:t>"</w:t>
      </w:r>
      <w:r w:rsidRPr="004231A6">
        <w:rPr>
          <w:rFonts w:hint="eastAsia" w:asciiTheme="minorHAnsi" w:hAnsiTheme="minorHAnsi"/>
          <w:noProof w:val="0"/>
          <w:rtl/>
        </w:rPr>
        <w:t>ד</w:t>
      </w:r>
      <w:r w:rsidRPr="004231A6">
        <w:rPr>
          <w:rFonts w:asciiTheme="minorHAnsi" w:hAnsiTheme="minorHAnsi"/>
          <w:noProof w:val="0"/>
          <w:rtl/>
        </w:rPr>
        <w:t xml:space="preserve"> </w:t>
      </w:r>
      <w:r w:rsidRPr="004231A6">
        <w:rPr>
          <w:rFonts w:hint="eastAsia" w:asciiTheme="minorHAnsi" w:hAnsiTheme="minorHAnsi"/>
          <w:noProof w:val="0"/>
          <w:rtl/>
        </w:rPr>
        <w:t>בליטשטיין</w:t>
      </w:r>
      <w:r w:rsidRPr="004231A6">
        <w:rPr>
          <w:rFonts w:asciiTheme="minorHAnsi" w:hAnsiTheme="minorHAnsi"/>
          <w:noProof w:val="0"/>
          <w:rtl/>
        </w:rPr>
        <w:t xml:space="preserve"> </w:t>
      </w:r>
      <w:r w:rsidRPr="004231A6">
        <w:rPr>
          <w:rFonts w:hint="eastAsia" w:asciiTheme="minorHAnsi" w:hAnsiTheme="minorHAnsi"/>
          <w:noProof w:val="0"/>
          <w:rtl/>
        </w:rPr>
        <w:t>יוסיף</w:t>
      </w:r>
      <w:r w:rsidRPr="004231A6">
        <w:rPr>
          <w:rFonts w:asciiTheme="minorHAnsi" w:hAnsiTheme="minorHAnsi"/>
          <w:noProof w:val="0"/>
          <w:rtl/>
        </w:rPr>
        <w:t xml:space="preserve"> </w:t>
      </w:r>
      <w:r w:rsidRPr="004231A6">
        <w:rPr>
          <w:rFonts w:hint="eastAsia" w:asciiTheme="minorHAnsi" w:hAnsiTheme="minorHAnsi"/>
          <w:noProof w:val="0"/>
          <w:rtl/>
        </w:rPr>
        <w:t>לייצג</w:t>
      </w:r>
      <w:r w:rsidRPr="004231A6">
        <w:rPr>
          <w:rFonts w:asciiTheme="minorHAnsi" w:hAnsiTheme="minorHAnsi"/>
          <w:noProof w:val="0"/>
          <w:rtl/>
        </w:rPr>
        <w:t xml:space="preserve"> </w:t>
      </w:r>
      <w:r w:rsidRPr="004231A6">
        <w:rPr>
          <w:rFonts w:hint="eastAsia" w:asciiTheme="minorHAnsi" w:hAnsiTheme="minorHAnsi"/>
          <w:noProof w:val="0"/>
          <w:rtl/>
        </w:rPr>
        <w:t>את</w:t>
      </w:r>
      <w:r w:rsidRPr="004231A6">
        <w:rPr>
          <w:rFonts w:asciiTheme="minorHAnsi" w:hAnsiTheme="minorHAnsi"/>
          <w:noProof w:val="0"/>
          <w:rtl/>
        </w:rPr>
        <w:t xml:space="preserve"> </w:t>
      </w:r>
      <w:r w:rsidRPr="004231A6">
        <w:rPr>
          <w:rFonts w:hint="eastAsia" w:asciiTheme="minorHAnsi" w:hAnsiTheme="minorHAnsi"/>
          <w:noProof w:val="0"/>
          <w:rtl/>
        </w:rPr>
        <w:t>המבקשים</w:t>
      </w:r>
      <w:r w:rsidRPr="004231A6">
        <w:rPr>
          <w:rFonts w:asciiTheme="minorHAnsi" w:hAnsiTheme="minorHAnsi"/>
          <w:noProof w:val="0"/>
          <w:rtl/>
        </w:rPr>
        <w:t xml:space="preserve"> 2-3</w:t>
      </w:r>
      <w:r w:rsidRPr="004231A6">
        <w:rPr>
          <w:rFonts w:ascii="Arial" w:hAnsi="Arial"/>
          <w:noProof w:val="0"/>
          <w:rtl/>
        </w:rPr>
        <w:t xml:space="preserve"> ובסיכומי המבקשים נטען כי אין כל פסול בכפילות התפקידים אולם הוצע כי ככל ותתקבל בקשת האישור יוגש כתב תביעה מתוקן כך שעו"ד בליטשטיין יימחק מרשימת התובעים ויוותר רק כב"כ מייצג (ס' 82). לאור התוצאה אליה הגעתי איני נדרשת לסוגיה זו. </w:t>
      </w:r>
    </w:p>
    <w:p w:rsidR="00B221D9" w:rsidP="004231A6" w:rsidRDefault="00B221D9">
      <w:pPr>
        <w:spacing w:line="480" w:lineRule="auto"/>
        <w:ind w:left="720"/>
        <w:contextualSpacing/>
        <w:jc w:val="both"/>
        <w:rPr>
          <w:rFonts w:ascii="Arial" w:hAnsi="Arial"/>
          <w:b/>
          <w:bCs/>
          <w:noProof w:val="0"/>
          <w:u w:val="single"/>
          <w:rtl/>
        </w:rPr>
      </w:pPr>
    </w:p>
    <w:p w:rsidRPr="004231A6" w:rsidR="004231A6" w:rsidP="000E1105" w:rsidRDefault="004231A6">
      <w:pPr>
        <w:spacing w:after="160" w:line="480" w:lineRule="auto"/>
        <w:ind w:left="720"/>
        <w:contextualSpacing/>
        <w:jc w:val="both"/>
        <w:rPr>
          <w:rFonts w:ascii="Arial" w:hAnsi="Arial"/>
          <w:b/>
          <w:bCs/>
          <w:noProof w:val="0"/>
          <w:u w:val="single"/>
          <w:rtl/>
        </w:rPr>
      </w:pPr>
      <w:r w:rsidRPr="004231A6">
        <w:rPr>
          <w:rFonts w:ascii="Arial" w:hAnsi="Arial"/>
          <w:b/>
          <w:bCs/>
          <w:noProof w:val="0"/>
          <w:u w:val="single"/>
          <w:rtl/>
        </w:rPr>
        <w:t>התוצאה</w:t>
      </w:r>
    </w:p>
    <w:p w:rsidRPr="004231A6" w:rsidR="004231A6" w:rsidP="00FE14DF" w:rsidRDefault="00FE14DF">
      <w:pPr>
        <w:numPr>
          <w:ilvl w:val="0"/>
          <w:numId w:val="2"/>
        </w:numPr>
        <w:spacing w:after="160" w:line="480" w:lineRule="auto"/>
        <w:ind w:left="706" w:hanging="425"/>
        <w:contextualSpacing/>
        <w:jc w:val="both"/>
        <w:rPr>
          <w:rFonts w:ascii="Arial" w:hAnsi="Arial"/>
          <w:noProof w:val="0"/>
        </w:rPr>
      </w:pPr>
      <w:r>
        <w:rPr>
          <w:rFonts w:hint="cs" w:ascii="Arial" w:hAnsi="Arial"/>
          <w:noProof w:val="0"/>
          <w:rtl/>
        </w:rPr>
        <w:t>בקשת האישור לפיכך נדחית.</w:t>
      </w:r>
      <w:r w:rsidRPr="004231A6" w:rsidR="004231A6">
        <w:rPr>
          <w:rFonts w:ascii="Arial" w:hAnsi="Arial"/>
          <w:noProof w:val="0"/>
          <w:rtl/>
        </w:rPr>
        <w:t xml:space="preserve"> מובהר כי אין בדחיית בקשת האישור כדי למנוע מהמבקש 3 לנקוט בהליך מתאים לבירור עילת התביעה האישית הנטענת ביחס להפרת סעיף 30א(ב) ל</w:t>
      </w:r>
      <w:r w:rsidRPr="004231A6" w:rsidR="004231A6">
        <w:rPr>
          <w:rFonts w:ascii="Arial" w:hAnsi="Arial"/>
          <w:noProof w:val="0"/>
          <w:color w:val="000000"/>
          <w:rtl/>
        </w:rPr>
        <w:t xml:space="preserve">חוק התקשורת (משלוח דבר פרסומת בלא קבלת הסכמה מפורשת מראש) וכן מהמבקש 2 ביחס לעילה האישית הנטענת להפרת </w:t>
      </w:r>
      <w:r w:rsidRPr="004231A6" w:rsidR="004231A6">
        <w:rPr>
          <w:rFonts w:ascii="Arial" w:hAnsi="Arial"/>
          <w:noProof w:val="0"/>
          <w:rtl/>
        </w:rPr>
        <w:t>סעיף 30א(ד) ל</w:t>
      </w:r>
      <w:r w:rsidRPr="004231A6" w:rsidR="004231A6">
        <w:rPr>
          <w:rFonts w:ascii="Arial" w:hAnsi="Arial"/>
          <w:noProof w:val="0"/>
          <w:color w:val="000000"/>
          <w:rtl/>
        </w:rPr>
        <w:t>חוק התקשורת (משלוח דבר פרסומת חרף מתן הודעת סירוב).</w:t>
      </w:r>
      <w:r w:rsidRPr="004231A6" w:rsidR="004231A6">
        <w:rPr>
          <w:rFonts w:ascii="Arial" w:hAnsi="Arial"/>
          <w:noProof w:val="0"/>
          <w:rtl/>
        </w:rPr>
        <w:t xml:space="preserve"> יתר תביעותיהם האישיות של המבקשים נדחות.</w:t>
      </w:r>
    </w:p>
    <w:p w:rsidRPr="004231A6" w:rsidR="004231A6" w:rsidP="00FE14DF" w:rsidRDefault="004231A6">
      <w:pPr>
        <w:spacing w:after="160" w:line="480" w:lineRule="auto"/>
        <w:ind w:left="706"/>
        <w:contextualSpacing/>
        <w:jc w:val="both"/>
        <w:rPr>
          <w:rFonts w:ascii="Arial" w:hAnsi="Arial"/>
          <w:noProof w:val="0"/>
          <w:rtl/>
        </w:rPr>
      </w:pPr>
      <w:r w:rsidRPr="004231A6">
        <w:rPr>
          <w:rFonts w:ascii="Arial" w:hAnsi="Arial"/>
          <w:noProof w:val="0"/>
          <w:rtl/>
        </w:rPr>
        <w:t>לאור תוצאה זו ובאשר להבנתי לא היה מקום בנסיבות העניין להגיש בקשה לאישור תובענה כייצוגית</w:t>
      </w:r>
      <w:r w:rsidR="00000081">
        <w:rPr>
          <w:rFonts w:hint="cs" w:ascii="Arial" w:hAnsi="Arial"/>
          <w:noProof w:val="0"/>
          <w:rtl/>
        </w:rPr>
        <w:t>, ולאור ההבדל המהותי בין תביעה קטנה לבין בקשת אישור תובענה כייצוגית</w:t>
      </w:r>
      <w:r w:rsidR="00FE14DF">
        <w:rPr>
          <w:rFonts w:hint="cs" w:ascii="Arial" w:hAnsi="Arial"/>
          <w:noProof w:val="0"/>
          <w:rtl/>
        </w:rPr>
        <w:t>,</w:t>
      </w:r>
      <w:r w:rsidR="00000081">
        <w:rPr>
          <w:rFonts w:hint="cs" w:ascii="Arial" w:hAnsi="Arial"/>
          <w:noProof w:val="0"/>
          <w:rtl/>
        </w:rPr>
        <w:t xml:space="preserve"> </w:t>
      </w:r>
      <w:r w:rsidR="00B547B3">
        <w:rPr>
          <w:rFonts w:hint="cs" w:ascii="Arial" w:hAnsi="Arial"/>
          <w:noProof w:val="0"/>
          <w:rtl/>
        </w:rPr>
        <w:t xml:space="preserve">מבחינת </w:t>
      </w:r>
      <w:bookmarkStart w:name="_GoBack" w:id="2"/>
      <w:bookmarkEnd w:id="2"/>
      <w:r w:rsidR="00000081">
        <w:rPr>
          <w:rFonts w:hint="cs" w:ascii="Arial" w:hAnsi="Arial"/>
          <w:noProof w:val="0"/>
          <w:rtl/>
        </w:rPr>
        <w:t xml:space="preserve">המשאבים </w:t>
      </w:r>
      <w:r w:rsidR="00FE14DF">
        <w:rPr>
          <w:rFonts w:hint="cs" w:ascii="Arial" w:hAnsi="Arial"/>
          <w:noProof w:val="0"/>
          <w:rtl/>
        </w:rPr>
        <w:t xml:space="preserve">והתשומות </w:t>
      </w:r>
      <w:r w:rsidR="00000081">
        <w:rPr>
          <w:rFonts w:hint="cs" w:ascii="Arial" w:hAnsi="Arial"/>
          <w:noProof w:val="0"/>
          <w:rtl/>
        </w:rPr>
        <w:t xml:space="preserve">המושקעים בכך מצד המשיבות ואף </w:t>
      </w:r>
      <w:r w:rsidR="00FE14DF">
        <w:rPr>
          <w:rFonts w:hint="cs" w:ascii="Arial" w:hAnsi="Arial"/>
          <w:noProof w:val="0"/>
          <w:rtl/>
        </w:rPr>
        <w:t xml:space="preserve">על ידי מערכת בתי </w:t>
      </w:r>
      <w:r w:rsidR="00000081">
        <w:rPr>
          <w:rFonts w:hint="cs" w:ascii="Arial" w:hAnsi="Arial"/>
          <w:noProof w:val="0"/>
          <w:rtl/>
        </w:rPr>
        <w:t xml:space="preserve">המשפט, </w:t>
      </w:r>
      <w:r w:rsidRPr="004231A6">
        <w:rPr>
          <w:rFonts w:ascii="Arial" w:hAnsi="Arial"/>
          <w:noProof w:val="0"/>
          <w:rtl/>
        </w:rPr>
        <w:t xml:space="preserve"> המבקשים יישאו ביחד ולחוד בהוצאות המשיבה בסך 30,000 ₪</w:t>
      </w:r>
      <w:r w:rsidR="00FE14DF">
        <w:rPr>
          <w:rFonts w:hint="cs" w:ascii="Arial" w:hAnsi="Arial"/>
          <w:noProof w:val="0"/>
          <w:rtl/>
        </w:rPr>
        <w:t>, סכום שאף הוא אינו מכסה אף לא בקירוב את הוצאותיה הריאליות של המשיבה בניהול הגנתה</w:t>
      </w:r>
      <w:r w:rsidRPr="004231A6">
        <w:rPr>
          <w:rFonts w:ascii="Arial" w:hAnsi="Arial"/>
          <w:noProof w:val="0"/>
          <w:rtl/>
        </w:rPr>
        <w:t>.</w:t>
      </w:r>
    </w:p>
    <w:p w:rsidR="00694556" w:rsidRDefault="00694556">
      <w:pPr>
        <w:spacing w:line="360" w:lineRule="auto"/>
        <w:jc w:val="both"/>
        <w:rPr>
          <w:rFonts w:ascii="Arial" w:hAnsi="Arial"/>
          <w:noProof w:val="0"/>
          <w:rtl/>
        </w:rPr>
      </w:pPr>
    </w:p>
    <w:p w:rsidR="00694556" w:rsidP="00B221D9" w:rsidRDefault="00005C8B">
      <w:pPr>
        <w:spacing w:line="360" w:lineRule="auto"/>
        <w:ind w:firstLine="706"/>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כ"ו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11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BA184F">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421892" cy="5989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9928fcdc41454e94" cstate="print">
                            <a:extLst>
                              <a:ext uri="{28A0092B-C50C-407E-A947-70E740481C1C}"/>
                            </a:extLst>
                          </a:blip>
                          <a:stretch>
                            <a:fillRect/>
                          </a:stretch>
                        </pic:blipFill>
                        <pic:spPr>
                          <a:xfrm>
                            <a:off x="0" y="0"/>
                            <a:ext cx="1421892" cy="598932"/>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12"/>
      <w:footerReference w:type="defaul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BA184F">
      <w:rPr>
        <w:rStyle w:val="ab"/>
        <w:rFonts w:cs="Times New Roman"/>
        <w:rtl/>
      </w:rPr>
      <w:t>15</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BA184F">
      <w:rPr>
        <w:rStyle w:val="ab"/>
        <w:rtl/>
      </w:rPr>
      <w:t>15</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A184F">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המשפט המחוזי מרכז-לוד</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BA184F">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ת"צ</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20834-09-15</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בליטשטיין ואח' נ' המשביר 365 החזקות בע"מ</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957C90">
          <w:pPr>
            <w:rPr>
              <w:b/>
              <w:bCs/>
              <w:noProof w:val="0"/>
              <w:sz w:val="26"/>
              <w:szCs w:val="26"/>
              <w:rtl/>
            </w:rPr>
          </w:pP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154EF"/>
    <w:multiLevelType w:val="hybridMultilevel"/>
    <w:tmpl w:val="CC243D34"/>
    <w:lvl w:ilvl="0" w:tplc="6A1891BC">
      <w:start w:val="1"/>
      <w:numFmt w:val="decimal"/>
      <w:lvlText w:val="%1."/>
      <w:lvlJc w:val="left"/>
      <w:pPr>
        <w:ind w:left="1068" w:hanging="360"/>
      </w:pPr>
      <w:rPr>
        <w:rFonts w:cs="David"/>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6A46AD8"/>
    <w:multiLevelType w:val="hybridMultilevel"/>
    <w:tmpl w:val="AF804818"/>
    <w:lvl w:ilvl="0" w:tplc="6EF414A8">
      <w:start w:val="2"/>
      <w:numFmt w:val="bullet"/>
      <w:lvlText w:val="-"/>
      <w:lvlJc w:val="left"/>
      <w:pPr>
        <w:ind w:left="1800" w:hanging="360"/>
      </w:pPr>
      <w:rPr>
        <w:rFonts w:asciiTheme="minorHAnsi" w:eastAsia="Times New Roman" w:hAnsiTheme="minorHAnsi"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81"/>
    <w:rsid w:val="00005C8B"/>
    <w:rsid w:val="000146C2"/>
    <w:rsid w:val="00016C35"/>
    <w:rsid w:val="000258FD"/>
    <w:rsid w:val="000564AB"/>
    <w:rsid w:val="00065F91"/>
    <w:rsid w:val="000D4A02"/>
    <w:rsid w:val="000E1105"/>
    <w:rsid w:val="001072A9"/>
    <w:rsid w:val="00121F97"/>
    <w:rsid w:val="001277D7"/>
    <w:rsid w:val="00132017"/>
    <w:rsid w:val="0014234E"/>
    <w:rsid w:val="00145A87"/>
    <w:rsid w:val="001C4003"/>
    <w:rsid w:val="001F5474"/>
    <w:rsid w:val="002352F7"/>
    <w:rsid w:val="0030626C"/>
    <w:rsid w:val="00381D3A"/>
    <w:rsid w:val="003823DA"/>
    <w:rsid w:val="004231A6"/>
    <w:rsid w:val="00423691"/>
    <w:rsid w:val="0043595F"/>
    <w:rsid w:val="0047645A"/>
    <w:rsid w:val="004D49A3"/>
    <w:rsid w:val="004E6E3C"/>
    <w:rsid w:val="005124F1"/>
    <w:rsid w:val="00530BAD"/>
    <w:rsid w:val="00541598"/>
    <w:rsid w:val="00547DB7"/>
    <w:rsid w:val="00567324"/>
    <w:rsid w:val="005676EC"/>
    <w:rsid w:val="005B0F49"/>
    <w:rsid w:val="005C7EC6"/>
    <w:rsid w:val="005D4BDB"/>
    <w:rsid w:val="00622BAA"/>
    <w:rsid w:val="00625C89"/>
    <w:rsid w:val="00633C4F"/>
    <w:rsid w:val="00671BD5"/>
    <w:rsid w:val="006805C1"/>
    <w:rsid w:val="006816EC"/>
    <w:rsid w:val="00694556"/>
    <w:rsid w:val="006E1A53"/>
    <w:rsid w:val="007056AA"/>
    <w:rsid w:val="00744F41"/>
    <w:rsid w:val="00756AD6"/>
    <w:rsid w:val="00773833"/>
    <w:rsid w:val="007A24FE"/>
    <w:rsid w:val="007A35AA"/>
    <w:rsid w:val="007B421F"/>
    <w:rsid w:val="007F1048"/>
    <w:rsid w:val="00820005"/>
    <w:rsid w:val="00846D27"/>
    <w:rsid w:val="008610A7"/>
    <w:rsid w:val="008E1332"/>
    <w:rsid w:val="00903896"/>
    <w:rsid w:val="00927813"/>
    <w:rsid w:val="00944D13"/>
    <w:rsid w:val="00957C90"/>
    <w:rsid w:val="00965DAC"/>
    <w:rsid w:val="00980A53"/>
    <w:rsid w:val="009E0263"/>
    <w:rsid w:val="00A267CF"/>
    <w:rsid w:val="00A43458"/>
    <w:rsid w:val="00A85CF6"/>
    <w:rsid w:val="00AC0D5A"/>
    <w:rsid w:val="00AC4E19"/>
    <w:rsid w:val="00AF1DC7"/>
    <w:rsid w:val="00AF1ED6"/>
    <w:rsid w:val="00B221D9"/>
    <w:rsid w:val="00B32C61"/>
    <w:rsid w:val="00B368FE"/>
    <w:rsid w:val="00B547B3"/>
    <w:rsid w:val="00B80CBD"/>
    <w:rsid w:val="00BA184F"/>
    <w:rsid w:val="00BC3369"/>
    <w:rsid w:val="00BF3D31"/>
    <w:rsid w:val="00BF77EE"/>
    <w:rsid w:val="00C32E0F"/>
    <w:rsid w:val="00C42BF9"/>
    <w:rsid w:val="00C76E3B"/>
    <w:rsid w:val="00C83E56"/>
    <w:rsid w:val="00D319B3"/>
    <w:rsid w:val="00D36A71"/>
    <w:rsid w:val="00D53924"/>
    <w:rsid w:val="00D60849"/>
    <w:rsid w:val="00D96D8C"/>
    <w:rsid w:val="00DA755B"/>
    <w:rsid w:val="00DD337E"/>
    <w:rsid w:val="00E00B6F"/>
    <w:rsid w:val="00E54642"/>
    <w:rsid w:val="00E8351A"/>
    <w:rsid w:val="00E97908"/>
    <w:rsid w:val="00EF3ED0"/>
    <w:rsid w:val="00F17E56"/>
    <w:rsid w:val="00F77C7D"/>
    <w:rsid w:val="00F80D42"/>
    <w:rsid w:val="00FE14DF"/>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6C233B84"/>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paragraph" w:styleId="ad">
    <w:name w:val="List Paragraph"/>
    <w:basedOn w:val="a"/>
    <w:uiPriority w:val="34"/>
    <w:qFormat/>
    <w:rsid w:val="004231A6"/>
    <w:pPr>
      <w:spacing w:after="160" w:line="259" w:lineRule="auto"/>
      <w:ind w:left="720"/>
      <w:contextualSpacing/>
    </w:pPr>
    <w:rPr>
      <w:rFonts w:asciiTheme="minorHAnsi" w:hAnsiTheme="minorHAnsi" w:cs="Arial"/>
      <w:noProof w:val="0"/>
      <w:sz w:val="22"/>
      <w:szCs w:val="22"/>
    </w:rPr>
  </w:style>
  <w:style w:type="character" w:customStyle="1" w:styleId="default">
    <w:name w:val="default"/>
    <w:rsid w:val="004231A6"/>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yperlink" Target="http://www.nevo.co.il/case/5971449" TargetMode="External" Id="rId11" /><Relationship Type="http://schemas.openxmlformats.org/officeDocument/2006/relationships/styles" Target="styles.xml" Id="rId5" /><Relationship Type="http://schemas.openxmlformats.org/officeDocument/2006/relationships/glossaryDocument" Target="glossary/document.xml" Id="rId15" /><Relationship Type="http://schemas.openxmlformats.org/officeDocument/2006/relationships/hyperlink" Target="http://www.nevo.co.il/case/4858761"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image" Target="/media/image2.jpg" Id="R9928fcdc41454e9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B40AEB"/>
    <w:rsid w:val="00B775D3"/>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15</Pages>
  <Words>3501</Words>
  <Characters>17505</Characters>
  <Application>Microsoft Office Word</Application>
  <DocSecurity>0</DocSecurity>
  <Lines>145</Lines>
  <Paragraphs>41</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20965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הדס עובדיה</cp:lastModifiedBy>
  <cp:revision>60</cp:revision>
  <dcterms:created xsi:type="dcterms:W3CDTF">2012-08-05T21:29:00Z</dcterms:created>
  <dcterms:modified xsi:type="dcterms:W3CDTF">2018-04-11T07:44:00Z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