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92165" w:rsidR="0094424E" w:rsidP="0094424E" w:rsidRDefault="0094424E">
      <w:pPr>
        <w:rPr>
          <w:b/>
          <w:bCs/>
          <w:sz w:val="28"/>
          <w:szCs w:val="28"/>
          <w:rtl/>
        </w:rPr>
      </w:pPr>
      <w:r>
        <w:rPr>
          <w:rtl/>
        </w:rPr>
        <w:t xml:space="preserve"> </w:t>
      </w:r>
      <w:r w:rsidR="00492165">
        <w:rPr>
          <w:rtl/>
        </w:rPr>
        <w:tab/>
      </w:r>
      <w:r w:rsidR="00492165">
        <w:rPr>
          <w:rtl/>
        </w:rPr>
        <w:tab/>
      </w:r>
      <w:r w:rsidR="00492165">
        <w:rPr>
          <w:rtl/>
        </w:rPr>
        <w:tab/>
      </w:r>
      <w:r w:rsidR="00492165">
        <w:rPr>
          <w:rtl/>
        </w:rPr>
        <w:tab/>
      </w:r>
      <w:r w:rsidR="00492165">
        <w:rPr>
          <w:rtl/>
        </w:rPr>
        <w:tab/>
      </w:r>
      <w:r w:rsidR="00492165">
        <w:rPr>
          <w:rtl/>
        </w:rPr>
        <w:tab/>
      </w:r>
      <w:r w:rsidR="00492165">
        <w:rPr>
          <w:rtl/>
        </w:rPr>
        <w:tab/>
      </w:r>
      <w:r w:rsidR="00492165">
        <w:rPr>
          <w:rtl/>
        </w:rPr>
        <w:tab/>
      </w:r>
      <w:r w:rsidRPr="00492165" w:rsidR="00492165">
        <w:rPr>
          <w:rFonts w:hint="cs"/>
          <w:b/>
          <w:bCs/>
          <w:sz w:val="28"/>
          <w:szCs w:val="28"/>
          <w:rtl/>
        </w:rPr>
        <w:t>בקשה מס': 4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492165" w:rsidP="00E962E3" w:rsidRDefault="00492165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תמר שרון נתנאל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A7423" w:rsidP="00492165" w:rsidRDefault="00313C9D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313C9D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אחמד אבו ראס</w:t>
                </w:r>
                <w:r w:rsidR="00492165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492165" w:rsidRDefault="00313C9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313C9D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4D74B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משרד הרישוי -חיפה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A7423" w:rsidRDefault="004A742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92165" w:rsidP="00492165" w:rsidRDefault="00492165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P="00492165" w:rsidRDefault="00FA675E">
      <w:pPr>
        <w:spacing w:line="360" w:lineRule="auto"/>
        <w:ind w:firstLine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על פי החלטתי מיום 18/3/18, היה על המבקש להגיש אישור מסירה לפרקליטות, של כתב הערעור, על נספחיו, עד ליום 25/3/18. כן נקבע כי על המערער להגיש עיקרי טיעון לפחות 14 ימים טרם הדיון ובהם יסביר מהי השאלה המשפטית העומדת לדיון.</w:t>
      </w:r>
    </w:p>
    <w:p w:rsidR="00FA675E" w:rsidRDefault="00FA675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A675E" w:rsidP="00492165" w:rsidRDefault="00FA675E">
      <w:pPr>
        <w:spacing w:line="360" w:lineRule="auto"/>
        <w:ind w:firstLine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המערער לא המציא אישור מסירה, כנדרש, וביום 27/3/18 הוגשה הודעה מטעם הפרקליטות על אי קבלת כתבי בי-דין ובקשה לדחיית מועדים סבירה, בהתאם למועד בו תבוצע ההמצאה.</w:t>
      </w:r>
    </w:p>
    <w:p w:rsidR="00FA675E" w:rsidRDefault="00FA675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A675E" w:rsidP="00492165" w:rsidRDefault="00FA675E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רק היום הוגש אישור מסירה מטעם המערער</w:t>
      </w:r>
      <w:r w:rsidR="00492165">
        <w:rPr>
          <w:rFonts w:hint="cs" w:ascii="Arial" w:hAnsi="Arial"/>
          <w:noProof w:val="0"/>
          <w:rtl/>
        </w:rPr>
        <w:t xml:space="preserve"> (במסגרת בקשה מס' 4)</w:t>
      </w:r>
      <w:r>
        <w:rPr>
          <w:rFonts w:hint="cs" w:ascii="Arial" w:hAnsi="Arial"/>
          <w:noProof w:val="0"/>
          <w:rtl/>
        </w:rPr>
        <w:t>, לפיו המסירה בוצעה ביום 11/4/18, ללא כל הסבר וללא כל התייחסות לבקשת המשיב לדחיית המועד הקבוע לדיון.</w:t>
      </w:r>
      <w:r w:rsidR="00492165">
        <w:rPr>
          <w:rFonts w:hint="cs" w:ascii="Arial" w:hAnsi="Arial"/>
          <w:noProof w:val="0"/>
          <w:rtl/>
        </w:rPr>
        <w:t xml:space="preserve"> </w:t>
      </w:r>
    </w:p>
    <w:p w:rsidR="00FA675E" w:rsidRDefault="00FA675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A675E" w:rsidP="00492165" w:rsidRDefault="00FA675E">
      <w:pPr>
        <w:spacing w:line="360" w:lineRule="auto"/>
        <w:ind w:firstLine="720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בנוסף, המערער לא הגיש עיקרי טיעון כנדרש.</w:t>
      </w:r>
    </w:p>
    <w:p w:rsidR="00FA675E" w:rsidRDefault="00FA675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A675E" w:rsidP="00492165" w:rsidRDefault="00FA675E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ראוי היה שאורה על מחיקת הערעור, בשל מחדלי המערער, אולם לפנים משורת הדין אתן למערער הזדמנות אחרונה לתיקון מחדלו ולהגיש עיקרי טיעון, כנדרש, דבר המחייב דחיית המועד שנקבע לדיון בערעור.</w:t>
      </w:r>
      <w:r w:rsidR="00492165">
        <w:rPr>
          <w:rFonts w:hint="cs" w:ascii="Arial" w:hAnsi="Arial"/>
          <w:noProof w:val="0"/>
          <w:rtl/>
        </w:rPr>
        <w:t xml:space="preserve"> אבהיר, כי בשל צאתי לשבתון של חודשיים מיום 1/5/18, לא אוכל לקבוע מועד לפני חודש יולי.</w:t>
      </w:r>
    </w:p>
    <w:p w:rsidR="00FA675E" w:rsidP="00FA675E" w:rsidRDefault="00FA675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A675E" w:rsidP="00492165" w:rsidRDefault="00492165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אני דוחה, אפוא, את הדיון בערעור ליום</w:t>
      </w:r>
      <w:r w:rsidR="00FA675E">
        <w:rPr>
          <w:rFonts w:hint="cs" w:ascii="Arial" w:hAnsi="Arial"/>
          <w:noProof w:val="0"/>
          <w:rtl/>
        </w:rPr>
        <w:t xml:space="preserve"> </w:t>
      </w:r>
      <w:r w:rsidRPr="00492165">
        <w:rPr>
          <w:rFonts w:hint="cs" w:ascii="Arial" w:hAnsi="Arial"/>
          <w:b/>
          <w:bCs/>
          <w:noProof w:val="0"/>
          <w:u w:val="single"/>
          <w:rtl/>
        </w:rPr>
        <w:t>3/7/18 בשעה 08:30</w:t>
      </w:r>
      <w:r>
        <w:rPr>
          <w:rFonts w:hint="cs" w:ascii="Arial" w:hAnsi="Arial"/>
          <w:noProof w:val="0"/>
          <w:rtl/>
        </w:rPr>
        <w:t>.</w:t>
      </w:r>
    </w:p>
    <w:p w:rsidR="00492165" w:rsidP="00492165" w:rsidRDefault="00492165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</w:p>
    <w:p w:rsidR="00C3325D" w:rsidP="00492165" w:rsidRDefault="00C3325D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</w:p>
    <w:p w:rsidR="00492165" w:rsidP="00492165" w:rsidRDefault="00492165">
      <w:pPr>
        <w:spacing w:line="360" w:lineRule="auto"/>
        <w:ind w:firstLine="720"/>
        <w:jc w:val="both"/>
        <w:rPr>
          <w:rFonts w:hint="cs" w:ascii="Arial" w:hAnsi="Arial"/>
          <w:noProof w:val="0"/>
          <w:rtl/>
        </w:rPr>
      </w:pPr>
      <w:bookmarkStart w:name="_GoBack" w:id="1"/>
      <w:r w:rsidRPr="00C3325D">
        <w:rPr>
          <w:rFonts w:hint="cs" w:ascii="Arial" w:hAnsi="Arial"/>
          <w:noProof w:val="0"/>
          <w:u w:val="single"/>
          <w:rtl/>
        </w:rPr>
        <w:t>תשובה לערעור ועיקרי טיעון יוגשו במועדים הקבועים בתקנות</w:t>
      </w:r>
      <w:bookmarkEnd w:id="1"/>
      <w:r>
        <w:rPr>
          <w:rFonts w:hint="cs" w:ascii="Arial" w:hAnsi="Arial"/>
          <w:noProof w:val="0"/>
          <w:rtl/>
        </w:rPr>
        <w:t>.</w:t>
      </w:r>
    </w:p>
    <w:p w:rsidR="00492165" w:rsidP="00492165" w:rsidRDefault="00492165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92165" w:rsidP="00492165" w:rsidRDefault="00492165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Pr="00492165" w:rsidR="00492165" w:rsidP="00492165" w:rsidRDefault="00492165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492165">
        <w:rPr>
          <w:rFonts w:hint="cs" w:ascii="Arial" w:hAnsi="Arial"/>
          <w:b/>
          <w:bCs/>
          <w:noProof w:val="0"/>
          <w:u w:val="single"/>
          <w:rtl/>
        </w:rPr>
        <w:t>המזכירות תמציא החלטה זו לצדדים, עוד היום</w:t>
      </w:r>
      <w:r w:rsidRPr="00492165">
        <w:rPr>
          <w:rFonts w:hint="cs" w:ascii="Arial" w:hAnsi="Arial"/>
          <w:b/>
          <w:bCs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13C9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57325" cy="6572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94af1c92446461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30F" w:rsidRDefault="006D130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13C9D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13C9D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30F" w:rsidRDefault="006D130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30F" w:rsidRDefault="006D130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A675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10BB4E4" wp14:editId="692783C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tc>
        <w:tcPr>
          <w:tcW w:w="8721" w:type="dxa"/>
          <w:gridSpan w:val="2"/>
        </w:tcPr>
        <w:p w:rsidR="00694556" w:rsidP="004D74B1" w:rsidRDefault="006D130F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>בית המשפט המחוזי בחיפה בשבתו כבית-משפט לעניינים מנהליים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313C9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עמ"נ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11154-02-18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4D74B1">
                <w:rPr>
                  <w:b/>
                  <w:bCs/>
                  <w:noProof w:val="0"/>
                  <w:sz w:val="26"/>
                  <w:szCs w:val="26"/>
                  <w:rtl/>
                </w:rPr>
                <w:t>אבו ראס נ' משרד הרישוי -חיפה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30F" w:rsidRDefault="006D13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1250"/>
    <o:shapelayout v:ext="edit">
      <o:idmap v:ext="edit" data="17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13C9D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92165"/>
    <w:rsid w:val="004A7423"/>
    <w:rsid w:val="004C17EE"/>
    <w:rsid w:val="004C4BDF"/>
    <w:rsid w:val="004D1187"/>
    <w:rsid w:val="004D3AA0"/>
    <w:rsid w:val="004D74B1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130F"/>
    <w:rsid w:val="006D3B31"/>
    <w:rsid w:val="006E0D96"/>
    <w:rsid w:val="006E1A53"/>
    <w:rsid w:val="006F56E6"/>
    <w:rsid w:val="00704EDA"/>
    <w:rsid w:val="00721122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B1880"/>
    <w:rsid w:val="008C5714"/>
    <w:rsid w:val="008D10B2"/>
    <w:rsid w:val="00903896"/>
    <w:rsid w:val="00906F3D"/>
    <w:rsid w:val="00922E02"/>
    <w:rsid w:val="0094424E"/>
    <w:rsid w:val="00955642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325D"/>
    <w:rsid w:val="00C34482"/>
    <w:rsid w:val="00C43648"/>
    <w:rsid w:val="00C50A9F"/>
    <w:rsid w:val="00C642FA"/>
    <w:rsid w:val="00CC7622"/>
    <w:rsid w:val="00CD608F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A675E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1250"/>
    <o:shapelayout v:ext="edit">
      <o:idmap v:ext="edit" data="1"/>
    </o:shapelayout>
  </w:shapeDefaults>
  <w:decimalSymbol w:val="."/>
  <w:listSeparator w:val=","/>
  <w14:docId w14:val="0F8C5C2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94af1c92446461e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D0406" w:rsidP="006D0406">
          <w:pPr>
            <w:pStyle w:val="E460D38E05664FF79D4EFF282EF8EC9914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D0406" w:rsidP="006D0406">
          <w:pPr>
            <w:pStyle w:val="D290653DA13E4E738B7E725F79D733297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56D67"/>
    <w:rsid w:val="006D0406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040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6D04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205</Words>
  <Characters>1026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תמר שרון נתנאל</cp:lastModifiedBy>
  <cp:revision>108</cp:revision>
  <dcterms:created xsi:type="dcterms:W3CDTF">2012-08-06T05:16:00Z</dcterms:created>
  <dcterms:modified xsi:type="dcterms:W3CDTF">2018-04-12T06:03:00Z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