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דוד שאול גבאי ריכטר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1258/2018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478459/2017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קוסי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למטור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206802753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נאגח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07 פברואר 1998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בית חנינה ירושלים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sdt>
          <w:sdtPr>
            <w:rPr>
              <w:rtl/>
            </w:rPr>
            <w:alias w:val="1761"/>
            <w:tag w:val="1761"/>
            <w:id w:val="1422216430"/>
            <w:lock w:val="contentLocked"/>
            <w:group/>
          </w:sdtPr>
          <w:sdtEndPr/>
          <w:sdtContent>
            <w:p w:rsidR="006D68F1" w:rsidP="006D68F1" w:rsidRDefault="006D68F1">
              <w:pPr>
                <w:jc w:val="both"/>
                <w:rPr>
                  <w:rFonts w:cs="FrankRuehl"/>
                  <w:color w:val="3366FF"/>
                  <w:sz w:val="24"/>
                  <w:szCs w:val="24"/>
                </w:rPr>
              </w:pPr>
              <w:r>
                <w:rPr>
                  <w:rFonts w:hint="cs" w:cs="FrankRuehl"/>
                  <w:sz w:val="24"/>
                  <w:szCs w:val="24"/>
                  <w:rtl/>
                </w:rPr>
                <w:t xml:space="preserve">העצור יובא לפני בית המשפט בהקדם האפשרי ולא יאוחר מ- </w:t>
              </w:r>
              <w:sdt>
                <w:sdtPr>
                  <w:rPr>
                    <w:rtl/>
                  </w:rPr>
                  <w:alias w:val="1114"/>
                  <w:tag w:val="1114"/>
                  <w:id w:val="-1504203312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24</w:t>
                  </w:r>
                </w:sdtContent>
              </w:sdt>
              <w:r>
                <w:rPr>
                  <w:rFonts w:hint="cs" w:cs="FrankRuehl"/>
                  <w:sz w:val="24"/>
                  <w:szCs w:val="24"/>
                  <w:rtl/>
                </w:rPr>
                <w:t xml:space="preserve"> שעות מעת מעצרו.</w:t>
              </w:r>
            </w:p>
          </w:sdtContent>
        </w:sdt>
        <w:sdt>
          <w:sdtPr>
            <w:rPr>
              <w:rtl/>
            </w:rPr>
            <w:alias w:val="1761"/>
            <w:tag w:val="1761"/>
            <w:id w:val="-875151187"/>
            <w:lock w:val="contentLocked"/>
            <w:group/>
          </w:sdtPr>
          <w:sdtEndPr/>
          <w:sdtContent>
            <w:p w:rsidR="006D68F1" w:rsidP="006D68F1" w:rsidRDefault="006D68F1">
              <w:pPr>
                <w:rPr>
                  <w:rFonts w:cs="FrankRuehl"/>
                  <w:color w:val="3366FF"/>
                  <w:sz w:val="22"/>
                  <w:szCs w:val="22"/>
                  <w:rtl/>
                </w:rPr>
              </w:pPr>
              <w:r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يجب احضار الموقوف امام المحكمه باسرع وقت ممكن لا يتجاوز</w:t>
              </w:r>
              <w:sdt>
                <w:sdtPr>
                  <w:rPr>
                    <w:rtl/>
                  </w:rPr>
                  <w:alias w:val="1114"/>
                  <w:tag w:val="1114"/>
                  <w:id w:val="-2010522154"/>
                  <w:text w:multiLine="1"/>
                </w:sdtPr>
                <w:sdtEndPr/>
                <w:sdtContent>
                  <w:r>
                    <w:rPr>
                      <w:rFonts w:cs="FrankRuehl"/>
                      <w:sz w:val="22"/>
                      <w:szCs w:val="22"/>
                      <w:rtl/>
                    </w:rPr>
                    <w:t>24</w:t>
                  </w:r>
                </w:sdtContent>
              </w:sdt>
              <w:r>
                <w:rPr>
                  <w:rFonts w:hint="cs" w:cs="FrankRuehl"/>
                  <w:sz w:val="22"/>
                  <w:szCs w:val="22"/>
                  <w:rtl/>
                </w:rPr>
                <w:t xml:space="preserve"> </w:t>
              </w:r>
              <w:r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ساعات من ساعه توقيفه.</w:t>
              </w:r>
              <w:r>
                <w:rPr>
                  <w:rFonts w:hint="cs" w:cs="FrankRuehl"/>
                  <w:sz w:val="22"/>
                  <w:szCs w:val="22"/>
                  <w:rtl/>
                </w:rPr>
                <w:t>.</w:t>
              </w:r>
            </w:p>
          </w:sdtContent>
        </w:sdt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מ"ת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5616-04-18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למטור(אחר/נוסף)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11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881a96f5c63a4250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3e6fe44e09434b1d" /></Relationships>
</file>

<file path=customXML/item.xml><?xml version="1.0" encoding="utf-8"?>
<CourtOrderDS>
  <dt_OrderCaseParty>
    <OrderID>0</OrderID>
    <CasePartyID>180255257</CasePartyID>
    <CaseID>75369780</CaseID>
    <CourtOrderTemplateDS>
      <dt_CaseParties>
        <FullName>קוסי למטור (אחר/נוסף)</FullName>
        <PartyID>2</PartyID>
        <CasePartyID>180255257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2018-04-05T08:10:00+03:00</CaseOpenDate>
        <ProceedingID>18</ProceedingID>
        <CourtID>30</CourtID>
        <CaseName>מדינת ישראל נ' למטור(אחר/נוסף)</CaseName>
        <CaseTypeDesc/>
        <CaseTypeID>10049</CaseTypeID>
        <CaseTypeShortName>מ"ת</CaseTypeShortName>
        <CaseDisplayIdentifier>5616-04-18</CaseDisplayIdentifier>
      </dt_OrderData>
      <dt_OrderManagment>
        <FatherName>נאגח</FatherName>
        <FirstName>קוסי</FirstName>
        <LastName>למטור</LastName>
        <LegalEntityNumber>206802753</LegalEntityNumber>
        <AuthenticationTypeID>1</AuthenticationTypeID>
        <LegalEntityAddress>בית חנינה ירושלים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בית חנינה ירושלים </LegalEntityCasePartyAddress>
      </dt_OrderManagment>
      <dt_ExternalLinkCaseNumber>
        <ExternalLinkCaseNumber>1258/2018</ExternalLinkCaseNumber>
        <ExternalCaseType>-1</ExternalCaseType>
      </dt_ExternalLinkCaseNumber>
      <dt_ExternalLinkCaseNumber>
        <ExternalLinkCaseNumber>478459/2017</ExternalLinkCaseNumber>
        <ExternalCaseType>-1</ExternalCaseType>
      </dt_ExternalLinkCaseNumber>
      <dt_CaseData>
        <FirstCriminalCase/>
      </dt_CaseData>
    </CourtOrderTemplateDS>
    <RoleName>משיב 1</RoleName>
    <CaseDisplayIdentifier>5616-04-18</CaseDisplayIdentifier>
    <FullName>קוסי למטור (אחר/נוסף)</FullName>
    <AuthenticationTypeAndNumber>ת.ז. 206802753</AuthenticationTypeAndNumber>
    <FullAddress>בית חנינה ירושלים </FullAddress>
    <BirthDate>07/02/1998 00:00:00</BirthDate>
    <FatherName>נאגח</FatherName>
    <AuthenticationTypeID>1</AuthenticationTypeID>
    <LegalEntityNumber>206802753</LegalEntityNumber>
    <LegalEntityID>77125068</LegalEntityID>
    <FirstName>קוסי</FirstName>
    <LastName>למטור</LastName>
    <PartyPropertyID>99</PartyPropertyID>
  </dt_OrderCaseParty>
  <dt_Document>
    <RowID>0</RowID>
    <DocumentTypeID>3</DocumentTypeID>
    <DocumentName>מסמך צו</DocumentName>
    <DocumentID>265758882</DocumentID>
    <DocumentURL>\\CTLNFSV02\doc_repository\644\668\3d8f704d645844be955b757b7aee938e.docx</DocumentURL>
  </dt_Document>
  <dt_Order>
    <OrderID>0</OrderID>
    <DecisionID>111892587</DecisionID>
    <OrderStatusID>2</OrderStatusID>
    <IsCancelled>false</IsCancelled>
    <CreationDate>2018-04-11T12:05:03.265399+03:00</CreationDate>
    <ProcedureID>2</ProcedureID>
    <OrderTypeID>120</OrderTypeID>
    <ActivationDate>2018-04-11T00:00:00+03:00</ActivationDate>
    <RealSignedUserID>028996007@GOV.IL</RealSignedUserID>
    <OrderDesc/>
    <CreationUserID>028996007@GOV.IL</CreationUserID>
    <DocumentID>265758882</DocumentID>
    <SignatureUserID>028996007@GOV.IL</SignatureUserID>
    <DraftUpdateDesc/>
    <DecisionDocumentID>-1</DecisionDocumentID>
    <MotionDocumentID>-1</MotionDocumentID>
    <DecisionName/>
    <DaysForAnswer/>
    <SignatureUserDisplayName>דוד שאול גבאי ריכטר</SignatureUserDisplayName>
    <DecisionSignatureUserID>028996007@GOV.IL</DecisionSignatureUserID>
    <DecisionSignatureUserDisplayName>דוד שאול גבאי ריכטר</DecisionSignatureUserDisplayName>
    <CreationUserDisplayName>דוד שאול גבאי ריכטר</CreationUserDisplayName>
    <IsDocumentModified>false</IsDocumentModified>
    <OrderNumber>2000949</OrderNumber>
    <OrderNumerator>02000949מע</OrderNumerator>
    <IsNotificationProcess>false</IsNotificationProcess>
    <IsPaperCase>false</IsPaperCase>
  </dt_Order>
  <dt_OrderCase>
    <OrderID>0</OrderID>
    <CaseID>75369780</CaseID>
    <CourtOrderTemplateDS>
      <dt_CaseParties>
        <FullName>קוסי למטור (אחר/נוסף)</FullName>
        <PartyID>2</PartyID>
        <CasePartyID>180255257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2018-04-05T08:10:00+03:00</CaseOpenDate>
        <ProceedingID>18</ProceedingID>
        <CourtID>30</CourtID>
        <CaseName>מדינת ישראל נ' למטור(אחר/נוסף)</CaseName>
        <CaseTypeDesc/>
        <CaseTypeID>10049</CaseTypeID>
        <CaseTypeShortName>מ"ת</CaseTypeShortName>
        <CaseDisplayIdentifier>5616-04-18</CaseDisplayIdentifier>
      </dt_OrderData>
      <dt_OrderManagment>
        <FatherName>נאגח</FatherName>
        <FirstName>קוסי</FirstName>
        <LastName>למטור</LastName>
        <LegalEntityNumber>206802753</LegalEntityNumber>
        <AuthenticationTypeID>1</AuthenticationTypeID>
        <LegalEntityAddress>בית חנינה ירושלים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בית חנינה ירושלים </LegalEntityCasePartyAddress>
      </dt_OrderManagment>
      <dt_ExternalLinkCaseNumber>
        <ExternalLinkCaseNumber>1258/2018</ExternalLinkCaseNumber>
        <ExternalCaseType>-1</ExternalCaseType>
      </dt_ExternalLinkCaseNumber>
      <dt_ExternalLinkCaseNumber>
        <ExternalLinkCaseNumber>478459/2017</ExternalLinkCaseNumber>
        <ExternalCaseType>-1</ExternalCaseType>
      </dt_ExternalLinkCaseNumber>
      <dt_CaseData>
        <FirstCriminalCase/>
      </dt_CaseData>
    </CourtOrderTemplateDS>
    <IsOriginal>true</IsOriginal>
    <IsCurrent>true</IsCurrent>
  </dt_OrderCase>
  <dt_OrderDetention>
    <OrderDetentionID>0</OrderDetentionID>
    <OrderID>0</OrderID>
    <FirstName>קוסי</FirstName>
    <LastName>למטור</LastName>
    <AuthenticationTypeID>1</AuthenticationTypeID>
    <LegalEntityNumber>206802753</LegalEntityNumber>
    <FatherName>נאגח</FatherName>
    <BirthDate>1998-02-07T00:00:00+02:00</BirthDate>
    <LegalEntityAddress>בית חנינה ירושלים </LegalEntityAddress>
    <PoliceStationID>37</PoliceStationID>
    <DetentionPeriodTypeID>1</DetentionPeriodTypeID>
    <DurationHours>24</DurationHours>
    <ExecutionDate>2018-04-11T12:05:08.309399+03:00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3CDAA2E8-8383-49BC-9C60-2304C765D3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