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bidiVisual/>
        <w:tblW w:w="8820" w:type="dxa"/>
        <w:jc w:val="center"/>
        <w:tblLook w:val="01E0" w:firstRow="1" w:lastRow="1" w:firstColumn="1" w:lastColumn="1" w:noHBand="0" w:noVBand="0"/>
      </w:tblPr>
      <w:tblGrid>
        <w:gridCol w:w="1246"/>
        <w:gridCol w:w="3959"/>
        <w:gridCol w:w="2736"/>
        <w:gridCol w:w="879"/>
      </w:tblGrid>
      <w:tr w:rsidRPr="004E013F" w:rsidR="004C04B9" w:rsidTr="004E013F">
        <w:trPr>
          <w:gridAfter w:val="1"/>
          <w:wAfter w:w="879" w:type="dxa"/>
          <w:trHeight w:val="295"/>
          <w:jc w:val="center"/>
        </w:trPr>
        <w:tc>
          <w:tcPr>
            <w:tcW w:w="7941" w:type="dxa"/>
            <w:gridSpan w:val="3"/>
            <w:tcBorders>
              <w:top w:val="nil"/>
              <w:left w:val="nil"/>
              <w:bottom w:val="nil"/>
              <w:right w:val="nil"/>
            </w:tcBorders>
          </w:tcPr>
          <w:p w:rsidRPr="004E013F" w:rsidR="009A37A3" w:rsidP="002A19C2" w:rsidRDefault="004C04B9">
            <w:pPr>
              <w:spacing w:line="360" w:lineRule="auto"/>
              <w:jc w:val="both"/>
              <w:rPr>
                <w:rFonts w:ascii="Arial" w:hAnsi="Arial"/>
                <w:b/>
                <w:bCs/>
              </w:rPr>
            </w:pPr>
            <w:bookmarkStart w:name="_GoBack" w:id="0"/>
            <w:bookmarkEnd w:id="0"/>
            <w:r w:rsidRPr="004E013F">
              <w:rPr>
                <w:rFonts w:hint="cs" w:ascii="Arial" w:hAnsi="Arial"/>
                <w:b/>
                <w:bCs/>
                <w:rtl/>
              </w:rPr>
              <w:t>בפני כב' סגן הנשיאה, השופט אליהו ביתן</w:t>
            </w:r>
          </w:p>
        </w:tc>
      </w:tr>
      <w:tr w:rsidRPr="004E013F" w:rsidR="00507694" w:rsidTr="004E013F">
        <w:trPr>
          <w:trHeight w:val="355"/>
          <w:jc w:val="center"/>
        </w:trPr>
        <w:tc>
          <w:tcPr>
            <w:tcW w:w="1246" w:type="dxa"/>
            <w:tcBorders>
              <w:top w:val="nil"/>
              <w:left w:val="nil"/>
              <w:bottom w:val="nil"/>
              <w:right w:val="nil"/>
            </w:tcBorders>
          </w:tcPr>
          <w:p w:rsidRPr="004E013F" w:rsidR="00507694" w:rsidP="002A19C2" w:rsidRDefault="00684E84">
            <w:pPr>
              <w:spacing w:line="360" w:lineRule="auto"/>
              <w:jc w:val="both"/>
              <w:rPr>
                <w:rFonts w:ascii="Arial" w:hAnsi="Arial"/>
                <w:b/>
                <w:bCs/>
              </w:rPr>
            </w:pPr>
            <w:r w:rsidRPr="004E013F">
              <w:rPr>
                <w:rFonts w:hint="cs" w:ascii="Arial" w:hAnsi="Arial"/>
                <w:b/>
                <w:bCs/>
                <w:rtl/>
              </w:rPr>
              <w:t>בעניין:</w:t>
            </w:r>
          </w:p>
        </w:tc>
        <w:tc>
          <w:tcPr>
            <w:tcW w:w="3959" w:type="dxa"/>
            <w:tcBorders>
              <w:top w:val="nil"/>
              <w:left w:val="nil"/>
              <w:bottom w:val="nil"/>
              <w:right w:val="nil"/>
            </w:tcBorders>
          </w:tcPr>
          <w:p w:rsidRPr="004E013F" w:rsidR="00507694" w:rsidP="002A19C2" w:rsidRDefault="00A80916">
            <w:pPr>
              <w:spacing w:line="360" w:lineRule="auto"/>
              <w:jc w:val="both"/>
              <w:rPr>
                <w:rFonts w:ascii="Arial" w:hAnsi="Arial"/>
                <w:b/>
                <w:bCs/>
              </w:rPr>
            </w:pPr>
            <w:sdt>
              <w:sdtPr>
                <w:rPr>
                  <w:rFonts w:ascii="Arial" w:hAnsi="Arial"/>
                  <w:b/>
                  <w:bCs/>
                  <w:rtl/>
                </w:rPr>
                <w:alias w:val="1478"/>
                <w:tag w:val="1478"/>
                <w:id w:val="-1270384266"/>
                <w:showingPlcHdr/>
                <w:text w:multiLine="1"/>
              </w:sdtPr>
              <w:sdtEndPr/>
              <w:sdtContent>
                <w:r w:rsidR="004E013F">
                  <w:rPr>
                    <w:rFonts w:ascii="Arial" w:hAnsi="Arial"/>
                    <w:b/>
                    <w:bCs/>
                    <w:rtl/>
                  </w:rPr>
                  <w:t xml:space="preserve">     </w:t>
                </w:r>
              </w:sdtContent>
            </w:sdt>
          </w:p>
        </w:tc>
        <w:tc>
          <w:tcPr>
            <w:tcW w:w="3615" w:type="dxa"/>
            <w:gridSpan w:val="2"/>
            <w:tcBorders>
              <w:top w:val="nil"/>
              <w:left w:val="nil"/>
              <w:bottom w:val="nil"/>
              <w:right w:val="nil"/>
            </w:tcBorders>
          </w:tcPr>
          <w:p w:rsidRPr="004E013F" w:rsidR="00507694" w:rsidP="002A19C2" w:rsidRDefault="00507694">
            <w:pPr>
              <w:spacing w:line="360" w:lineRule="auto"/>
              <w:jc w:val="both"/>
              <w:rPr>
                <w:rFonts w:ascii="Arial" w:hAnsi="Arial"/>
                <w:b/>
                <w:bCs/>
              </w:rPr>
            </w:pPr>
          </w:p>
        </w:tc>
      </w:tr>
      <w:tr w:rsidRPr="004E013F" w:rsidR="00507694" w:rsidTr="004E013F">
        <w:trPr>
          <w:trHeight w:val="355"/>
          <w:jc w:val="center"/>
        </w:trPr>
        <w:tc>
          <w:tcPr>
            <w:tcW w:w="1246" w:type="dxa"/>
            <w:tcBorders>
              <w:top w:val="nil"/>
              <w:left w:val="nil"/>
              <w:bottom w:val="nil"/>
              <w:right w:val="nil"/>
            </w:tcBorders>
          </w:tcPr>
          <w:p w:rsidRPr="004E013F" w:rsidR="00507694" w:rsidP="002A19C2" w:rsidRDefault="004E013F">
            <w:pPr>
              <w:spacing w:line="360" w:lineRule="auto"/>
              <w:jc w:val="both"/>
              <w:rPr>
                <w:rFonts w:ascii="Arial" w:hAnsi="Arial"/>
                <w:b/>
                <w:bCs/>
                <w:rtl/>
              </w:rPr>
            </w:pPr>
            <w:r>
              <w:rPr>
                <w:rFonts w:hint="cs" w:ascii="Arial" w:hAnsi="Arial"/>
                <w:b/>
                <w:bCs/>
                <w:rtl/>
              </w:rPr>
              <w:t>המאשימה:</w:t>
            </w:r>
          </w:p>
        </w:tc>
        <w:tc>
          <w:tcPr>
            <w:tcW w:w="3959" w:type="dxa"/>
            <w:tcBorders>
              <w:top w:val="nil"/>
              <w:left w:val="nil"/>
              <w:bottom w:val="nil"/>
              <w:right w:val="nil"/>
            </w:tcBorders>
          </w:tcPr>
          <w:p w:rsidRPr="004E013F" w:rsidR="00507694" w:rsidP="002A19C2" w:rsidRDefault="004E013F">
            <w:pPr>
              <w:spacing w:line="360" w:lineRule="auto"/>
              <w:jc w:val="both"/>
              <w:rPr>
                <w:rFonts w:ascii="Arial" w:hAnsi="Arial"/>
                <w:b/>
                <w:bCs/>
                <w:rtl/>
              </w:rPr>
            </w:pPr>
            <w:r>
              <w:rPr>
                <w:rFonts w:hint="cs" w:ascii="Arial" w:hAnsi="Arial"/>
                <w:b/>
                <w:bCs/>
                <w:rtl/>
              </w:rPr>
              <w:t>מדינת ישראל</w:t>
            </w:r>
          </w:p>
        </w:tc>
        <w:tc>
          <w:tcPr>
            <w:tcW w:w="3615" w:type="dxa"/>
            <w:gridSpan w:val="2"/>
            <w:tcBorders>
              <w:top w:val="nil"/>
              <w:left w:val="nil"/>
              <w:bottom w:val="nil"/>
              <w:right w:val="nil"/>
            </w:tcBorders>
          </w:tcPr>
          <w:p w:rsidRPr="004E013F" w:rsidR="00507694" w:rsidP="002A19C2" w:rsidRDefault="00507694">
            <w:pPr>
              <w:spacing w:line="360" w:lineRule="auto"/>
              <w:jc w:val="both"/>
              <w:rPr>
                <w:rFonts w:ascii="Arial" w:hAnsi="Arial"/>
                <w:b/>
                <w:bCs/>
                <w:rtl/>
              </w:rPr>
            </w:pPr>
          </w:p>
        </w:tc>
      </w:tr>
      <w:tr w:rsidRPr="004E013F" w:rsidR="00507694" w:rsidTr="004E013F">
        <w:trPr>
          <w:trHeight w:val="355"/>
          <w:jc w:val="center"/>
        </w:trPr>
        <w:tc>
          <w:tcPr>
            <w:tcW w:w="1246" w:type="dxa"/>
            <w:tcBorders>
              <w:top w:val="nil"/>
              <w:left w:val="nil"/>
              <w:bottom w:val="nil"/>
              <w:right w:val="nil"/>
            </w:tcBorders>
          </w:tcPr>
          <w:p w:rsidRPr="004E013F" w:rsidR="00507694" w:rsidP="002A19C2" w:rsidRDefault="00507694">
            <w:pPr>
              <w:spacing w:line="360" w:lineRule="auto"/>
              <w:jc w:val="both"/>
              <w:rPr>
                <w:rFonts w:ascii="Arial" w:hAnsi="Arial"/>
                <w:b/>
                <w:bCs/>
                <w:rtl/>
              </w:rPr>
            </w:pPr>
          </w:p>
        </w:tc>
        <w:tc>
          <w:tcPr>
            <w:tcW w:w="7574" w:type="dxa"/>
            <w:gridSpan w:val="3"/>
            <w:tcBorders>
              <w:top w:val="nil"/>
              <w:left w:val="nil"/>
              <w:bottom w:val="nil"/>
              <w:right w:val="nil"/>
            </w:tcBorders>
          </w:tcPr>
          <w:p w:rsidRPr="004E013F" w:rsidR="00507694" w:rsidP="002A19C2" w:rsidRDefault="00684E84">
            <w:pPr>
              <w:spacing w:line="360" w:lineRule="auto"/>
              <w:jc w:val="center"/>
              <w:rPr>
                <w:rFonts w:ascii="Arial" w:hAnsi="Arial"/>
                <w:b/>
                <w:bCs/>
              </w:rPr>
            </w:pPr>
            <w:r w:rsidRPr="004E013F">
              <w:rPr>
                <w:rFonts w:ascii="Arial" w:hAnsi="Arial"/>
                <w:b/>
                <w:bCs/>
                <w:sz w:val="28"/>
                <w:szCs w:val="28"/>
                <w:rtl/>
              </w:rPr>
              <w:t>נגד</w:t>
            </w:r>
          </w:p>
        </w:tc>
      </w:tr>
      <w:tr w:rsidRPr="004E013F" w:rsidR="00507694" w:rsidTr="004E013F">
        <w:trPr>
          <w:trHeight w:val="355"/>
          <w:jc w:val="center"/>
        </w:trPr>
        <w:tc>
          <w:tcPr>
            <w:tcW w:w="1246" w:type="dxa"/>
            <w:tcBorders>
              <w:top w:val="nil"/>
              <w:left w:val="nil"/>
              <w:bottom w:val="nil"/>
              <w:right w:val="nil"/>
            </w:tcBorders>
          </w:tcPr>
          <w:p w:rsidRPr="004E013F" w:rsidR="00507694" w:rsidP="002A19C2" w:rsidRDefault="004E013F">
            <w:pPr>
              <w:spacing w:line="360" w:lineRule="auto"/>
              <w:jc w:val="both"/>
              <w:rPr>
                <w:rFonts w:ascii="Arial" w:hAnsi="Arial"/>
                <w:b/>
                <w:bCs/>
                <w:rtl/>
              </w:rPr>
            </w:pPr>
            <w:r>
              <w:rPr>
                <w:rFonts w:hint="cs" w:ascii="Arial" w:hAnsi="Arial"/>
                <w:b/>
                <w:bCs/>
                <w:rtl/>
              </w:rPr>
              <w:t>הנאשמים:</w:t>
            </w:r>
          </w:p>
        </w:tc>
        <w:tc>
          <w:tcPr>
            <w:tcW w:w="3959" w:type="dxa"/>
            <w:tcBorders>
              <w:top w:val="nil"/>
              <w:left w:val="nil"/>
              <w:bottom w:val="nil"/>
              <w:right w:val="nil"/>
            </w:tcBorders>
          </w:tcPr>
          <w:p w:rsidRPr="004E013F" w:rsidR="00507694" w:rsidP="002A19C2" w:rsidRDefault="00A80916">
            <w:pPr>
              <w:spacing w:line="360" w:lineRule="auto"/>
              <w:jc w:val="both"/>
              <w:rPr>
                <w:rFonts w:ascii="Arial" w:hAnsi="Arial"/>
                <w:b/>
                <w:bCs/>
                <w:rtl/>
              </w:rPr>
            </w:pPr>
            <w:sdt>
              <w:sdtPr>
                <w:rPr>
                  <w:rFonts w:ascii="Arial" w:hAnsi="Arial"/>
                  <w:b/>
                  <w:bCs/>
                  <w:rtl/>
                </w:rPr>
                <w:alias w:val="1571"/>
                <w:tag w:val="1571"/>
                <w:id w:val="1944566627"/>
                <w:text w:multiLine="1"/>
              </w:sdtPr>
              <w:sdtEndPr/>
              <w:sdtContent>
                <w:r w:rsidRPr="004E013F" w:rsidR="009A37A3">
                  <w:rPr>
                    <w:rFonts w:ascii="Arial" w:hAnsi="Arial"/>
                    <w:b/>
                    <w:bCs/>
                    <w:rtl/>
                  </w:rPr>
                  <w:t>1</w:t>
                </w:r>
              </w:sdtContent>
            </w:sdt>
            <w:r w:rsidRPr="004E013F" w:rsidR="00683ABD">
              <w:rPr>
                <w:rFonts w:hint="cs" w:ascii="Arial" w:hAnsi="Arial"/>
                <w:b/>
                <w:bCs/>
                <w:rtl/>
              </w:rPr>
              <w:t>.</w:t>
            </w:r>
            <w:sdt>
              <w:sdtPr>
                <w:rPr>
                  <w:rFonts w:ascii="Arial" w:hAnsi="Arial"/>
                  <w:b/>
                  <w:bCs/>
                  <w:rtl/>
                </w:rPr>
                <w:alias w:val="1486"/>
                <w:tag w:val="1486"/>
                <w:id w:val="-1964416617"/>
                <w:text w:multiLine="1"/>
              </w:sdtPr>
              <w:sdtEndPr/>
              <w:sdtContent>
                <w:r w:rsidRPr="004E013F" w:rsidR="009A37A3">
                  <w:rPr>
                    <w:rFonts w:ascii="Arial" w:hAnsi="Arial"/>
                    <w:b/>
                    <w:bCs/>
                    <w:rtl/>
                  </w:rPr>
                  <w:t>טאהר שיח ח'ליל (עציר)</w:t>
                </w:r>
              </w:sdtContent>
            </w:sdt>
          </w:p>
          <w:p w:rsidRPr="004E013F" w:rsidR="00507694" w:rsidP="002A19C2" w:rsidRDefault="00A80916">
            <w:pPr>
              <w:spacing w:line="360" w:lineRule="auto"/>
              <w:jc w:val="both"/>
              <w:rPr>
                <w:rFonts w:ascii="Arial" w:hAnsi="Arial"/>
                <w:b/>
                <w:bCs/>
                <w:rtl/>
              </w:rPr>
            </w:pPr>
            <w:sdt>
              <w:sdtPr>
                <w:rPr>
                  <w:rFonts w:ascii="Arial" w:hAnsi="Arial"/>
                  <w:b/>
                  <w:bCs/>
                  <w:rtl/>
                </w:rPr>
                <w:alias w:val="1571"/>
                <w:tag w:val="1571"/>
                <w:id w:val="-851951195"/>
                <w:text w:multiLine="1"/>
              </w:sdtPr>
              <w:sdtEndPr/>
              <w:sdtContent>
                <w:r w:rsidRPr="004E013F" w:rsidR="009A37A3">
                  <w:rPr>
                    <w:rFonts w:ascii="Arial" w:hAnsi="Arial"/>
                    <w:b/>
                    <w:bCs/>
                    <w:rtl/>
                  </w:rPr>
                  <w:t>2</w:t>
                </w:r>
              </w:sdtContent>
            </w:sdt>
            <w:r w:rsidRPr="004E013F" w:rsidR="00683ABD">
              <w:rPr>
                <w:rFonts w:hint="cs" w:ascii="Arial" w:hAnsi="Arial"/>
                <w:b/>
                <w:bCs/>
                <w:rtl/>
              </w:rPr>
              <w:t>.</w:t>
            </w:r>
            <w:sdt>
              <w:sdtPr>
                <w:rPr>
                  <w:rFonts w:ascii="Arial" w:hAnsi="Arial"/>
                  <w:b/>
                  <w:bCs/>
                  <w:rtl/>
                </w:rPr>
                <w:alias w:val="1486"/>
                <w:tag w:val="1486"/>
                <w:id w:val="-2077586225"/>
                <w:text w:multiLine="1"/>
              </w:sdtPr>
              <w:sdtEndPr/>
              <w:sdtContent>
                <w:r w:rsidRPr="004E013F" w:rsidR="009A37A3">
                  <w:rPr>
                    <w:rFonts w:ascii="Arial" w:hAnsi="Arial"/>
                    <w:b/>
                    <w:bCs/>
                    <w:rtl/>
                  </w:rPr>
                  <w:t>מחמד אלקתנאני (עציר)</w:t>
                </w:r>
              </w:sdtContent>
            </w:sdt>
          </w:p>
          <w:p w:rsidRPr="004E013F" w:rsidR="00507694" w:rsidP="002A19C2" w:rsidRDefault="00A80916">
            <w:pPr>
              <w:spacing w:line="360" w:lineRule="auto"/>
              <w:jc w:val="both"/>
              <w:rPr>
                <w:rFonts w:ascii="Arial" w:hAnsi="Arial"/>
                <w:b/>
                <w:bCs/>
                <w:rtl/>
              </w:rPr>
            </w:pPr>
            <w:sdt>
              <w:sdtPr>
                <w:rPr>
                  <w:rFonts w:ascii="Arial" w:hAnsi="Arial"/>
                  <w:b/>
                  <w:bCs/>
                  <w:rtl/>
                </w:rPr>
                <w:alias w:val="1571"/>
                <w:tag w:val="1571"/>
                <w:id w:val="1244060869"/>
                <w:text w:multiLine="1"/>
              </w:sdtPr>
              <w:sdtEndPr/>
              <w:sdtContent>
                <w:r w:rsidRPr="004E013F" w:rsidR="009A37A3">
                  <w:rPr>
                    <w:rFonts w:ascii="Arial" w:hAnsi="Arial"/>
                    <w:b/>
                    <w:bCs/>
                    <w:rtl/>
                  </w:rPr>
                  <w:t>3</w:t>
                </w:r>
              </w:sdtContent>
            </w:sdt>
            <w:r w:rsidRPr="004E013F" w:rsidR="00683ABD">
              <w:rPr>
                <w:rFonts w:hint="cs" w:ascii="Arial" w:hAnsi="Arial"/>
                <w:b/>
                <w:bCs/>
                <w:rtl/>
              </w:rPr>
              <w:t>.</w:t>
            </w:r>
            <w:sdt>
              <w:sdtPr>
                <w:rPr>
                  <w:rFonts w:ascii="Arial" w:hAnsi="Arial"/>
                  <w:b/>
                  <w:bCs/>
                  <w:rtl/>
                </w:rPr>
                <w:alias w:val="1486"/>
                <w:tag w:val="1486"/>
                <w:id w:val="-1434586313"/>
                <w:text w:multiLine="1"/>
              </w:sdtPr>
              <w:sdtEndPr/>
              <w:sdtContent>
                <w:r w:rsidRPr="004E013F" w:rsidR="009A37A3">
                  <w:rPr>
                    <w:rFonts w:ascii="Arial" w:hAnsi="Arial"/>
                    <w:b/>
                    <w:bCs/>
                    <w:rtl/>
                  </w:rPr>
                  <w:t>באהאלדין אלקתנאני</w:t>
                </w:r>
              </w:sdtContent>
            </w:sdt>
          </w:p>
        </w:tc>
        <w:tc>
          <w:tcPr>
            <w:tcW w:w="3615" w:type="dxa"/>
            <w:gridSpan w:val="2"/>
            <w:tcBorders>
              <w:top w:val="nil"/>
              <w:left w:val="nil"/>
              <w:bottom w:val="nil"/>
              <w:right w:val="nil"/>
            </w:tcBorders>
          </w:tcPr>
          <w:p w:rsidRPr="004E013F" w:rsidR="00507694" w:rsidP="002A19C2" w:rsidRDefault="00507694">
            <w:pPr>
              <w:spacing w:line="360" w:lineRule="auto"/>
              <w:jc w:val="both"/>
              <w:rPr>
                <w:rFonts w:ascii="Arial" w:hAnsi="Arial"/>
                <w:b/>
                <w:bCs/>
              </w:rPr>
            </w:pPr>
          </w:p>
        </w:tc>
      </w:tr>
    </w:tbl>
    <w:p w:rsidRPr="004E013F" w:rsidR="00507694" w:rsidP="002A19C2" w:rsidRDefault="00507694">
      <w:pPr>
        <w:spacing w:line="360" w:lineRule="auto"/>
        <w:jc w:val="both"/>
        <w:rPr>
          <w:rFonts w:ascii="Arial" w:hAnsi="Arial"/>
          <w:b/>
          <w:bCs/>
        </w:rPr>
      </w:pPr>
    </w:p>
    <w:tbl>
      <w:tblPr>
        <w:tblStyle w:val="a8"/>
        <w:bidiVisual/>
        <w:tblW w:w="8820" w:type="dxa"/>
        <w:jc w:val="center"/>
        <w:tblLook w:val="01E0" w:firstRow="1" w:lastRow="1" w:firstColumn="1" w:lastColumn="1" w:noHBand="0" w:noVBand="0"/>
      </w:tblPr>
      <w:tblGrid>
        <w:gridCol w:w="8820"/>
      </w:tblGrid>
      <w:tr w:rsidRPr="004E013F" w:rsidR="00507694">
        <w:trPr>
          <w:trHeight w:val="355"/>
          <w:jc w:val="center"/>
        </w:trPr>
        <w:tc>
          <w:tcPr>
            <w:tcW w:w="8820" w:type="dxa"/>
            <w:tcBorders>
              <w:top w:val="nil"/>
              <w:left w:val="nil"/>
              <w:bottom w:val="nil"/>
              <w:right w:val="nil"/>
            </w:tcBorders>
          </w:tcPr>
          <w:p w:rsidRPr="004E013F" w:rsidR="00507694" w:rsidP="002A19C2" w:rsidRDefault="00684E84">
            <w:pPr>
              <w:spacing w:line="360" w:lineRule="auto"/>
              <w:jc w:val="center"/>
              <w:rPr>
                <w:rFonts w:ascii="Arial" w:hAnsi="Arial"/>
                <w:b/>
                <w:bCs/>
                <w:sz w:val="28"/>
                <w:szCs w:val="28"/>
                <w:u w:val="single"/>
                <w:rtl/>
              </w:rPr>
            </w:pPr>
            <w:r w:rsidRPr="004E013F">
              <w:rPr>
                <w:rFonts w:hint="cs" w:ascii="Arial" w:hAnsi="Arial"/>
                <w:b/>
                <w:bCs/>
                <w:sz w:val="28"/>
                <w:szCs w:val="28"/>
                <w:u w:val="single"/>
                <w:rtl/>
              </w:rPr>
              <w:t>גזר דין</w:t>
            </w:r>
          </w:p>
        </w:tc>
      </w:tr>
    </w:tbl>
    <w:p w:rsidRPr="004E013F" w:rsidR="00507694" w:rsidP="002A19C2" w:rsidRDefault="00507694">
      <w:pPr>
        <w:spacing w:line="360" w:lineRule="auto"/>
        <w:jc w:val="both"/>
        <w:rPr>
          <w:rFonts w:ascii="Arial" w:hAnsi="Arial"/>
          <w:rtl/>
        </w:rPr>
      </w:pPr>
    </w:p>
    <w:p w:rsidRPr="004E013F" w:rsidR="00507694" w:rsidP="002A19C2" w:rsidRDefault="00507694">
      <w:pPr>
        <w:spacing w:line="360" w:lineRule="auto"/>
        <w:jc w:val="both"/>
        <w:rPr>
          <w:rtl/>
        </w:rPr>
      </w:pPr>
    </w:p>
    <w:p w:rsidRPr="004E013F" w:rsidR="00507694" w:rsidP="002A19C2" w:rsidRDefault="00507694">
      <w:pPr>
        <w:spacing w:line="360" w:lineRule="auto"/>
        <w:jc w:val="both"/>
        <w:rPr>
          <w:rtl/>
        </w:rPr>
      </w:pPr>
    </w:p>
    <w:p w:rsidRPr="004E013F" w:rsidR="004E013F" w:rsidP="002A19C2" w:rsidRDefault="004E013F">
      <w:pPr>
        <w:spacing w:line="360" w:lineRule="auto"/>
        <w:ind w:left="720" w:hanging="720"/>
        <w:jc w:val="both"/>
      </w:pPr>
      <w:r w:rsidRPr="004E013F">
        <w:rPr>
          <w:rFonts w:hint="cs"/>
          <w:rtl/>
        </w:rPr>
        <w:t>1.</w:t>
      </w:r>
      <w:r w:rsidRPr="004E013F">
        <w:rPr>
          <w:rFonts w:hint="cs"/>
          <w:rtl/>
        </w:rPr>
        <w:tab/>
        <w:t>בטרם שמיעת הראיות הגיעו הצדדים להסדר דיוני במסגרתו כתב האישום שהוגש נגד הנאשמים תוקן והנאשמים הודו בעובדות כתב האישום המתוקן, שאלה עיקריהן:</w:t>
      </w:r>
    </w:p>
    <w:p w:rsidRPr="004E013F" w:rsidR="004E013F" w:rsidP="002A19C2" w:rsidRDefault="004E013F">
      <w:pPr>
        <w:spacing w:line="360" w:lineRule="auto"/>
        <w:ind w:left="720"/>
        <w:jc w:val="both"/>
        <w:rPr>
          <w:rtl/>
        </w:rPr>
      </w:pPr>
    </w:p>
    <w:p w:rsidRPr="004E013F" w:rsidR="004E013F" w:rsidP="002A19C2" w:rsidRDefault="004E013F">
      <w:pPr>
        <w:spacing w:line="360" w:lineRule="auto"/>
        <w:ind w:left="720"/>
        <w:jc w:val="both"/>
        <w:rPr>
          <w:rtl/>
        </w:rPr>
      </w:pPr>
      <w:r w:rsidRPr="004E013F">
        <w:rPr>
          <w:rFonts w:hint="cs"/>
          <w:rtl/>
        </w:rPr>
        <w:t xml:space="preserve">הנאשמים 2 ו-3 אחים ובין הנאשם 1 לנאשם 2 יש היכרות מוקדמת. </w:t>
      </w:r>
    </w:p>
    <w:p w:rsidRPr="004E013F" w:rsidR="004E013F" w:rsidP="002A19C2" w:rsidRDefault="004E013F">
      <w:pPr>
        <w:spacing w:line="360" w:lineRule="auto"/>
        <w:ind w:left="720"/>
        <w:jc w:val="both"/>
        <w:rPr>
          <w:rtl/>
        </w:rPr>
      </w:pPr>
    </w:p>
    <w:p w:rsidRPr="004E013F" w:rsidR="004E013F" w:rsidP="002A19C2" w:rsidRDefault="004E013F">
      <w:pPr>
        <w:spacing w:line="360" w:lineRule="auto"/>
        <w:ind w:left="720"/>
        <w:jc w:val="both"/>
        <w:rPr>
          <w:rtl/>
        </w:rPr>
      </w:pPr>
      <w:r w:rsidRPr="004E013F">
        <w:rPr>
          <w:rFonts w:hint="cs"/>
          <w:rtl/>
        </w:rPr>
        <w:t xml:space="preserve">עובר לתאריך 09.10.17, הנאשמים 1 ו- 2 סיכמו ביניהם שהנאשם 2 יקבל מהנאשם 1 אקדח חצי אוטומטי </w:t>
      </w:r>
      <w:r w:rsidRPr="004E013F">
        <w:t>FN</w:t>
      </w:r>
      <w:r w:rsidRPr="004E013F">
        <w:rPr>
          <w:rFonts w:hint="cs"/>
          <w:rtl/>
        </w:rPr>
        <w:t xml:space="preserve"> שמספרו 376569 </w:t>
      </w:r>
      <w:r w:rsidRPr="004E013F">
        <w:t>L</w:t>
      </w:r>
      <w:r w:rsidRPr="004E013F">
        <w:rPr>
          <w:rFonts w:hint="cs"/>
          <w:rtl/>
        </w:rPr>
        <w:t xml:space="preserve"> (להלן: "האקדח") וזאת לאחר שהנאשם 1 ידאג לתיקון תקלה באקדח, שיבוצע בשטחים על ידי אחר. הנאשמים 1 ו- 2 קבעו להיפגש בקלקיליה לצורך העברת האקדח לנאשם 2. בהמשך לכך, בתאריך 10.10.17, הנאשם 2 נסע לקלקיליה ולבקשתו הנאשם 3 הצטרף אליו לנסיעה, מבלי שידע מהי מטרתה. הנאשמים 2 ו-3 הגיעו לקלקיליה בג'יפ השייך לאחיהם (להלן: "הג'יפ"). הנאשם 2 נהג בג'יפ ואיתם נסע אדם נוסף. הנאשם 1 הגיע לקלקיליה ברכבו, נפגש עם האחר וקיבל ממנו את האקדח לאחר שהאחר תיקן אותו. מיד לאחר מכן הנאשם 1 מסר את האקדח לנאשם 2, מחוץ לג'יפ, ובזמן הזה הנאשם 3 והאדם הנוסף המתינו בג'יפ. לאחר מכן,  הנאשם 1 עלה לג'יפ במקום הנאשם 2, ונסע, יחד עם הנאשם 3 והאדם הנוסף לכיוון  מחסום אליהו (להלן: "המחסום"). הנאשם 2 נסע אחריהם ברכבו של הנאשם 1, כשהוא מחזיק ברשותו את האקדח. במחסום, הנאשם 1 אמר למאבטחים שהוא אינו מוצא את תעודת הזהות שלו, למרות שידע כי הדבר אינו אמת, וזאת על מנת שהג'יפ ייעצר לבידוק ביטחוני והמאבטחים יהיו עסוקים בו, וכך יסייע לנאשם 2 לעבור את המחסום עם האקדח, ללא בדיקה יסודית.</w:t>
      </w:r>
      <w:r w:rsidRPr="004E013F">
        <w:t xml:space="preserve"> </w:t>
      </w:r>
      <w:r w:rsidRPr="004E013F">
        <w:rPr>
          <w:rFonts w:hint="cs"/>
          <w:rtl/>
        </w:rPr>
        <w:t xml:space="preserve">ואכן, הג'יפ ובו הנאשמים 1 ו-3 והאדם הנוסף נעצר לבידוק בטחוני, והנאשם 2 עבר את המחסום ברכבו של הנאשם 1 ללא בדיקה יסודית. לאחר שהנאשם 1 ראה שהנאשם 2 עבר את המחסום, הוא טען בפני </w:t>
      </w:r>
      <w:r w:rsidRPr="004E013F">
        <w:rPr>
          <w:rFonts w:hint="cs"/>
          <w:rtl/>
        </w:rPr>
        <w:lastRenderedPageBreak/>
        <w:t>המאבטחים כי מצא את תעודת הזהות שלו והציג להם אותה ואז הותר לג'יפ להמשיך בדרכו. הנאשמים נסעו לתחנת דלק, ובה, לאחר שיח ביניהם, הנאשם 1 חזר לרכבו ונסעו אתו צפונה ואילו הנאשמים 2 ו-3 נסעו בג'יפ לכיוון דרום. בתחילת הנסיעה הנאשם 2 החזיק את האקדח צמוד לבטנו מתחת לחולצתו ומוסתר מהנאשם 3 ומהאדם הנוסף. לאחר מכן הוא העביר את האקדח לאדם הנוסף, שסירב להחזיק בו, והעבירו לנאשם 3, אשר הניח אותו בין רגליו על מושבו, עד למעצרם על ידי השוטרים.</w:t>
      </w:r>
    </w:p>
    <w:p w:rsidRPr="004E013F" w:rsidR="004E013F" w:rsidP="002A19C2" w:rsidRDefault="004E013F">
      <w:pPr>
        <w:spacing w:line="360" w:lineRule="auto"/>
        <w:ind w:left="720"/>
        <w:jc w:val="both"/>
        <w:rPr>
          <w:rtl/>
        </w:rPr>
      </w:pPr>
      <w:r w:rsidRPr="004E013F">
        <w:rPr>
          <w:rFonts w:hint="cs"/>
          <w:rtl/>
        </w:rPr>
        <w:t xml:space="preserve"> </w:t>
      </w:r>
    </w:p>
    <w:p w:rsidRPr="004E013F" w:rsidR="004E013F" w:rsidP="002A19C2" w:rsidRDefault="004E013F">
      <w:pPr>
        <w:spacing w:line="360" w:lineRule="auto"/>
        <w:ind w:left="720" w:hanging="720"/>
        <w:jc w:val="both"/>
        <w:rPr>
          <w:rtl/>
        </w:rPr>
      </w:pPr>
      <w:r w:rsidRPr="004E013F">
        <w:rPr>
          <w:rFonts w:hint="cs"/>
          <w:rtl/>
        </w:rPr>
        <w:t>2.</w:t>
      </w:r>
      <w:r w:rsidRPr="004E013F">
        <w:rPr>
          <w:rFonts w:hint="cs"/>
          <w:rtl/>
        </w:rPr>
        <w:tab/>
        <w:t>על יסוד הודאת כל אחד מהנאשמים בעובדות כתב האישום המתוקן, כאמור, הם הורשעו בעבירות כמפורט להלן:</w:t>
      </w:r>
    </w:p>
    <w:p w:rsidRPr="004E013F" w:rsidR="004E013F" w:rsidP="002A19C2" w:rsidRDefault="004E013F">
      <w:pPr>
        <w:spacing w:line="360" w:lineRule="auto"/>
        <w:ind w:firstLine="720"/>
        <w:jc w:val="both"/>
        <w:rPr>
          <w:rtl/>
        </w:rPr>
      </w:pPr>
      <w:r w:rsidRPr="004E013F">
        <w:rPr>
          <w:rFonts w:hint="cs"/>
          <w:b/>
          <w:bCs/>
          <w:rtl/>
        </w:rPr>
        <w:t>הנאשם 1</w:t>
      </w:r>
      <w:r w:rsidRPr="004E013F">
        <w:rPr>
          <w:rFonts w:hint="cs"/>
          <w:rtl/>
        </w:rPr>
        <w:t xml:space="preserve"> – סיוע בעסקה אחרת בנשק, לפי סעיפים 144(ב2) ו-31 לחוק העונשין, תשל"ז-</w:t>
      </w:r>
    </w:p>
    <w:p w:rsidRPr="004E013F" w:rsidR="004E013F" w:rsidP="002A19C2" w:rsidRDefault="004E013F">
      <w:pPr>
        <w:spacing w:line="360" w:lineRule="auto"/>
        <w:ind w:firstLine="720"/>
        <w:jc w:val="both"/>
        <w:rPr>
          <w:rtl/>
        </w:rPr>
      </w:pPr>
      <w:r w:rsidRPr="004E013F">
        <w:rPr>
          <w:rFonts w:hint="cs"/>
          <w:rtl/>
        </w:rPr>
        <w:t xml:space="preserve">1977. </w:t>
      </w:r>
    </w:p>
    <w:p w:rsidRPr="004E013F" w:rsidR="004E013F" w:rsidP="002A19C2" w:rsidRDefault="004E013F">
      <w:pPr>
        <w:spacing w:line="360" w:lineRule="auto"/>
        <w:jc w:val="both"/>
        <w:rPr>
          <w:rtl/>
        </w:rPr>
      </w:pPr>
    </w:p>
    <w:p w:rsidRPr="004E013F" w:rsidR="004E013F" w:rsidP="002A19C2" w:rsidRDefault="004E013F">
      <w:pPr>
        <w:spacing w:line="360" w:lineRule="auto"/>
        <w:ind w:firstLine="720"/>
        <w:jc w:val="both"/>
        <w:rPr>
          <w:rtl/>
        </w:rPr>
      </w:pPr>
      <w:r w:rsidRPr="004E013F">
        <w:rPr>
          <w:rFonts w:hint="cs"/>
          <w:b/>
          <w:bCs/>
          <w:rtl/>
        </w:rPr>
        <w:t>הנאשם 2</w:t>
      </w:r>
      <w:r w:rsidRPr="004E013F">
        <w:rPr>
          <w:rFonts w:hint="cs"/>
          <w:rtl/>
        </w:rPr>
        <w:t xml:space="preserve"> – הובלה ונשיאת נשק, לפי סעיף 144(ב) רישא לחוק העונשין, תשל"ז-1977. </w:t>
      </w:r>
    </w:p>
    <w:p w:rsidRPr="004E013F" w:rsidR="004E013F" w:rsidP="002A19C2" w:rsidRDefault="004E013F">
      <w:pPr>
        <w:spacing w:line="360" w:lineRule="auto"/>
        <w:jc w:val="both"/>
        <w:rPr>
          <w:rtl/>
        </w:rPr>
      </w:pPr>
    </w:p>
    <w:p w:rsidRPr="004E013F" w:rsidR="004E013F" w:rsidP="002A19C2" w:rsidRDefault="004E013F">
      <w:pPr>
        <w:spacing w:line="360" w:lineRule="auto"/>
        <w:ind w:firstLine="720"/>
        <w:jc w:val="both"/>
        <w:rPr>
          <w:rtl/>
        </w:rPr>
      </w:pPr>
      <w:r w:rsidRPr="004E013F">
        <w:rPr>
          <w:rFonts w:hint="cs"/>
          <w:b/>
          <w:bCs/>
          <w:rtl/>
        </w:rPr>
        <w:t xml:space="preserve">הנאשם 3 </w:t>
      </w:r>
      <w:r w:rsidRPr="004E013F">
        <w:rPr>
          <w:rFonts w:hint="cs"/>
          <w:rtl/>
        </w:rPr>
        <w:t xml:space="preserve">– סיוע לאחר מעשה, לפי סעיף 260(א) לחוק העונשין, תשל"ז-1977.  </w:t>
      </w:r>
    </w:p>
    <w:p w:rsidRPr="004E013F" w:rsidR="004E013F" w:rsidP="002A19C2" w:rsidRDefault="004E013F">
      <w:pPr>
        <w:spacing w:line="360" w:lineRule="auto"/>
        <w:ind w:left="720"/>
        <w:jc w:val="both"/>
        <w:rPr>
          <w:rtl/>
        </w:rPr>
      </w:pPr>
    </w:p>
    <w:p w:rsidRPr="004E013F" w:rsidR="004E013F" w:rsidP="002A19C2" w:rsidRDefault="004E013F">
      <w:pPr>
        <w:spacing w:line="360" w:lineRule="auto"/>
        <w:ind w:left="720" w:hanging="720"/>
        <w:jc w:val="both"/>
        <w:rPr>
          <w:rtl/>
        </w:rPr>
      </w:pPr>
      <w:r w:rsidRPr="004E013F">
        <w:rPr>
          <w:rFonts w:hint="cs"/>
          <w:rtl/>
        </w:rPr>
        <w:t>3.</w:t>
      </w:r>
      <w:r w:rsidRPr="004E013F">
        <w:rPr>
          <w:rFonts w:hint="cs"/>
          <w:rtl/>
        </w:rPr>
        <w:tab/>
        <w:t xml:space="preserve"> ההסדר המקורי בין הצדדים כלל הסכמה רק לענין עונשו של הנאשם 3, לפיה הצדדים ימליצו לבית המשפט להטיל עליו מאסר באורך תקופת מעצרו, מיום 10.10.17 ועד ליום 25.12.17, ומאסר על תנאי. </w:t>
      </w:r>
    </w:p>
    <w:p w:rsidRPr="004E013F" w:rsidR="004E013F" w:rsidP="002A19C2" w:rsidRDefault="004E013F">
      <w:pPr>
        <w:spacing w:line="360" w:lineRule="auto"/>
        <w:ind w:left="720" w:hanging="720"/>
        <w:jc w:val="both"/>
        <w:rPr>
          <w:rtl/>
        </w:rPr>
      </w:pPr>
    </w:p>
    <w:p w:rsidRPr="004E013F" w:rsidR="004E013F" w:rsidP="002A19C2" w:rsidRDefault="004E013F">
      <w:pPr>
        <w:spacing w:line="360" w:lineRule="auto"/>
        <w:ind w:left="720" w:hanging="720"/>
        <w:jc w:val="both"/>
        <w:rPr>
          <w:rtl/>
        </w:rPr>
      </w:pPr>
      <w:r w:rsidRPr="004E013F">
        <w:rPr>
          <w:rFonts w:hint="cs"/>
          <w:rtl/>
        </w:rPr>
        <w:t>4.</w:t>
      </w:r>
      <w:r w:rsidRPr="004E013F">
        <w:rPr>
          <w:rFonts w:hint="cs"/>
          <w:rtl/>
        </w:rPr>
        <w:tab/>
        <w:t xml:space="preserve">בעת ביצוע העבירה היה הנאשם 3 צעיר מגיל 21 ועל כן התבקש עליו תסקיר שירות המבחן. </w:t>
      </w:r>
    </w:p>
    <w:p w:rsidRPr="004E013F" w:rsidR="004E013F" w:rsidP="002A19C2" w:rsidRDefault="004E013F">
      <w:pPr>
        <w:spacing w:line="360" w:lineRule="auto"/>
        <w:ind w:left="720"/>
        <w:jc w:val="both"/>
        <w:rPr>
          <w:rtl/>
        </w:rPr>
      </w:pPr>
      <w:r w:rsidRPr="004E013F">
        <w:rPr>
          <w:rFonts w:hint="cs"/>
          <w:rtl/>
        </w:rPr>
        <w:t>בתסקיר שירות המבחן על הנאשם 3 צוין בין היתר כי הנאשם בן 20, רווק. נעדר עבר פלילי. סיים 12 שנות לימוד ושואף ללמוד בעתיד רפואה בחו"ל. שלל התנסות ושימוש באלכוהול וסמים. מסר כי זו הפעם הראשונה בחייו שראה כלי נשק וכי כאשר אחיו ביקש ממנו להחזיק בו במהלך הנסיעה התקשה להפעיל שיקול דעת ופעל מתוך פחד. הביע חרטה רבה על מעשיו. שירות המבחן סקר את גורמי הסיכוי והסיכון של הנאשם, והמליץ להטיל עליו עונש מאסר בעבודות שירות ומאסר על תנאי.</w:t>
      </w:r>
    </w:p>
    <w:p w:rsidRPr="004E013F" w:rsidR="004E013F" w:rsidP="002A19C2" w:rsidRDefault="004E013F">
      <w:pPr>
        <w:spacing w:line="360" w:lineRule="auto"/>
        <w:ind w:left="720" w:hanging="720"/>
        <w:jc w:val="both"/>
        <w:rPr>
          <w:rtl/>
        </w:rPr>
      </w:pPr>
    </w:p>
    <w:p w:rsidRPr="004E013F" w:rsidR="004E013F" w:rsidP="002A19C2" w:rsidRDefault="004E013F">
      <w:pPr>
        <w:spacing w:line="360" w:lineRule="auto"/>
        <w:ind w:left="720" w:hanging="720"/>
        <w:jc w:val="both"/>
        <w:rPr>
          <w:rtl/>
        </w:rPr>
      </w:pPr>
      <w:r w:rsidRPr="004E013F">
        <w:rPr>
          <w:rFonts w:hint="cs"/>
          <w:rtl/>
        </w:rPr>
        <w:t>5.</w:t>
      </w:r>
      <w:r w:rsidRPr="004E013F">
        <w:rPr>
          <w:rFonts w:hint="cs"/>
          <w:rtl/>
        </w:rPr>
        <w:tab/>
        <w:t>בישיבת היום, הציגו הצדדים הסכמה עונשית בעניין הנאשמים 1 ו-2, במסגרתה המליצו לבית המשפט להטיל על נאשמים אלה את העונשים הבאים-</w:t>
      </w:r>
    </w:p>
    <w:p w:rsidRPr="004E013F" w:rsidR="004E013F" w:rsidP="002A19C2" w:rsidRDefault="004E013F">
      <w:pPr>
        <w:spacing w:line="360" w:lineRule="auto"/>
        <w:ind w:left="720" w:hanging="720"/>
        <w:jc w:val="both"/>
        <w:rPr>
          <w:rtl/>
        </w:rPr>
      </w:pPr>
    </w:p>
    <w:p w:rsidRPr="004E013F" w:rsidR="004E013F" w:rsidP="002A19C2" w:rsidRDefault="004E013F">
      <w:pPr>
        <w:spacing w:line="360" w:lineRule="auto"/>
        <w:ind w:left="720"/>
        <w:jc w:val="both"/>
        <w:rPr>
          <w:rFonts w:ascii="David" w:hAnsi="David"/>
          <w:rtl/>
        </w:rPr>
      </w:pPr>
      <w:r w:rsidRPr="004E013F">
        <w:rPr>
          <w:rFonts w:hint="cs"/>
          <w:b/>
          <w:bCs/>
          <w:rtl/>
        </w:rPr>
        <w:t>הנאשם 1 –</w:t>
      </w:r>
      <w:r w:rsidRPr="004E013F">
        <w:rPr>
          <w:rFonts w:hint="cs"/>
          <w:rtl/>
        </w:rPr>
        <w:t xml:space="preserve"> 16 חודשי מאסר בפועל מיום מעצרו, מאסר על תנאי וקנס. </w:t>
      </w:r>
    </w:p>
    <w:p w:rsidRPr="004E013F" w:rsidR="004E013F" w:rsidP="002A19C2" w:rsidRDefault="004E013F">
      <w:pPr>
        <w:spacing w:line="360" w:lineRule="auto"/>
        <w:jc w:val="both"/>
        <w:rPr>
          <w:rtl/>
        </w:rPr>
      </w:pPr>
    </w:p>
    <w:p w:rsidRPr="004E013F" w:rsidR="004E013F" w:rsidP="002A19C2" w:rsidRDefault="004E013F">
      <w:pPr>
        <w:spacing w:line="360" w:lineRule="auto"/>
        <w:ind w:left="720"/>
        <w:jc w:val="both"/>
        <w:rPr>
          <w:rtl/>
        </w:rPr>
      </w:pPr>
      <w:r w:rsidRPr="004E013F">
        <w:rPr>
          <w:rFonts w:hint="cs"/>
          <w:b/>
          <w:bCs/>
          <w:rtl/>
        </w:rPr>
        <w:t xml:space="preserve">הנאשם 2 – </w:t>
      </w:r>
      <w:r w:rsidRPr="004E013F">
        <w:rPr>
          <w:rFonts w:hint="cs"/>
          <w:rtl/>
        </w:rPr>
        <w:t>19 חודשי מאסר בפועל מיום מעצרו, מאסר על תנאי וקנס.</w:t>
      </w:r>
    </w:p>
    <w:p w:rsidRPr="004E013F" w:rsidR="004E013F" w:rsidP="002A19C2" w:rsidRDefault="004E013F">
      <w:pPr>
        <w:spacing w:line="360" w:lineRule="auto"/>
        <w:jc w:val="both"/>
        <w:rPr>
          <w:rtl/>
        </w:rPr>
      </w:pPr>
    </w:p>
    <w:p w:rsidRPr="004E013F" w:rsidR="004E013F" w:rsidP="002A19C2" w:rsidRDefault="004E013F">
      <w:pPr>
        <w:spacing w:line="360" w:lineRule="auto"/>
        <w:ind w:left="720" w:hanging="720"/>
        <w:jc w:val="both"/>
        <w:rPr>
          <w:rFonts w:ascii="David" w:hAnsi="David"/>
          <w:rtl/>
        </w:rPr>
      </w:pPr>
      <w:r w:rsidRPr="004E013F">
        <w:rPr>
          <w:rFonts w:hint="cs"/>
          <w:rtl/>
        </w:rPr>
        <w:t>6.</w:t>
      </w:r>
      <w:r w:rsidRPr="004E013F">
        <w:rPr>
          <w:rFonts w:hint="cs"/>
          <w:rtl/>
        </w:rPr>
        <w:tab/>
        <w:t xml:space="preserve">ב"כ המאשימה ציינה, כי במסגרת הסדר הטיעון, כתב האישום המקורי תוקן משמעותית וכי הסיבה העיקרית לכך נעוצה בקשיים ראייתיים לא מבוטלים. ציינה, כי הראיות הנוגעות לנאשם 1 הן בעיקרן נסיבתיות ומבוססות על האזנות סתר; הנאשם 1 לא נתפס עם האקדח; אין אינדיקציה להעברת תמורה כספית; האחר, שתיקן את האקדח, לא נחקר ולא הובא לדין. אשר לנאשם 2 – האקדח שנתפס נבדק על ידי המשטרה ונמצא כי הוא איננו תקין. מדובר בכלי נשק בודד. לא מיוחסות עבירות נלוות. ציינה, כי בהסכמתה להמלצה לעונש, המאשימה התחשבה בהנחיות פרקליט המדינה לענין עבירות נשק. אשר לנאשם 3 – למעשה המאשימה קיבלה את האפשרות שהוא נקלע לנסיעה מבלי לדעת את מטרתה והוא נחשף לראשונה לאקדח רק במהלך הנסיעה. </w:t>
      </w:r>
    </w:p>
    <w:p w:rsidRPr="004E013F" w:rsidR="004E013F" w:rsidP="002A19C2" w:rsidRDefault="004E013F">
      <w:pPr>
        <w:spacing w:line="360" w:lineRule="auto"/>
        <w:ind w:left="720"/>
        <w:jc w:val="both"/>
        <w:rPr>
          <w:rtl/>
        </w:rPr>
      </w:pPr>
      <w:r w:rsidRPr="004E013F">
        <w:rPr>
          <w:rFonts w:hint="cs"/>
          <w:rtl/>
        </w:rPr>
        <w:t xml:space="preserve">הגישה את המרשם הפלילי של הנאשם 1 וציינה כי לנאשמים האחרים אין עבר פלילי. </w:t>
      </w:r>
    </w:p>
    <w:p w:rsidRPr="004E013F" w:rsidR="004E013F" w:rsidP="002A19C2" w:rsidRDefault="004E013F">
      <w:pPr>
        <w:spacing w:line="360" w:lineRule="auto"/>
        <w:jc w:val="both"/>
        <w:rPr>
          <w:rtl/>
        </w:rPr>
      </w:pPr>
    </w:p>
    <w:p w:rsidRPr="004E013F" w:rsidR="004E013F" w:rsidP="002A19C2" w:rsidRDefault="004E013F">
      <w:pPr>
        <w:spacing w:line="360" w:lineRule="auto"/>
        <w:ind w:left="720" w:hanging="720"/>
        <w:jc w:val="both"/>
        <w:rPr>
          <w:rtl/>
        </w:rPr>
      </w:pPr>
      <w:r w:rsidRPr="004E013F">
        <w:rPr>
          <w:rFonts w:hint="cs"/>
          <w:rtl/>
        </w:rPr>
        <w:t>7.</w:t>
      </w:r>
      <w:r w:rsidRPr="004E013F">
        <w:rPr>
          <w:rFonts w:hint="cs"/>
          <w:rtl/>
        </w:rPr>
        <w:tab/>
        <w:t xml:space="preserve">ב"כ הנאשמים טענה כי ההמלצה העונשית סבירה וביקשה לכבדה. הוסיפה, כי העונשים המוצעים אינם חורגים ממתחם הענישה בעבירות דומות. הדגישה כי הנאשם 1 לא נתפס בעת המעשה וכי הוא נעצר בנפרד מהנאשמים 2 ו – 3, וחומר הראיות לגביו גיבש לכל היותר עבירה של תיווך בנשק. ציינה כי האקדח שנתפס היה תקול ושיש לכך משמעות לעניין העונש, שכן בפועל לא ניתן היה לבצע בנשק הזה עבירה פלילית מידית. ציינה כי הנאשמים הודו בעובדות כתב האישום מבלי שהיה הסדר לענין העונש, לקחו אחריות, וחסכו זמן שיפוטי יקר. הם מביעים צער וחרטה על מעשיהם. ציינה כי לנאשם 1 עבירה משנת 2007, והנאשמים 2 ו-3 נעדרי עבר פלילי. </w:t>
      </w:r>
    </w:p>
    <w:p w:rsidRPr="004E013F" w:rsidR="004E013F" w:rsidP="002A19C2" w:rsidRDefault="004E013F">
      <w:pPr>
        <w:spacing w:line="360" w:lineRule="auto"/>
        <w:ind w:left="720"/>
        <w:jc w:val="both"/>
        <w:rPr>
          <w:rtl/>
        </w:rPr>
      </w:pPr>
    </w:p>
    <w:p w:rsidRPr="004E013F" w:rsidR="004E013F" w:rsidP="002A19C2" w:rsidRDefault="004E013F">
      <w:pPr>
        <w:spacing w:line="360" w:lineRule="auto"/>
        <w:ind w:left="720"/>
        <w:jc w:val="both"/>
        <w:rPr>
          <w:rtl/>
        </w:rPr>
      </w:pPr>
      <w:r w:rsidRPr="004E013F">
        <w:rPr>
          <w:rFonts w:hint="cs"/>
          <w:rtl/>
        </w:rPr>
        <w:t xml:space="preserve">אשר לנאשם 1, טענה, כי הוא יליד 1985, תושב המועצה המקומית כאבול. משפחתו נורמטיבית, וזו הפעם הראשונה שהוא מעורב בעבירות נשק. מדובר באדם שתורם לקהילה. </w:t>
      </w:r>
    </w:p>
    <w:p w:rsidRPr="004E013F" w:rsidR="004E013F" w:rsidP="002A19C2" w:rsidRDefault="004E013F">
      <w:pPr>
        <w:spacing w:line="360" w:lineRule="auto"/>
        <w:jc w:val="both"/>
        <w:rPr>
          <w:rtl/>
        </w:rPr>
      </w:pPr>
    </w:p>
    <w:p w:rsidRPr="004E013F" w:rsidR="004E013F" w:rsidP="002A19C2" w:rsidRDefault="004E013F">
      <w:pPr>
        <w:spacing w:line="360" w:lineRule="auto"/>
        <w:ind w:left="720"/>
        <w:jc w:val="both"/>
        <w:rPr>
          <w:rtl/>
        </w:rPr>
      </w:pPr>
      <w:r w:rsidRPr="004E013F">
        <w:rPr>
          <w:rFonts w:hint="cs"/>
          <w:rtl/>
        </w:rPr>
        <w:t xml:space="preserve">אשר לנאשם 2, טענה, כי הוא יליד 1990, נשוי ואב לשניים. מתגורר ברהט. משפחתו מכובדת ומוכרת ביישוב, ומעודדת את ילדיה למעורבות חברתית. אביו נכה מאה אחוז, לאחר שלקה בהתקף לב. מאז מעצרו, אמו מטפלת בילדיו. </w:t>
      </w:r>
    </w:p>
    <w:p w:rsidRPr="004E013F" w:rsidR="004E013F" w:rsidP="002A19C2" w:rsidRDefault="004E013F">
      <w:pPr>
        <w:spacing w:line="360" w:lineRule="auto"/>
        <w:ind w:left="720"/>
        <w:jc w:val="both"/>
        <w:rPr>
          <w:rtl/>
        </w:rPr>
      </w:pPr>
    </w:p>
    <w:p w:rsidRPr="004E013F" w:rsidR="004E013F" w:rsidP="002A19C2" w:rsidRDefault="004E013F">
      <w:pPr>
        <w:spacing w:line="360" w:lineRule="auto"/>
        <w:ind w:left="720"/>
        <w:jc w:val="both"/>
        <w:rPr>
          <w:rtl/>
        </w:rPr>
      </w:pPr>
      <w:r w:rsidRPr="004E013F">
        <w:rPr>
          <w:rFonts w:hint="cs"/>
          <w:rtl/>
        </w:rPr>
        <w:t xml:space="preserve">אשר לנאשם 3, טענה, כי הנאשם בחור צעיר, כבן 20. המעצר היווה לו חוויה מכוננת. טענה כי מדובר בצעיר נורמטיבי, בעל בגרות מלאה, השואף ללמוד רפואה בחו"ל. </w:t>
      </w:r>
    </w:p>
    <w:p w:rsidRPr="004E013F" w:rsidR="004E013F" w:rsidP="002A19C2" w:rsidRDefault="004E013F">
      <w:pPr>
        <w:spacing w:line="360" w:lineRule="auto"/>
        <w:ind w:left="720" w:hanging="720"/>
        <w:jc w:val="both"/>
        <w:rPr>
          <w:rtl/>
        </w:rPr>
      </w:pPr>
    </w:p>
    <w:p w:rsidRPr="004E013F" w:rsidR="004E013F" w:rsidP="002A19C2" w:rsidRDefault="004E013F">
      <w:pPr>
        <w:spacing w:line="360" w:lineRule="auto"/>
        <w:ind w:left="720" w:hanging="720"/>
        <w:jc w:val="both"/>
        <w:rPr>
          <w:rFonts w:ascii="Arial" w:hAnsi="Arial"/>
          <w:rtl/>
          <w:lang w:eastAsia="he-IL"/>
        </w:rPr>
      </w:pPr>
      <w:r w:rsidRPr="004E013F">
        <w:rPr>
          <w:rFonts w:hint="cs"/>
          <w:rtl/>
        </w:rPr>
        <w:t>8.</w:t>
      </w:r>
      <w:r w:rsidRPr="004E013F">
        <w:rPr>
          <w:rFonts w:hint="cs"/>
          <w:rtl/>
        </w:rPr>
        <w:tab/>
        <w:t xml:space="preserve">אקדח הוא נשק חם שהשימוש בו עלול לגרום לפגיעות גוף ונפש. בשל מאפייניו המוכרים והשימושים הפסולים והמסוכנים שניתן לעשות בו, החזקתו דורשת רישוי, הכרוך בעמידה </w:t>
      </w:r>
      <w:r w:rsidRPr="004E013F">
        <w:rPr>
          <w:rFonts w:hint="cs"/>
          <w:rtl/>
        </w:rPr>
        <w:lastRenderedPageBreak/>
        <w:t xml:space="preserve">בקריטריונים מתאימים ובהדרכה מוקדמת. החזקתו שלא כדין מסכנת בצורה חמורה את שלום הציבור ובטחונו. </w:t>
      </w:r>
    </w:p>
    <w:p w:rsidRPr="004E013F" w:rsidR="004E013F" w:rsidP="002A19C2" w:rsidRDefault="004E013F">
      <w:pPr>
        <w:spacing w:line="360" w:lineRule="auto"/>
        <w:ind w:left="720" w:hanging="720"/>
        <w:jc w:val="both"/>
        <w:rPr>
          <w:rFonts w:ascii="Arial" w:hAnsi="Arial"/>
          <w:rtl/>
          <w:lang w:eastAsia="he-IL"/>
        </w:rPr>
      </w:pPr>
    </w:p>
    <w:p w:rsidRPr="004E013F" w:rsidR="004E013F" w:rsidP="002A19C2" w:rsidRDefault="004E013F">
      <w:pPr>
        <w:spacing w:line="360" w:lineRule="auto"/>
        <w:ind w:left="1440" w:right="900"/>
        <w:jc w:val="both"/>
        <w:rPr>
          <w:rFonts w:ascii="Arial" w:hAnsi="Arial"/>
          <w:rtl/>
          <w:lang w:eastAsia="he-IL"/>
        </w:rPr>
      </w:pPr>
      <w:r w:rsidRPr="004E013F">
        <w:rPr>
          <w:rFonts w:hint="cs" w:ascii="Arial" w:hAnsi="Arial"/>
          <w:rtl/>
          <w:lang w:eastAsia="he-IL"/>
        </w:rPr>
        <w:t>"</w:t>
      </w:r>
      <w:r w:rsidRPr="004E013F">
        <w:rPr>
          <w:rFonts w:hint="cs" w:ascii="Arial" w:hAnsi="Arial"/>
          <w:b/>
          <w:bCs/>
          <w:rtl/>
          <w:lang w:eastAsia="he-IL"/>
        </w:rPr>
        <w:t>כלי הנשק הנסחרים עלולים לעבור מיד ליד. הם לא נרכשו באופן חוקי וחזקה שהם לא נועדו לשמש מטרה חוקית. גם כשהם נמצאים בידי אדם שאינו עבריין טמונה בהם סכנת חיים. קל וחומר אם הם מתגלגלים ומגיעים לידי גורמים עוינים, ועלינו לקחת בחשבון אפשרות זו, להרתיע מפניה ולמנוע את הסכנה המחמירה והולכת הצפויה מן הסחר בנשק. לכן שומה על בית-המשפט להתריע כנגד סכנה זאת ולפעול כנדרש כדי להרתיע מפני עבירה זאת</w:t>
      </w:r>
      <w:r w:rsidRPr="004E013F">
        <w:rPr>
          <w:rFonts w:hint="cs" w:ascii="Arial" w:hAnsi="Arial"/>
          <w:rtl/>
          <w:lang w:eastAsia="he-IL"/>
        </w:rPr>
        <w:t>".</w:t>
      </w:r>
      <w:r w:rsidRPr="004E013F">
        <w:rPr>
          <w:rFonts w:hint="cs" w:ascii="Arial" w:hAnsi="Arial"/>
          <w:b/>
          <w:bCs/>
          <w:rtl/>
          <w:lang w:eastAsia="he-IL"/>
        </w:rPr>
        <w:t xml:space="preserve"> </w:t>
      </w:r>
      <w:r w:rsidRPr="004E013F">
        <w:rPr>
          <w:rFonts w:hint="cs" w:ascii="Arial" w:hAnsi="Arial"/>
          <w:rtl/>
          <w:lang w:eastAsia="he-IL"/>
        </w:rPr>
        <w:t xml:space="preserve">– ע"פ 4609/98 </w:t>
      </w:r>
      <w:r w:rsidRPr="004E013F">
        <w:rPr>
          <w:rFonts w:hint="cs" w:ascii="Arial" w:hAnsi="Arial"/>
          <w:b/>
          <w:bCs/>
          <w:rtl/>
          <w:lang w:eastAsia="he-IL"/>
        </w:rPr>
        <w:t>טאהא</w:t>
      </w:r>
      <w:r w:rsidRPr="004E013F">
        <w:rPr>
          <w:rFonts w:hint="cs" w:ascii="Arial" w:hAnsi="Arial"/>
          <w:rtl/>
          <w:lang w:eastAsia="he-IL"/>
        </w:rPr>
        <w:t xml:space="preserve"> נ'</w:t>
      </w:r>
      <w:r w:rsidRPr="004E013F">
        <w:rPr>
          <w:rFonts w:hint="cs" w:ascii="Arial" w:hAnsi="Arial"/>
          <w:b/>
          <w:bCs/>
          <w:rtl/>
          <w:lang w:eastAsia="he-IL"/>
        </w:rPr>
        <w:t xml:space="preserve"> מדינת ישראל, </w:t>
      </w:r>
      <w:r w:rsidRPr="004E013F">
        <w:rPr>
          <w:rFonts w:hint="cs" w:ascii="Arial" w:hAnsi="Arial"/>
          <w:rtl/>
          <w:lang w:eastAsia="he-IL"/>
        </w:rPr>
        <w:t>תק - על 99(2) 716.</w:t>
      </w:r>
    </w:p>
    <w:p w:rsidRPr="004E013F" w:rsidR="004E013F" w:rsidP="002A19C2" w:rsidRDefault="004E013F">
      <w:pPr>
        <w:spacing w:line="360" w:lineRule="auto"/>
        <w:ind w:left="1440" w:right="900"/>
        <w:jc w:val="both"/>
        <w:rPr>
          <w:rFonts w:ascii="Arial" w:hAnsi="Arial"/>
          <w:b/>
          <w:bCs/>
          <w:rtl/>
          <w:lang w:eastAsia="he-IL"/>
        </w:rPr>
      </w:pPr>
    </w:p>
    <w:p w:rsidRPr="004E013F" w:rsidR="004E013F" w:rsidP="002A19C2" w:rsidRDefault="004E013F">
      <w:pPr>
        <w:spacing w:line="360" w:lineRule="auto"/>
        <w:ind w:left="720" w:hanging="720"/>
        <w:jc w:val="both"/>
        <w:rPr>
          <w:rtl/>
          <w:lang w:eastAsia="he-IL"/>
        </w:rPr>
      </w:pPr>
      <w:r w:rsidRPr="004E013F">
        <w:rPr>
          <w:rFonts w:hint="cs"/>
          <w:rtl/>
          <w:lang w:eastAsia="he-IL"/>
        </w:rPr>
        <w:t>9.</w:t>
      </w:r>
      <w:r w:rsidRPr="004E013F">
        <w:rPr>
          <w:rFonts w:hint="cs"/>
          <w:rtl/>
          <w:lang w:eastAsia="he-IL"/>
        </w:rPr>
        <w:tab/>
        <w:t xml:space="preserve">סכנת הנפשות הטמונה בשימוש העברייני בכלי נשק, מחייבת סיגול מדיניות ענישה מחמירה ביותר לעבירות אלה, הכוללת עונשי מאסר בפועל לתקופות ארוכות. רטוריקה משפטית נחרצת אמנם חשובה להעברת מסר, אולם אין די בה. אלה שההרתעה מכוונת אליהם אינם מתרשמים מרטוריקה. להם יש להעביר מסר מעשי, חד וברור, בדמות מאסר בפועל. </w:t>
      </w:r>
    </w:p>
    <w:p w:rsidRPr="004E013F" w:rsidR="004E013F" w:rsidP="002A19C2" w:rsidRDefault="004E013F">
      <w:pPr>
        <w:spacing w:line="360" w:lineRule="auto"/>
        <w:ind w:left="720" w:hanging="720"/>
        <w:jc w:val="both"/>
        <w:rPr>
          <w:rtl/>
          <w:lang w:eastAsia="he-IL"/>
        </w:rPr>
      </w:pPr>
    </w:p>
    <w:p w:rsidRPr="004E013F" w:rsidR="004E013F" w:rsidP="002A19C2" w:rsidRDefault="004E013F">
      <w:pPr>
        <w:spacing w:line="360" w:lineRule="auto"/>
        <w:ind w:left="720" w:hanging="720"/>
        <w:jc w:val="both"/>
        <w:rPr>
          <w:rtl/>
          <w:lang w:eastAsia="he-IL"/>
        </w:rPr>
      </w:pPr>
      <w:r w:rsidRPr="004E013F">
        <w:rPr>
          <w:rFonts w:hint="cs"/>
          <w:rtl/>
          <w:lang w:eastAsia="he-IL"/>
        </w:rPr>
        <w:t>10.</w:t>
      </w:r>
      <w:r w:rsidRPr="004E013F">
        <w:rPr>
          <w:rFonts w:hint="cs"/>
          <w:rtl/>
          <w:lang w:eastAsia="he-IL"/>
        </w:rPr>
        <w:tab/>
        <w:t xml:space="preserve">תקופות המאסר המוצעות לנאשמים 1 ו- 2, מקלות איתם מאוד והן אינן הולמות את חומרת מעשי הנאשמים בנסיבותיהם ואת מידת אשמם של הנאשמים. ואולם, כאן, כפי שהסבירה התובעת, התביעה נתקלה בקשיים ראייתיים בהוכחת המעשים שיוחסו לנאשמים בכתב האישום המקורי ושקלה את הסיכויים והסיכונים שבפניה וסברה שהיתרונות הגלומים בקבלת הודאת הנאשמים בעובדות כתב האישום המתוקן ובהבטחת הרשעתם וענישתם, מצדיקים את ההקלה העונשית הכרוכה בקבלת העונש המומלץ בהסדר הטיעון. יש להעמיד את התביעה בחזקתה ששקלה את הדברים כראוי ומיקמה את הסכמתה בנקודה המאזנת כראוי בין האינטרסים שעל הפרק. בנוסף, לנאשמים 2 ו- 3 אין עבר פלילי וזהו המאסר הראשון לכל אחד מהנאשמים. </w:t>
      </w:r>
    </w:p>
    <w:p w:rsidRPr="004E013F" w:rsidR="004E013F" w:rsidP="002A19C2" w:rsidRDefault="004E013F">
      <w:pPr>
        <w:spacing w:line="360" w:lineRule="auto"/>
        <w:ind w:left="720" w:hanging="720"/>
        <w:jc w:val="both"/>
        <w:rPr>
          <w:rtl/>
          <w:lang w:eastAsia="he-IL"/>
        </w:rPr>
      </w:pPr>
      <w:r w:rsidRPr="004E013F">
        <w:rPr>
          <w:rFonts w:hint="cs"/>
          <w:rtl/>
          <w:lang w:eastAsia="he-IL"/>
        </w:rPr>
        <w:tab/>
        <w:t xml:space="preserve">חלקו של הנאשם 3 מינורי וקל משמעותית משל האחרים ונראה שהוא נקלע לענין שלא בטובתו ומבלי שהיתה לו שליטה של ממש על השתלשלות הדברים. </w:t>
      </w:r>
    </w:p>
    <w:p w:rsidRPr="004E013F" w:rsidR="004E013F" w:rsidP="002A19C2" w:rsidRDefault="004E013F">
      <w:pPr>
        <w:spacing w:line="360" w:lineRule="auto"/>
        <w:ind w:left="720" w:hanging="720"/>
        <w:jc w:val="both"/>
        <w:rPr>
          <w:rtl/>
          <w:lang w:eastAsia="he-IL"/>
        </w:rPr>
      </w:pPr>
      <w:r w:rsidRPr="004E013F">
        <w:rPr>
          <w:rFonts w:hint="cs"/>
          <w:rtl/>
          <w:lang w:eastAsia="he-IL"/>
        </w:rPr>
        <w:tab/>
        <w:t xml:space="preserve">בסופו של דבר הודאת הנאשמים הבטיחה את הרשעתם והענשתם, היא חסכה זמן שיפוט ומשאבים הכרוכים בניהול המשפט עד תומו, ויש בא לבטא נטילת אחריות מצדם. </w:t>
      </w:r>
    </w:p>
    <w:p w:rsidR="004E013F" w:rsidP="002A19C2" w:rsidRDefault="004E013F">
      <w:pPr>
        <w:spacing w:line="360" w:lineRule="auto"/>
        <w:ind w:left="720" w:hanging="720"/>
        <w:jc w:val="both"/>
        <w:rPr>
          <w:rtl/>
          <w:lang w:eastAsia="he-IL"/>
        </w:rPr>
      </w:pPr>
    </w:p>
    <w:p w:rsidR="004E013F" w:rsidP="002A19C2" w:rsidRDefault="004E013F">
      <w:pPr>
        <w:spacing w:line="360" w:lineRule="auto"/>
        <w:ind w:left="720" w:hanging="720"/>
        <w:jc w:val="both"/>
        <w:rPr>
          <w:rtl/>
          <w:lang w:eastAsia="he-IL"/>
        </w:rPr>
      </w:pPr>
    </w:p>
    <w:p w:rsidR="004E013F" w:rsidP="002A19C2" w:rsidRDefault="004E013F">
      <w:pPr>
        <w:spacing w:line="360" w:lineRule="auto"/>
        <w:ind w:left="720" w:hanging="720"/>
        <w:jc w:val="both"/>
        <w:rPr>
          <w:rtl/>
          <w:lang w:eastAsia="he-IL"/>
        </w:rPr>
      </w:pPr>
    </w:p>
    <w:p w:rsidRPr="004E013F" w:rsidR="004E013F" w:rsidP="002A19C2" w:rsidRDefault="004E013F">
      <w:pPr>
        <w:spacing w:line="360" w:lineRule="auto"/>
        <w:ind w:left="720" w:hanging="720"/>
        <w:jc w:val="both"/>
        <w:rPr>
          <w:rtl/>
        </w:rPr>
      </w:pPr>
      <w:r w:rsidRPr="004E013F">
        <w:rPr>
          <w:rFonts w:hint="cs"/>
          <w:rtl/>
          <w:lang w:eastAsia="he-IL"/>
        </w:rPr>
        <w:tab/>
      </w:r>
    </w:p>
    <w:p w:rsidR="004E013F" w:rsidP="002A19C2" w:rsidRDefault="004E013F">
      <w:pPr>
        <w:spacing w:line="360" w:lineRule="auto"/>
        <w:ind w:left="720" w:hanging="720"/>
        <w:jc w:val="both"/>
        <w:rPr>
          <w:rFonts w:ascii="FrankRuehl" w:hAnsi="FrankRuehl"/>
          <w:color w:val="000000"/>
          <w:rtl/>
          <w:lang w:eastAsia="he-IL"/>
        </w:rPr>
      </w:pPr>
      <w:r w:rsidRPr="004E013F">
        <w:rPr>
          <w:rFonts w:hint="cs"/>
          <w:rtl/>
        </w:rPr>
        <w:lastRenderedPageBreak/>
        <w:t>11.</w:t>
      </w:r>
      <w:r w:rsidRPr="004E013F">
        <w:rPr>
          <w:rFonts w:hint="cs"/>
          <w:rtl/>
        </w:rPr>
        <w:tab/>
      </w:r>
      <w:r w:rsidRPr="004E013F">
        <w:rPr>
          <w:rFonts w:hint="cs" w:ascii="FrankRuehl" w:hAnsi="FrankRuehl"/>
          <w:color w:val="000000"/>
          <w:rtl/>
          <w:lang w:eastAsia="he-IL"/>
        </w:rPr>
        <w:t>נוכח האמור, אני מקבל את הסדר הטיעון ודן את הנאשמים לעונשים הבאים:</w:t>
      </w:r>
    </w:p>
    <w:p w:rsidRPr="004E013F" w:rsidR="004E013F" w:rsidP="002A19C2" w:rsidRDefault="004E013F">
      <w:pPr>
        <w:spacing w:line="360" w:lineRule="auto"/>
        <w:ind w:left="720" w:hanging="720"/>
        <w:jc w:val="both"/>
        <w:rPr>
          <w:rFonts w:ascii="FrankRuehl" w:hAnsi="FrankRuehl"/>
          <w:color w:val="000000"/>
          <w:rtl/>
          <w:lang w:eastAsia="he-IL"/>
        </w:rPr>
      </w:pPr>
    </w:p>
    <w:p w:rsidRPr="004E013F" w:rsidR="004E013F" w:rsidP="002A19C2" w:rsidRDefault="004E013F">
      <w:pPr>
        <w:spacing w:line="360" w:lineRule="auto"/>
        <w:jc w:val="both"/>
        <w:rPr>
          <w:rFonts w:ascii="FrankRuehl" w:hAnsi="FrankRuehl"/>
          <w:b/>
          <w:bCs/>
          <w:color w:val="000000"/>
          <w:u w:val="single"/>
          <w:rtl/>
          <w:lang w:eastAsia="he-IL"/>
        </w:rPr>
      </w:pPr>
      <w:r w:rsidRPr="004E013F">
        <w:rPr>
          <w:rFonts w:hint="cs" w:ascii="FrankRuehl" w:hAnsi="FrankRuehl"/>
          <w:color w:val="000000"/>
          <w:rtl/>
          <w:lang w:eastAsia="he-IL"/>
        </w:rPr>
        <w:tab/>
      </w:r>
      <w:r w:rsidRPr="004E013F">
        <w:rPr>
          <w:rFonts w:hint="cs" w:ascii="FrankRuehl" w:hAnsi="FrankRuehl"/>
          <w:b/>
          <w:bCs/>
          <w:color w:val="000000"/>
          <w:u w:val="single"/>
          <w:rtl/>
          <w:lang w:eastAsia="he-IL"/>
        </w:rPr>
        <w:t xml:space="preserve">הנאשם 1 </w:t>
      </w:r>
    </w:p>
    <w:p w:rsidRPr="004E013F" w:rsidR="004E013F" w:rsidP="002A19C2" w:rsidRDefault="004E013F">
      <w:pPr>
        <w:numPr>
          <w:ilvl w:val="0"/>
          <w:numId w:val="3"/>
        </w:numPr>
        <w:spacing w:line="360" w:lineRule="auto"/>
        <w:jc w:val="both"/>
        <w:rPr>
          <w:rFonts w:ascii="FrankRuehl" w:hAnsi="FrankRuehl"/>
          <w:color w:val="000000"/>
          <w:rtl/>
          <w:lang w:eastAsia="he-IL"/>
        </w:rPr>
      </w:pPr>
      <w:r w:rsidRPr="004E013F">
        <w:rPr>
          <w:rFonts w:hint="cs" w:ascii="FrankRuehl" w:hAnsi="FrankRuehl"/>
          <w:color w:val="000000"/>
          <w:rtl/>
          <w:lang w:eastAsia="he-IL"/>
        </w:rPr>
        <w:t>16 חודשי מאסר בפועל, מיום מעצרו.</w:t>
      </w:r>
    </w:p>
    <w:p w:rsidRPr="004E013F" w:rsidR="004E013F" w:rsidP="002A19C2" w:rsidRDefault="004E013F">
      <w:pPr>
        <w:numPr>
          <w:ilvl w:val="0"/>
          <w:numId w:val="3"/>
        </w:numPr>
        <w:spacing w:line="360" w:lineRule="auto"/>
        <w:jc w:val="both"/>
        <w:rPr>
          <w:rFonts w:ascii="FrankRuehl" w:hAnsi="FrankRuehl"/>
          <w:color w:val="000000"/>
          <w:rtl/>
          <w:lang w:eastAsia="he-IL"/>
        </w:rPr>
      </w:pPr>
      <w:r w:rsidRPr="004E013F">
        <w:rPr>
          <w:rFonts w:hint="cs" w:ascii="FrankRuehl" w:hAnsi="FrankRuehl"/>
          <w:color w:val="000000"/>
          <w:rtl/>
          <w:lang w:eastAsia="he-IL"/>
        </w:rPr>
        <w:t>12 חודשי מאסר על תנאי למשך 3 שנים מיום שחרורו מהמאסר, שלא יעבור</w:t>
      </w:r>
    </w:p>
    <w:p w:rsidRPr="004E013F" w:rsidR="004E013F" w:rsidP="002A19C2" w:rsidRDefault="004E013F">
      <w:pPr>
        <w:spacing w:line="360" w:lineRule="auto"/>
        <w:ind w:left="720" w:firstLine="720"/>
        <w:jc w:val="both"/>
        <w:rPr>
          <w:rFonts w:ascii="FrankRuehl" w:hAnsi="FrankRuehl"/>
          <w:color w:val="000000"/>
          <w:lang w:eastAsia="he-IL"/>
        </w:rPr>
      </w:pPr>
      <w:r>
        <w:rPr>
          <w:rFonts w:hint="cs" w:ascii="FrankRuehl" w:hAnsi="FrankRuehl"/>
          <w:color w:val="000000"/>
          <w:rtl/>
          <w:lang w:eastAsia="he-IL"/>
        </w:rPr>
        <w:t xml:space="preserve">    </w:t>
      </w:r>
      <w:r w:rsidRPr="004E013F">
        <w:rPr>
          <w:rFonts w:hint="cs" w:ascii="FrankRuehl" w:hAnsi="FrankRuehl"/>
          <w:color w:val="000000"/>
          <w:rtl/>
          <w:lang w:eastAsia="he-IL"/>
        </w:rPr>
        <w:t>עבירת נשק המסווגת כפשע.</w:t>
      </w:r>
    </w:p>
    <w:p w:rsidRPr="004E013F" w:rsidR="004E013F" w:rsidP="002A19C2" w:rsidRDefault="004E013F">
      <w:pPr>
        <w:spacing w:line="360" w:lineRule="auto"/>
        <w:ind w:left="1650" w:hanging="930"/>
        <w:jc w:val="both"/>
        <w:rPr>
          <w:rFonts w:ascii="FrankRuehl" w:hAnsi="FrankRuehl"/>
          <w:color w:val="000000"/>
          <w:rtl/>
          <w:lang w:eastAsia="he-IL"/>
        </w:rPr>
      </w:pPr>
      <w:r w:rsidRPr="004E013F">
        <w:rPr>
          <w:rFonts w:hint="cs" w:ascii="FrankRuehl" w:hAnsi="FrankRuehl"/>
          <w:color w:val="000000"/>
          <w:rtl/>
          <w:lang w:eastAsia="he-IL"/>
        </w:rPr>
        <w:t xml:space="preserve">ג. </w:t>
      </w:r>
      <w:r>
        <w:rPr>
          <w:rFonts w:ascii="FrankRuehl" w:hAnsi="FrankRuehl"/>
          <w:color w:val="000000"/>
          <w:rtl/>
          <w:lang w:eastAsia="he-IL"/>
        </w:rPr>
        <w:tab/>
      </w:r>
      <w:r w:rsidRPr="004E013F">
        <w:rPr>
          <w:rFonts w:hint="cs"/>
          <w:rtl/>
          <w:lang w:eastAsia="he-IL"/>
        </w:rPr>
        <w:t>קנס בסך 20,000 ₪ או 45 ימי מאסר תחתיו.</w:t>
      </w:r>
      <w:r w:rsidRPr="004E013F">
        <w:rPr>
          <w:rFonts w:hint="cs" w:ascii="FrankRuehl" w:hAnsi="FrankRuehl"/>
          <w:color w:val="000000"/>
          <w:rtl/>
          <w:lang w:eastAsia="he-IL"/>
        </w:rPr>
        <w:t xml:space="preserve"> הקנס ישולם ב-5 תשלומים חודשיים </w:t>
      </w:r>
      <w:r>
        <w:rPr>
          <w:rFonts w:hint="cs" w:ascii="FrankRuehl" w:hAnsi="FrankRuehl"/>
          <w:color w:val="000000"/>
          <w:rtl/>
          <w:lang w:eastAsia="he-IL"/>
        </w:rPr>
        <w:t xml:space="preserve">  </w:t>
      </w:r>
      <w:r w:rsidRPr="004E013F">
        <w:rPr>
          <w:rFonts w:hint="cs" w:ascii="FrankRuehl" w:hAnsi="FrankRuehl"/>
          <w:color w:val="000000"/>
          <w:rtl/>
          <w:lang w:eastAsia="he-IL"/>
        </w:rPr>
        <w:t xml:space="preserve">שווים ורצופים החל מיום 15.5.18. תשלום שלא ישולם במועדו יעמיד את כל יתרת הסכום לפרעון מיידי. </w:t>
      </w:r>
    </w:p>
    <w:p w:rsidRPr="004E013F" w:rsidR="004E013F" w:rsidP="002A19C2" w:rsidRDefault="004E013F">
      <w:pPr>
        <w:spacing w:line="360" w:lineRule="auto"/>
        <w:jc w:val="both"/>
        <w:rPr>
          <w:rFonts w:ascii="FrankRuehl" w:hAnsi="FrankRuehl"/>
          <w:color w:val="000000"/>
          <w:rtl/>
          <w:lang w:eastAsia="he-IL"/>
        </w:rPr>
      </w:pPr>
      <w:r w:rsidRPr="004E013F">
        <w:rPr>
          <w:rFonts w:hint="cs" w:ascii="FrankRuehl" w:hAnsi="FrankRuehl"/>
          <w:color w:val="000000"/>
          <w:rtl/>
          <w:lang w:eastAsia="he-IL"/>
        </w:rPr>
        <w:tab/>
      </w:r>
    </w:p>
    <w:p w:rsidRPr="004E013F" w:rsidR="004E013F" w:rsidP="002A19C2" w:rsidRDefault="004E013F">
      <w:pPr>
        <w:spacing w:line="360" w:lineRule="auto"/>
        <w:ind w:firstLine="720"/>
        <w:jc w:val="both"/>
        <w:rPr>
          <w:rFonts w:ascii="FrankRuehl" w:hAnsi="FrankRuehl"/>
          <w:b/>
          <w:bCs/>
          <w:color w:val="000000"/>
          <w:u w:val="single"/>
          <w:rtl/>
          <w:lang w:eastAsia="he-IL"/>
        </w:rPr>
      </w:pPr>
      <w:r w:rsidRPr="004E013F">
        <w:rPr>
          <w:rFonts w:hint="cs" w:ascii="FrankRuehl" w:hAnsi="FrankRuehl"/>
          <w:b/>
          <w:bCs/>
          <w:color w:val="000000"/>
          <w:u w:val="single"/>
          <w:rtl/>
          <w:lang w:eastAsia="he-IL"/>
        </w:rPr>
        <w:t xml:space="preserve">הנאשם 2 </w:t>
      </w:r>
    </w:p>
    <w:p w:rsidRPr="004E013F" w:rsidR="004E013F" w:rsidP="002A19C2" w:rsidRDefault="004E013F">
      <w:pPr>
        <w:spacing w:line="360" w:lineRule="auto"/>
        <w:ind w:left="1440" w:hanging="720"/>
        <w:jc w:val="both"/>
        <w:rPr>
          <w:rFonts w:ascii="FrankRuehl" w:hAnsi="FrankRuehl"/>
          <w:color w:val="000000"/>
          <w:rtl/>
          <w:lang w:eastAsia="he-IL"/>
        </w:rPr>
      </w:pPr>
      <w:r w:rsidRPr="004E013F">
        <w:rPr>
          <w:rFonts w:hint="cs" w:ascii="FrankRuehl" w:hAnsi="FrankRuehl"/>
          <w:color w:val="000000"/>
          <w:rtl/>
          <w:lang w:eastAsia="he-IL"/>
        </w:rPr>
        <w:t>א.</w:t>
      </w:r>
      <w:r w:rsidRPr="004E013F">
        <w:rPr>
          <w:rFonts w:hint="cs" w:ascii="FrankRuehl" w:hAnsi="FrankRuehl"/>
          <w:color w:val="000000"/>
          <w:rtl/>
          <w:lang w:eastAsia="he-IL"/>
        </w:rPr>
        <w:tab/>
        <w:t>19 חודשי מאסר בפועל, מיום מעצרו.</w:t>
      </w:r>
    </w:p>
    <w:p w:rsidRPr="004E013F" w:rsidR="004E013F" w:rsidP="002A19C2" w:rsidRDefault="004E013F">
      <w:pPr>
        <w:spacing w:line="360" w:lineRule="auto"/>
        <w:ind w:left="1440" w:hanging="720"/>
        <w:jc w:val="both"/>
        <w:rPr>
          <w:rFonts w:ascii="FrankRuehl" w:hAnsi="FrankRuehl"/>
          <w:color w:val="000000"/>
          <w:rtl/>
          <w:lang w:eastAsia="he-IL"/>
        </w:rPr>
      </w:pPr>
      <w:r w:rsidRPr="004E013F">
        <w:rPr>
          <w:rFonts w:hint="cs" w:ascii="FrankRuehl" w:hAnsi="FrankRuehl"/>
          <w:color w:val="000000"/>
          <w:rtl/>
          <w:lang w:eastAsia="he-IL"/>
        </w:rPr>
        <w:t>ב.</w:t>
      </w:r>
      <w:r w:rsidRPr="004E013F">
        <w:rPr>
          <w:rFonts w:hint="cs" w:ascii="FrankRuehl" w:hAnsi="FrankRuehl"/>
          <w:color w:val="000000"/>
          <w:rtl/>
          <w:lang w:eastAsia="he-IL"/>
        </w:rPr>
        <w:tab/>
        <w:t>12 חודשי מאסר על תנאי למשך שלוש שנים מיום שחרורו מהמאסר שלא יעבור עבירת נשק המסווגת כפשע.</w:t>
      </w:r>
    </w:p>
    <w:p w:rsidRPr="004E013F" w:rsidR="004E013F" w:rsidP="002A19C2" w:rsidRDefault="004E013F">
      <w:pPr>
        <w:spacing w:line="360" w:lineRule="auto"/>
        <w:ind w:left="1440" w:hanging="720"/>
        <w:jc w:val="both"/>
        <w:rPr>
          <w:rFonts w:ascii="FrankRuehl" w:hAnsi="FrankRuehl"/>
          <w:color w:val="000000"/>
          <w:rtl/>
          <w:lang w:eastAsia="he-IL"/>
        </w:rPr>
      </w:pPr>
      <w:r w:rsidRPr="004E013F">
        <w:rPr>
          <w:rFonts w:hint="cs" w:ascii="FrankRuehl" w:hAnsi="FrankRuehl"/>
          <w:color w:val="000000"/>
          <w:rtl/>
          <w:lang w:eastAsia="he-IL"/>
        </w:rPr>
        <w:t xml:space="preserve">ג. </w:t>
      </w:r>
      <w:r w:rsidRPr="004E013F">
        <w:rPr>
          <w:rFonts w:hint="cs" w:ascii="FrankRuehl" w:hAnsi="FrankRuehl"/>
          <w:color w:val="000000"/>
          <w:rtl/>
          <w:lang w:eastAsia="he-IL"/>
        </w:rPr>
        <w:tab/>
      </w:r>
      <w:r w:rsidRPr="004E013F">
        <w:rPr>
          <w:rFonts w:hint="cs"/>
          <w:rtl/>
          <w:lang w:eastAsia="he-IL"/>
        </w:rPr>
        <w:t>קנס בסך 20,000 ₪ או 45 ימי מאסר תחתיו.</w:t>
      </w:r>
      <w:r w:rsidRPr="004E013F">
        <w:rPr>
          <w:rFonts w:hint="cs" w:ascii="FrankRuehl" w:hAnsi="FrankRuehl"/>
          <w:color w:val="000000"/>
          <w:rtl/>
          <w:lang w:eastAsia="he-IL"/>
        </w:rPr>
        <w:t xml:space="preserve"> הקנס ישולם ב-5 תשלומים חודשיים שווים ורצופים החל מיום 15.5.18. תשלום שלא ישולם במועדו יעמיד את כל יתרת הסכום לפרעון מיידי. </w:t>
      </w:r>
    </w:p>
    <w:p w:rsidRPr="004E013F" w:rsidR="004E013F" w:rsidP="002A19C2" w:rsidRDefault="004E013F">
      <w:pPr>
        <w:spacing w:line="360" w:lineRule="auto"/>
        <w:ind w:left="1440" w:hanging="720"/>
        <w:jc w:val="both"/>
        <w:rPr>
          <w:rFonts w:ascii="FrankRuehl" w:hAnsi="FrankRuehl"/>
          <w:color w:val="000000"/>
          <w:rtl/>
          <w:lang w:eastAsia="he-IL"/>
        </w:rPr>
      </w:pPr>
    </w:p>
    <w:p w:rsidRPr="004E013F" w:rsidR="004E013F" w:rsidP="002A19C2" w:rsidRDefault="004E013F">
      <w:pPr>
        <w:spacing w:line="360" w:lineRule="auto"/>
        <w:ind w:firstLine="720"/>
        <w:jc w:val="both"/>
        <w:rPr>
          <w:rFonts w:ascii="FrankRuehl" w:hAnsi="FrankRuehl"/>
          <w:b/>
          <w:bCs/>
          <w:color w:val="000000"/>
          <w:u w:val="single"/>
          <w:rtl/>
          <w:lang w:eastAsia="he-IL"/>
        </w:rPr>
      </w:pPr>
      <w:r w:rsidRPr="004E013F">
        <w:rPr>
          <w:rFonts w:hint="cs" w:ascii="FrankRuehl" w:hAnsi="FrankRuehl"/>
          <w:b/>
          <w:bCs/>
          <w:color w:val="000000"/>
          <w:u w:val="single"/>
          <w:rtl/>
          <w:lang w:eastAsia="he-IL"/>
        </w:rPr>
        <w:t>הנאשם 3</w:t>
      </w:r>
    </w:p>
    <w:p w:rsidRPr="004E013F" w:rsidR="004E013F" w:rsidP="002A19C2" w:rsidRDefault="004E013F">
      <w:pPr>
        <w:spacing w:line="360" w:lineRule="auto"/>
        <w:ind w:left="1440" w:hanging="720"/>
        <w:jc w:val="both"/>
        <w:rPr>
          <w:rFonts w:ascii="FrankRuehl" w:hAnsi="FrankRuehl"/>
          <w:color w:val="000000"/>
          <w:rtl/>
          <w:lang w:eastAsia="he-IL"/>
        </w:rPr>
      </w:pPr>
      <w:r w:rsidRPr="004E013F">
        <w:rPr>
          <w:rFonts w:hint="cs" w:ascii="FrankRuehl" w:hAnsi="FrankRuehl"/>
          <w:color w:val="000000"/>
          <w:rtl/>
          <w:lang w:eastAsia="he-IL"/>
        </w:rPr>
        <w:t>א.</w:t>
      </w:r>
      <w:r w:rsidRPr="004E013F">
        <w:rPr>
          <w:rFonts w:hint="cs" w:ascii="FrankRuehl" w:hAnsi="FrankRuehl"/>
          <w:color w:val="000000"/>
          <w:rtl/>
          <w:lang w:eastAsia="he-IL"/>
        </w:rPr>
        <w:tab/>
        <w:t>77 ימי מאסר בפועל, בניכוי ימי מעצרו. מובהר בזה כי הנאשם נשא את מלוא תקופת המאסר, בהיותו במעצר מתאריך 10.10.17 ועד לתאריך 25.12.17.</w:t>
      </w:r>
    </w:p>
    <w:p w:rsidRPr="004E013F" w:rsidR="004E013F" w:rsidP="002A19C2" w:rsidRDefault="004E013F">
      <w:pPr>
        <w:spacing w:line="360" w:lineRule="auto"/>
        <w:ind w:firstLine="720"/>
        <w:jc w:val="both"/>
        <w:rPr>
          <w:rFonts w:ascii="FrankRuehl" w:hAnsi="FrankRuehl"/>
          <w:color w:val="000000"/>
          <w:rtl/>
          <w:lang w:eastAsia="he-IL"/>
        </w:rPr>
      </w:pPr>
      <w:r w:rsidRPr="004E013F">
        <w:rPr>
          <w:rFonts w:hint="cs" w:ascii="FrankRuehl" w:hAnsi="FrankRuehl"/>
          <w:color w:val="000000"/>
          <w:rtl/>
          <w:lang w:eastAsia="he-IL"/>
        </w:rPr>
        <w:t>ב.</w:t>
      </w:r>
      <w:r w:rsidRPr="004E013F">
        <w:rPr>
          <w:rFonts w:hint="cs" w:ascii="FrankRuehl" w:hAnsi="FrankRuehl"/>
          <w:color w:val="000000"/>
          <w:rtl/>
          <w:lang w:eastAsia="he-IL"/>
        </w:rPr>
        <w:tab/>
        <w:t>6 חודשי מאסר על תנאי למשך שנתיים, שלא יעבור עבירת נשק המסווגת כפשע.</w:t>
      </w:r>
    </w:p>
    <w:p w:rsidRPr="004E013F" w:rsidR="004E013F" w:rsidP="002A19C2" w:rsidRDefault="004E013F">
      <w:pPr>
        <w:spacing w:line="360" w:lineRule="auto"/>
        <w:ind w:left="1440" w:hanging="720"/>
        <w:jc w:val="both"/>
        <w:rPr>
          <w:rFonts w:ascii="FrankRuehl" w:hAnsi="FrankRuehl"/>
          <w:color w:val="000000"/>
          <w:lang w:eastAsia="he-IL"/>
        </w:rPr>
      </w:pPr>
    </w:p>
    <w:p w:rsidRPr="004E013F" w:rsidR="004E013F" w:rsidP="002A19C2" w:rsidRDefault="004E013F">
      <w:pPr>
        <w:spacing w:line="360" w:lineRule="auto"/>
        <w:ind w:left="1440" w:hanging="720"/>
        <w:jc w:val="both"/>
        <w:rPr>
          <w:rFonts w:ascii="FrankRuehl" w:hAnsi="FrankRuehl"/>
          <w:b/>
          <w:bCs/>
          <w:color w:val="000000"/>
          <w:rtl/>
          <w:lang w:eastAsia="he-IL"/>
        </w:rPr>
      </w:pPr>
      <w:r w:rsidRPr="004E013F">
        <w:rPr>
          <w:rFonts w:hint="cs" w:ascii="FrankRuehl" w:hAnsi="FrankRuehl"/>
          <w:b/>
          <w:bCs/>
          <w:color w:val="000000"/>
          <w:rtl/>
          <w:lang w:eastAsia="he-IL"/>
        </w:rPr>
        <w:t>זכות ערעור תוך 45 יום.</w:t>
      </w:r>
    </w:p>
    <w:p w:rsidRPr="004E013F" w:rsidR="00507694" w:rsidP="002A19C2" w:rsidRDefault="00507694">
      <w:pPr>
        <w:spacing w:line="360" w:lineRule="auto"/>
        <w:jc w:val="both"/>
        <w:rPr>
          <w:rtl/>
        </w:rPr>
      </w:pPr>
    </w:p>
    <w:p w:rsidRPr="004E013F" w:rsidR="00507694" w:rsidP="002A19C2" w:rsidRDefault="00507694">
      <w:pPr>
        <w:spacing w:line="360" w:lineRule="auto"/>
        <w:jc w:val="both"/>
        <w:rPr>
          <w:rtl/>
        </w:rPr>
      </w:pPr>
    </w:p>
    <w:p w:rsidRPr="004E013F" w:rsidR="00507694" w:rsidP="002A19C2" w:rsidRDefault="00507694">
      <w:pPr>
        <w:spacing w:line="360" w:lineRule="auto"/>
        <w:jc w:val="both"/>
        <w:rPr>
          <w:rtl/>
        </w:rPr>
      </w:pPr>
    </w:p>
    <w:p w:rsidRPr="004E013F" w:rsidR="00507694" w:rsidP="002A19C2" w:rsidRDefault="00507694">
      <w:pPr>
        <w:spacing w:line="360" w:lineRule="auto"/>
        <w:jc w:val="both"/>
        <w:rPr>
          <w:rtl/>
        </w:rPr>
      </w:pPr>
    </w:p>
    <w:p w:rsidRPr="004E013F" w:rsidR="00507694" w:rsidP="002A19C2" w:rsidRDefault="00684E84">
      <w:pPr>
        <w:spacing w:line="360" w:lineRule="auto"/>
        <w:jc w:val="both"/>
        <w:rPr>
          <w:rFonts w:ascii="Arial" w:hAnsi="Arial"/>
        </w:rPr>
      </w:pPr>
      <w:r w:rsidRPr="004E013F">
        <w:rPr>
          <w:rFonts w:ascii="Arial" w:hAnsi="Arial"/>
          <w:rtl/>
        </w:rPr>
        <w:t xml:space="preserve">ניתן היום,  </w:t>
      </w:r>
      <w:sdt>
        <w:sdtPr>
          <w:rPr>
            <w:rtl/>
          </w:rPr>
          <w:alias w:val="1455"/>
          <w:tag w:val="1455"/>
          <w:id w:val="-750497047"/>
          <w:text w:multiLine="1"/>
        </w:sdtPr>
        <w:sdtEndPr/>
        <w:sdtContent>
          <w:r>
            <w:rPr>
              <w:rFonts w:ascii="Arial" w:hAnsi="Arial"/>
              <w:rtl/>
            </w:rPr>
            <w:t>כ"ז ניסן תשע"ח</w:t>
          </w:r>
        </w:sdtContent>
      </w:sdt>
      <w:r w:rsidRPr="004E013F">
        <w:rPr>
          <w:rFonts w:ascii="Arial" w:hAnsi="Arial"/>
          <w:rtl/>
        </w:rPr>
        <w:t xml:space="preserve">, </w:t>
      </w:r>
      <w:sdt>
        <w:sdtPr>
          <w:rPr>
            <w:rtl/>
          </w:rPr>
          <w:alias w:val="1456"/>
          <w:tag w:val="1456"/>
          <w:id w:val="367718347"/>
          <w:text w:multiLine="1"/>
        </w:sdtPr>
        <w:sdtEndPr/>
        <w:sdtContent>
          <w:r>
            <w:rPr>
              <w:rFonts w:ascii="Arial" w:hAnsi="Arial"/>
              <w:rtl/>
            </w:rPr>
            <w:t>12 אפריל 2018</w:t>
          </w:r>
        </w:sdtContent>
      </w:sdt>
      <w:r w:rsidRPr="004E013F">
        <w:rPr>
          <w:rFonts w:ascii="Arial" w:hAnsi="Arial"/>
          <w:rtl/>
        </w:rPr>
        <w:t>, בהעדר הצדדים.</w:t>
      </w:r>
    </w:p>
    <w:p w:rsidRPr="004E013F" w:rsidR="00507694" w:rsidP="002A19C2" w:rsidRDefault="00507694">
      <w:pPr>
        <w:spacing w:line="360" w:lineRule="auto"/>
        <w:jc w:val="both"/>
        <w:rPr>
          <w:rtl/>
        </w:rPr>
      </w:pPr>
    </w:p>
    <w:p w:rsidRPr="004E013F" w:rsidR="00507694" w:rsidP="002A19C2" w:rsidRDefault="003E0C9F">
      <w:pPr>
        <w:spacing w:line="360" w:lineRule="auto"/>
        <w:jc w:val="both"/>
        <w:rPr>
          <w:rFonts w:ascii="Arial" w:hAnsi="Arial"/>
          <w:rtl/>
        </w:rPr>
      </w:pPr>
      <w:r w:rsidRPr="004E013F">
        <w:rPr>
          <w:rFonts w:hint="cs"/>
          <w:rtl/>
        </w:rPr>
        <w:t xml:space="preserve">   </w:t>
      </w:r>
      <w:r w:rsidRPr="004E013F">
        <w:rPr>
          <w:rFonts w:hint="cs"/>
          <w:rtl/>
        </w:rPr>
        <w:tab/>
      </w:r>
      <w:r w:rsidRPr="004E013F">
        <w:rPr>
          <w:rFonts w:hint="cs"/>
          <w:rtl/>
        </w:rPr>
        <w:tab/>
      </w:r>
      <w:r w:rsidRPr="004E013F">
        <w:rPr>
          <w:rFonts w:hint="cs"/>
          <w:rtl/>
        </w:rPr>
        <w:tab/>
      </w:r>
      <w:r w:rsidRPr="004E013F">
        <w:rPr>
          <w:rFonts w:hint="cs"/>
          <w:rtl/>
        </w:rPr>
        <w:tab/>
      </w:r>
      <w:r w:rsidRPr="004E013F">
        <w:rPr>
          <w:rFonts w:hint="cs"/>
          <w:rtl/>
        </w:rPr>
        <w:tab/>
      </w:r>
      <w:sdt>
        <w:sdtPr>
          <w:alias w:val="MergeField"/>
          <w:tag w:val="1237"/>
        </w:sdtPr>
        <w:sdtContent>
          <w:p>
            <w:r>
              <w:drawing>
                <wp:inline distT="0" distB="0" distL="0" distR="0" wp14:editId="50D07946">
                  <wp:extent cx="1362075"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7ee5f6800ee4424" cstate="print">
                            <a:extLst>
                              <a:ext uri="{28A0092B-C50C-407E-A947-70E740481C1C}"/>
                            </a:extLst>
                          </a:blip>
                          <a:stretch>
                            <a:fillRect/>
                          </a:stretch>
                        </pic:blipFill>
                        <pic:spPr>
                          <a:xfrm>
                            <a:off x="0" y="0"/>
                            <a:ext cx="1362075" cy="847725"/>
                          </a:xfrm>
                          <a:prstGeom prst="rect">
                            <a:avLst/>
                          </a:prstGeom>
                        </pic:spPr>
                      </pic:pic>
                    </a:graphicData>
                  </a:graphic>
                </wp:inline>
              </w:drawing>
            </w:r>
          </w:p>
        </w:sdtContent>
      </w:sdt>
    </w:p>
    <w:p w:rsidRPr="004E013F" w:rsidR="00507694" w:rsidP="002A19C2" w:rsidRDefault="00507694">
      <w:pPr>
        <w:spacing w:line="360" w:lineRule="auto"/>
        <w:jc w:val="both"/>
        <w:rPr>
          <w:rtl/>
        </w:rPr>
      </w:pPr>
    </w:p>
    <w:p w:rsidRPr="004E013F" w:rsidR="00507694" w:rsidP="002A19C2" w:rsidRDefault="00507694">
      <w:pPr>
        <w:pStyle w:val="a3"/>
        <w:spacing w:line="360" w:lineRule="auto"/>
        <w:jc w:val="both"/>
        <w:rPr>
          <w:rtl/>
        </w:rPr>
      </w:pPr>
    </w:p>
    <w:sectPr w:rsidRPr="004E013F" w:rsidR="00507694" w:rsidSect="00507694">
      <w:headerReference w:type="default" r:id="rId9"/>
      <w:footerReference w:type="even" r:id="rId10"/>
      <w:footerReference w:type="default" r:id="rId11"/>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94" w:rsidRDefault="00684E84">
      <w:r>
        <w:separator/>
      </w:r>
    </w:p>
  </w:endnote>
  <w:endnote w:type="continuationSeparator" w:id="0">
    <w:p w:rsidR="00507694" w:rsidRDefault="0068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7D46DD" w:rsidRDefault="0006726A">
    <w:pPr>
      <w:pStyle w:val="a4"/>
      <w:framePr w:wrap="around" w:hAnchor="text" w:vAnchor="text" w:y="1"/>
      <w:rPr>
        <w:rStyle w:val="a9"/>
      </w:rPr>
    </w:pPr>
    <w:r>
      <w:rPr>
        <w:rStyle w:val="a9"/>
        <w:rtl/>
      </w:rPr>
      <w:fldChar w:fldCharType="begin"/>
    </w:r>
    <w:r w:rsidR="00BD67E7">
      <w:rPr>
        <w:rStyle w:val="a9"/>
      </w:rPr>
      <w:instrText xml:space="preserve">PAGE  </w:instrText>
    </w:r>
    <w:r>
      <w:rPr>
        <w:rStyle w:val="a9"/>
        <w:rtl/>
      </w:rPr>
      <w:fldChar w:fldCharType="end"/>
    </w:r>
  </w:p>
  <w:p w:rsidR="00BD67E7" w:rsidP="00BD67E7" w:rsidRDefault="00BD67E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BD67E7" w:rsidRDefault="00BD67E7">
    <w:pPr>
      <w:pStyle w:val="a4"/>
      <w:ind w:right="360"/>
      <w:jc w:val="center"/>
    </w:pPr>
    <w:r>
      <w:rPr>
        <w:rtl/>
      </w:rPr>
      <w:t>עמוד</w:t>
    </w:r>
    <w:r>
      <w:t xml:space="preserve"> </w:t>
    </w:r>
    <w:r w:rsidR="0006726A">
      <w:fldChar w:fldCharType="begin"/>
    </w:r>
    <w:r>
      <w:instrText xml:space="preserve"> PAGE </w:instrText>
    </w:r>
    <w:r w:rsidR="0006726A">
      <w:fldChar w:fldCharType="separate"/>
    </w:r>
    <w:r w:rsidR="00A80916">
      <w:rPr>
        <w:noProof/>
        <w:rtl/>
      </w:rPr>
      <w:t>1</w:t>
    </w:r>
    <w:r w:rsidR="0006726A">
      <w:fldChar w:fldCharType="end"/>
    </w:r>
    <w:r>
      <w:t xml:space="preserve"> </w:t>
    </w:r>
    <w:r>
      <w:rPr>
        <w:rtl/>
      </w:rPr>
      <w:t>מתוך</w:t>
    </w:r>
    <w:r>
      <w:t xml:space="preserve"> </w:t>
    </w:r>
    <w:r w:rsidR="0006726A">
      <w:fldChar w:fldCharType="begin"/>
    </w:r>
    <w:r>
      <w:instrText xml:space="preserve"> NUMPAGES </w:instrText>
    </w:r>
    <w:r w:rsidR="0006726A">
      <w:fldChar w:fldCharType="separate"/>
    </w:r>
    <w:r w:rsidR="00A80916">
      <w:rPr>
        <w:noProof/>
        <w:rtl/>
      </w:rPr>
      <w:t>5</w:t>
    </w:r>
    <w:r w:rsidR="0006726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94" w:rsidRDefault="00684E84">
      <w:r>
        <w:separator/>
      </w:r>
    </w:p>
  </w:footnote>
  <w:footnote w:type="continuationSeparator" w:id="0">
    <w:p w:rsidR="00507694" w:rsidRDefault="00684E84">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694" w:rsidRDefault="00A80916">
    <w:pPr>
      <w:pStyle w:val="a3"/>
      <w:jc w:val="center"/>
      <w:rPr>
        <w:rFonts w:cs="FrankRuehl"/>
        <w:sz w:val="28"/>
        <w:szCs w:val="28"/>
        <w:rtl/>
      </w:rPr>
    </w:pPr>
    <w:r>
      <w:rPr>
        <w:rFonts w:cs="FrankRuehl"/>
        <w:noProof/>
        <w:sz w:val="28"/>
        <w:szCs w:val="28"/>
        <w:rtl/>
      </w:rPr>
    </w:r>
    <w:r w:rsidR="005C7B0B">
      <w:rPr>
        <w:rFonts w:cs="FrankRuehl"/>
        <w:noProof/>
        <w:sz w:val="28"/>
        <w:szCs w:val="28"/>
      </w:rPr>
      <w:drawing>
        <wp:inline distT="0" distB="0" distL="0" distR="0" wp14:anchorId="15B09354" wp14:editId="3210ABE6">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6942"/>
      <w:gridCol w:w="1563"/>
    </w:tblGrid>
    <w:tr w:rsidR="00507694" w:rsidTr="002A19C2">
      <w:trPr>
        <w:trHeight w:val="418" w:hRule="exact"/>
        <w:jc w:val="center"/>
      </w:trPr>
      <w:sdt>
        <w:sdtPr>
          <w:rPr>
            <w:rtl/>
          </w:rPr>
          <w:alias w:val="1174"/>
          <w:tag w:val="1174"/>
          <w:id w:val="-140351139"/>
          <w:text/>
        </w:sdtPr>
        <w:sdtEndPr/>
        <w:sdtContent>
          <w:tc>
            <w:tcPr>
              <w:tcW w:w="8505" w:type="dxa"/>
              <w:gridSpan w:val="2"/>
            </w:tcPr>
            <w:p w:rsidR="00507694" w:rsidRDefault="00684E84">
              <w:pPr>
                <w:pStyle w:val="a3"/>
                <w:jc w:val="center"/>
                <w:rPr>
                  <w:rFonts w:ascii="Tahoma" w:hAnsi="Tahoma" w:cs="Tahoma"/>
                  <w:color w:val="000080"/>
                  <w:rtl/>
                </w:rPr>
              </w:pPr>
              <w:r>
                <w:rPr>
                  <w:rFonts w:ascii="Tahoma" w:hAnsi="Tahoma" w:cs="Tahoma"/>
                  <w:b/>
                  <w:bCs/>
                  <w:color w:val="000080"/>
                  <w:rtl/>
                </w:rPr>
                <w:t>בית המשפט המחוזי בבאר שבע</w:t>
              </w:r>
            </w:p>
          </w:tc>
        </w:sdtContent>
      </w:sdt>
    </w:tr>
    <w:tr w:rsidR="00507694" w:rsidTr="002A19C2">
      <w:trPr>
        <w:trHeight w:val="337"/>
        <w:jc w:val="center"/>
      </w:trPr>
      <w:tc>
        <w:tcPr>
          <w:tcW w:w="6942" w:type="dxa"/>
        </w:tcPr>
        <w:p w:rsidRPr="002A19C2" w:rsidR="00507694" w:rsidP="002A19C2" w:rsidRDefault="00A80916">
          <w:pPr>
            <w:rPr>
              <w:b/>
              <w:bCs/>
              <w:sz w:val="28"/>
              <w:szCs w:val="28"/>
              <w:rtl/>
            </w:rPr>
          </w:pPr>
          <w:sdt>
            <w:sdtPr>
              <w:rPr>
                <w:b/>
                <w:bCs/>
                <w:rtl/>
              </w:rPr>
              <w:alias w:val="1170"/>
              <w:tag w:val="1170"/>
              <w:id w:val="2112628154"/>
              <w:text w:multiLine="1"/>
            </w:sdtPr>
            <w:sdtEndPr/>
            <w:sdtContent>
              <w:r w:rsidRPr="002A19C2" w:rsidR="009A37A3">
                <w:rPr>
                  <w:b/>
                  <w:bCs/>
                  <w:sz w:val="28"/>
                  <w:szCs w:val="28"/>
                  <w:rtl/>
                </w:rPr>
                <w:t>ת"פ</w:t>
              </w:r>
            </w:sdtContent>
          </w:sdt>
          <w:r w:rsidRPr="002A19C2" w:rsidR="00684E84">
            <w:rPr>
              <w:rFonts w:hint="cs"/>
              <w:b/>
              <w:bCs/>
              <w:sz w:val="28"/>
              <w:szCs w:val="28"/>
              <w:rtl/>
            </w:rPr>
            <w:t xml:space="preserve"> </w:t>
          </w:r>
          <w:sdt>
            <w:sdtPr>
              <w:rPr>
                <w:b/>
                <w:bCs/>
                <w:rtl/>
              </w:rPr>
              <w:alias w:val="1171"/>
              <w:tag w:val="1171"/>
              <w:id w:val="-1870053316"/>
              <w:text w:multiLine="1"/>
            </w:sdtPr>
            <w:sdtEndPr/>
            <w:sdtContent>
              <w:r w:rsidRPr="002A19C2" w:rsidR="009A37A3">
                <w:rPr>
                  <w:b/>
                  <w:bCs/>
                  <w:sz w:val="28"/>
                  <w:szCs w:val="28"/>
                  <w:rtl/>
                </w:rPr>
                <w:t>48506-10-17</w:t>
              </w:r>
            </w:sdtContent>
          </w:sdt>
          <w:r w:rsidRPr="002A19C2" w:rsidR="00684E84">
            <w:rPr>
              <w:rFonts w:hint="cs"/>
              <w:b/>
              <w:bCs/>
              <w:sz w:val="28"/>
              <w:szCs w:val="28"/>
              <w:rtl/>
            </w:rPr>
            <w:t xml:space="preserve"> </w:t>
          </w:r>
          <w:sdt>
            <w:sdtPr>
              <w:rPr>
                <w:b/>
                <w:bCs/>
                <w:rtl/>
              </w:rPr>
              <w:alias w:val="1172"/>
              <w:tag w:val="1172"/>
              <w:id w:val="-2143494014"/>
              <w:text w:multiLine="1"/>
            </w:sdtPr>
            <w:sdtEndPr/>
            <w:sdtContent>
              <w:r w:rsidRPr="002A19C2" w:rsidR="009A37A3">
                <w:rPr>
                  <w:b/>
                  <w:bCs/>
                  <w:sz w:val="28"/>
                  <w:szCs w:val="28"/>
                  <w:rtl/>
                </w:rPr>
                <w:t>מדינת ישראל נ' שיח' ח'ליל(עציר) ואח'</w:t>
              </w:r>
            </w:sdtContent>
          </w:sdt>
        </w:p>
      </w:tc>
      <w:tc>
        <w:tcPr>
          <w:tcW w:w="1563" w:type="dxa"/>
        </w:tcPr>
        <w:p w:rsidR="00507694" w:rsidRDefault="00507694">
          <w:pPr>
            <w:pStyle w:val="a3"/>
            <w:jc w:val="right"/>
            <w:rPr>
              <w:rFonts w:cs="FrankRuehl"/>
              <w:sz w:val="28"/>
              <w:szCs w:val="28"/>
              <w:rtl/>
            </w:rPr>
          </w:pPr>
        </w:p>
      </w:tc>
    </w:tr>
  </w:tbl>
  <w:p w:rsidR="00507694" w:rsidRDefault="00684E84">
    <w:pPr>
      <w:pStyle w:val="a3"/>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A334589"/>
    <w:multiLevelType w:val="hybridMultilevel"/>
    <w:tmpl w:val="D0DAC160"/>
    <w:lvl w:ilvl="0" w:tplc="F15285C8">
      <w:start w:val="1"/>
      <w:numFmt w:val="hebrew1"/>
      <w:lvlText w:val="%1."/>
      <w:lvlJc w:val="left"/>
      <w:pPr>
        <w:ind w:left="1635" w:hanging="915"/>
      </w:pPr>
      <w:rPr>
        <w:rFonts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2946"/>
    <o:shapelayout v:ext="edit">
      <o:idmap v:ext="edit" data="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94"/>
    <w:rsid w:val="00031F8A"/>
    <w:rsid w:val="00054FC4"/>
    <w:rsid w:val="0006726A"/>
    <w:rsid w:val="00100577"/>
    <w:rsid w:val="00212125"/>
    <w:rsid w:val="002A19C2"/>
    <w:rsid w:val="002D6C61"/>
    <w:rsid w:val="00367565"/>
    <w:rsid w:val="003E0C9F"/>
    <w:rsid w:val="004215DC"/>
    <w:rsid w:val="00456328"/>
    <w:rsid w:val="004C04B9"/>
    <w:rsid w:val="004E013F"/>
    <w:rsid w:val="00507694"/>
    <w:rsid w:val="005C7B0B"/>
    <w:rsid w:val="00683ABD"/>
    <w:rsid w:val="00684E84"/>
    <w:rsid w:val="006C2095"/>
    <w:rsid w:val="00757983"/>
    <w:rsid w:val="00802DC0"/>
    <w:rsid w:val="00821F29"/>
    <w:rsid w:val="00832D73"/>
    <w:rsid w:val="008819B4"/>
    <w:rsid w:val="00987585"/>
    <w:rsid w:val="009A37A3"/>
    <w:rsid w:val="009E35A7"/>
    <w:rsid w:val="009E49A1"/>
    <w:rsid w:val="009F504D"/>
    <w:rsid w:val="00A504C4"/>
    <w:rsid w:val="00A80916"/>
    <w:rsid w:val="00B05847"/>
    <w:rsid w:val="00B22E0A"/>
    <w:rsid w:val="00BD67E7"/>
    <w:rsid w:val="00BE0015"/>
    <w:rsid w:val="00C02463"/>
    <w:rsid w:val="00C55E62"/>
    <w:rsid w:val="00C572E8"/>
    <w:rsid w:val="00D202F4"/>
    <w:rsid w:val="00D3203D"/>
    <w:rsid w:val="00E70F9C"/>
    <w:rsid w:val="00EF70D5"/>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15:docId w15:val="{EBBF236C-5AEA-4753-8B68-F6E1D726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basedOn w:val="a0"/>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4466">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17ee5f6800ee442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1334</Words>
  <Characters>6672</Characters>
  <Application>Microsoft Office Word</Application>
  <DocSecurity>0</DocSecurity>
  <Lines>55</Lines>
  <Paragraphs>15</Paragraphs>
  <ScaleCrop>false</ScaleCrop>
  <Company>Microsoft Corporation</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אליהו ביתן</cp:lastModifiedBy>
  <cp:revision>25</cp:revision>
  <dcterms:created xsi:type="dcterms:W3CDTF">2012-08-05T19:12:00Z</dcterms:created>
  <dcterms:modified xsi:type="dcterms:W3CDTF">2018-04-12T11:00:00Z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