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RPr="00B77159" w:rsidRDefault="0094424E" w:rsidP="00D44968">
      <w:pPr>
        <w:suppressLineNumbers/>
        <w:rPr>
          <w:sz w:val="14"/>
          <w:szCs w:val="14"/>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94424E">
        <w:trPr>
          <w:jc w:val="center"/>
        </w:trPr>
        <w:tc>
          <w:tcPr>
            <w:tcW w:w="743" w:type="dxa"/>
          </w:tcPr>
          <w:p w:rsidR="0094424E" w:rsidRPr="00995125" w:rsidRDefault="00D12D7C" w:rsidP="00D44968">
            <w:pPr>
              <w:suppressLineNumbers/>
              <w:jc w:val="both"/>
              <w:rPr>
                <w:rFonts w:ascii="Arial" w:hAnsi="Arial"/>
                <w:b/>
                <w:bCs/>
                <w:sz w:val="26"/>
                <w:szCs w:val="26"/>
                <w:rtl/>
              </w:rPr>
            </w:pPr>
            <w:r w:rsidRPr="00995125">
              <w:rPr>
                <w:rFonts w:ascii="Arial" w:hAnsi="Arial" w:hint="cs"/>
                <w:b/>
                <w:bCs/>
                <w:sz w:val="26"/>
                <w:szCs w:val="26"/>
                <w:rtl/>
              </w:rPr>
              <w:t>ל</w:t>
            </w:r>
            <w:r w:rsidR="0094424E" w:rsidRPr="00995125">
              <w:rPr>
                <w:rFonts w:ascii="Arial" w:hAnsi="Arial"/>
                <w:b/>
                <w:bCs/>
                <w:sz w:val="26"/>
                <w:szCs w:val="26"/>
                <w:rtl/>
              </w:rPr>
              <w:t xml:space="preserve">פני </w:t>
            </w:r>
          </w:p>
        </w:tc>
        <w:tc>
          <w:tcPr>
            <w:tcW w:w="8077" w:type="dxa"/>
            <w:gridSpan w:val="2"/>
          </w:tcPr>
          <w:p w:rsidR="0094424E" w:rsidRPr="00995125" w:rsidRDefault="000529D2" w:rsidP="00D44968">
            <w:pPr>
              <w:suppressLineNumbers/>
              <w:rPr>
                <w:rFonts w:ascii="Arial" w:hAnsi="Arial"/>
                <w:b/>
                <w:bCs/>
                <w:sz w:val="26"/>
                <w:szCs w:val="26"/>
                <w:rtl/>
              </w:rPr>
            </w:pPr>
            <w:r w:rsidRPr="00995125">
              <w:rPr>
                <w:rFonts w:ascii="Arial" w:hAnsi="Arial" w:hint="cs"/>
                <w:b/>
                <w:bCs/>
                <w:sz w:val="26"/>
                <w:szCs w:val="26"/>
                <w:rtl/>
              </w:rPr>
              <w:t>כבוד</w:t>
            </w:r>
            <w:r w:rsidR="0094424E" w:rsidRPr="00995125">
              <w:rPr>
                <w:rFonts w:ascii="Arial" w:hAnsi="Arial" w:hint="cs"/>
                <w:b/>
                <w:bCs/>
                <w:sz w:val="26"/>
                <w:szCs w:val="26"/>
                <w:rtl/>
              </w:rPr>
              <w:t xml:space="preserve"> ה</w:t>
            </w:r>
            <w:r w:rsidRPr="00995125">
              <w:rPr>
                <w:rFonts w:ascii="Arial" w:hAnsi="Arial"/>
                <w:b/>
                <w:bCs/>
                <w:sz w:val="26"/>
                <w:szCs w:val="26"/>
                <w:rtl/>
              </w:rPr>
              <w:t>שופטת</w:t>
            </w:r>
            <w:r w:rsidR="0094424E" w:rsidRPr="00995125">
              <w:rPr>
                <w:rFonts w:ascii="Arial" w:hAnsi="Arial" w:hint="cs"/>
                <w:b/>
                <w:bCs/>
                <w:sz w:val="26"/>
                <w:szCs w:val="26"/>
                <w:rtl/>
              </w:rPr>
              <w:t xml:space="preserve">  </w:t>
            </w:r>
            <w:r w:rsidRPr="00995125">
              <w:rPr>
                <w:rFonts w:ascii="Arial" w:hAnsi="Arial"/>
                <w:b/>
                <w:bCs/>
                <w:sz w:val="26"/>
                <w:szCs w:val="26"/>
                <w:rtl/>
              </w:rPr>
              <w:t>חנה מרים לומפ</w:t>
            </w:r>
          </w:p>
          <w:p w:rsidR="0094424E" w:rsidRPr="00995125" w:rsidRDefault="0094424E" w:rsidP="00D44968">
            <w:pPr>
              <w:suppressLineNumbers/>
              <w:rPr>
                <w:rFonts w:ascii="Arial" w:hAnsi="Arial" w:cs="FrankRuehl"/>
                <w:sz w:val="26"/>
                <w:szCs w:val="26"/>
                <w:highlight w:val="yellow"/>
              </w:rPr>
            </w:pPr>
          </w:p>
        </w:tc>
      </w:tr>
      <w:tr w:rsidR="0094424E" w:rsidTr="00465D36">
        <w:trPr>
          <w:jc w:val="center"/>
        </w:trPr>
        <w:tc>
          <w:tcPr>
            <w:tcW w:w="3249" w:type="dxa"/>
            <w:gridSpan w:val="2"/>
          </w:tcPr>
          <w:p w:rsidR="0094424E" w:rsidRDefault="0094424E" w:rsidP="00D44968">
            <w:pPr>
              <w:suppressLineNumbers/>
              <w:rPr>
                <w:rFonts w:ascii="Arial" w:hAnsi="Arial"/>
                <w:b/>
                <w:bCs/>
                <w:noProof w:val="0"/>
                <w:sz w:val="26"/>
                <w:szCs w:val="26"/>
              </w:rPr>
            </w:pPr>
          </w:p>
          <w:p w:rsidR="00F771EA" w:rsidRDefault="00203D42">
            <w:pPr>
              <w:suppressLineNumbers/>
              <w:rPr>
                <w:rFonts w:ascii="Arial" w:hAnsi="Arial"/>
                <w:b/>
                <w:bCs/>
                <w:noProof w:val="0"/>
                <w:sz w:val="26"/>
                <w:szCs w:val="26"/>
                <w:rtl/>
              </w:rPr>
            </w:pPr>
            <w:r>
              <w:rPr>
                <w:rFonts w:ascii="Arial" w:hAnsi="Arial" w:hint="cs"/>
                <w:b/>
                <w:bCs/>
                <w:noProof w:val="0"/>
                <w:sz w:val="26"/>
                <w:szCs w:val="26"/>
                <w:rtl/>
              </w:rPr>
              <w:t>המ</w:t>
            </w:r>
            <w:r>
              <w:rPr>
                <w:rFonts w:ascii="Arial" w:hAnsi="Arial"/>
                <w:b/>
                <w:bCs/>
                <w:noProof w:val="0"/>
                <w:sz w:val="26"/>
                <w:szCs w:val="26"/>
                <w:rtl/>
              </w:rPr>
              <w:t>בקש</w:t>
            </w:r>
            <w:r>
              <w:rPr>
                <w:rFonts w:ascii="Arial" w:hAnsi="Arial" w:hint="cs"/>
                <w:b/>
                <w:bCs/>
                <w:noProof w:val="0"/>
                <w:sz w:val="26"/>
                <w:szCs w:val="26"/>
                <w:rtl/>
              </w:rPr>
              <w:t>ת</w:t>
            </w:r>
          </w:p>
          <w:p w:rsidR="00995125" w:rsidRDefault="00995125">
            <w:pPr>
              <w:suppressLineNumbers/>
              <w:rPr>
                <w:rFonts w:ascii="Arial" w:hAnsi="Arial"/>
                <w:b/>
                <w:bCs/>
                <w:noProof w:val="0"/>
                <w:sz w:val="26"/>
                <w:szCs w:val="26"/>
                <w:rtl/>
              </w:rPr>
            </w:pPr>
            <w:r>
              <w:rPr>
                <w:rFonts w:ascii="Arial" w:hAnsi="Arial" w:hint="cs"/>
                <w:b/>
                <w:bCs/>
                <w:noProof w:val="0"/>
                <w:sz w:val="26"/>
                <w:szCs w:val="26"/>
                <w:rtl/>
              </w:rPr>
              <w:t>על ידי ב"כ עו"ד דניאל א.ח. כהן</w:t>
            </w:r>
          </w:p>
        </w:tc>
        <w:tc>
          <w:tcPr>
            <w:tcW w:w="5571" w:type="dxa"/>
          </w:tcPr>
          <w:p w:rsidR="0094424E" w:rsidRDefault="0094424E" w:rsidP="00D44968">
            <w:pPr>
              <w:suppressLineNumbers/>
              <w:rPr>
                <w:rFonts w:ascii="Arial" w:hAnsi="Arial"/>
                <w:b/>
                <w:bCs/>
                <w:noProof w:val="0"/>
                <w:sz w:val="26"/>
                <w:szCs w:val="26"/>
                <w:rtl/>
              </w:rPr>
            </w:pPr>
          </w:p>
          <w:p w:rsidR="0094424E" w:rsidRDefault="00CF6BB7" w:rsidP="00D44968">
            <w:pPr>
              <w:suppressLineNumbers/>
              <w:rPr>
                <w:b/>
                <w:bCs/>
                <w:noProof w:val="0"/>
                <w:sz w:val="26"/>
                <w:szCs w:val="26"/>
              </w:rPr>
            </w:pPr>
            <w:r>
              <w:rPr>
                <w:rFonts w:ascii="Arial" w:hAnsi="Arial"/>
                <w:b/>
                <w:bCs/>
                <w:noProof w:val="0"/>
                <w:sz w:val="26"/>
                <w:szCs w:val="26"/>
                <w:rtl/>
              </w:rPr>
              <w:t>ביקורת שניה ישראל בע"מ</w:t>
            </w:r>
          </w:p>
        </w:tc>
      </w:tr>
      <w:tr w:rsidR="0094424E">
        <w:trPr>
          <w:jc w:val="center"/>
        </w:trPr>
        <w:tc>
          <w:tcPr>
            <w:tcW w:w="8820" w:type="dxa"/>
            <w:gridSpan w:val="3"/>
          </w:tcPr>
          <w:p w:rsidR="0094424E" w:rsidRDefault="0094424E" w:rsidP="00D44968">
            <w:pPr>
              <w:suppressLineNumbers/>
              <w:rPr>
                <w:rFonts w:ascii="Arial" w:hAnsi="Arial"/>
                <w:b/>
                <w:bCs/>
                <w:noProof w:val="0"/>
                <w:sz w:val="26"/>
                <w:szCs w:val="26"/>
                <w:rtl/>
              </w:rPr>
            </w:pPr>
          </w:p>
          <w:p w:rsidR="0094424E" w:rsidRDefault="0094424E" w:rsidP="00D44968">
            <w:pPr>
              <w:suppressLineNumbers/>
              <w:jc w:val="center"/>
              <w:rPr>
                <w:rFonts w:ascii="Arial" w:hAnsi="Arial"/>
                <w:b/>
                <w:bCs/>
                <w:noProof w:val="0"/>
                <w:sz w:val="26"/>
                <w:szCs w:val="26"/>
                <w:rtl/>
              </w:rPr>
            </w:pPr>
            <w:r>
              <w:rPr>
                <w:rFonts w:ascii="Arial" w:hAnsi="Arial"/>
                <w:b/>
                <w:bCs/>
                <w:noProof w:val="0"/>
                <w:sz w:val="26"/>
                <w:szCs w:val="26"/>
                <w:rtl/>
              </w:rPr>
              <w:t>נגד</w:t>
            </w:r>
          </w:p>
          <w:p w:rsidR="0094424E" w:rsidRDefault="0094424E" w:rsidP="00D44968">
            <w:pPr>
              <w:suppressLineNumbers/>
              <w:rPr>
                <w:rFonts w:ascii="Arial" w:hAnsi="Arial"/>
                <w:b/>
                <w:bCs/>
                <w:noProof w:val="0"/>
                <w:sz w:val="26"/>
                <w:szCs w:val="26"/>
              </w:rPr>
            </w:pPr>
          </w:p>
        </w:tc>
      </w:tr>
      <w:tr w:rsidR="0094424E">
        <w:trPr>
          <w:jc w:val="center"/>
        </w:trPr>
        <w:tc>
          <w:tcPr>
            <w:tcW w:w="3249" w:type="dxa"/>
            <w:gridSpan w:val="2"/>
          </w:tcPr>
          <w:p w:rsidR="0094424E" w:rsidRDefault="00203D42" w:rsidP="00D44968">
            <w:pPr>
              <w:suppressLineNumbers/>
              <w:rPr>
                <w:rFonts w:ascii="Arial" w:hAnsi="Arial"/>
                <w:b/>
                <w:bCs/>
                <w:noProof w:val="0"/>
                <w:sz w:val="26"/>
                <w:szCs w:val="26"/>
                <w:rtl/>
              </w:rPr>
            </w:pPr>
            <w:r>
              <w:rPr>
                <w:rFonts w:ascii="Arial" w:hAnsi="Arial" w:hint="cs"/>
                <w:b/>
                <w:bCs/>
                <w:noProof w:val="0"/>
                <w:sz w:val="26"/>
                <w:szCs w:val="26"/>
                <w:rtl/>
              </w:rPr>
              <w:t>המ</w:t>
            </w:r>
            <w:r>
              <w:rPr>
                <w:rFonts w:ascii="Arial" w:hAnsi="Arial"/>
                <w:b/>
                <w:bCs/>
                <w:noProof w:val="0"/>
                <w:sz w:val="26"/>
                <w:szCs w:val="26"/>
                <w:rtl/>
              </w:rPr>
              <w:t>שיב</w:t>
            </w:r>
            <w:r>
              <w:rPr>
                <w:rFonts w:ascii="Arial" w:hAnsi="Arial" w:hint="cs"/>
                <w:b/>
                <w:bCs/>
                <w:noProof w:val="0"/>
                <w:sz w:val="26"/>
                <w:szCs w:val="26"/>
                <w:rtl/>
              </w:rPr>
              <w:t>ה</w:t>
            </w:r>
          </w:p>
          <w:p w:rsidR="00995125" w:rsidRDefault="00995125" w:rsidP="00D44968">
            <w:pPr>
              <w:suppressLineNumbers/>
              <w:rPr>
                <w:rFonts w:ascii="Arial" w:hAnsi="Arial"/>
                <w:b/>
                <w:bCs/>
                <w:noProof w:val="0"/>
                <w:sz w:val="26"/>
                <w:szCs w:val="26"/>
              </w:rPr>
            </w:pPr>
            <w:r>
              <w:rPr>
                <w:rFonts w:ascii="Arial" w:hAnsi="Arial" w:hint="cs"/>
                <w:b/>
                <w:bCs/>
                <w:noProof w:val="0"/>
                <w:sz w:val="26"/>
                <w:szCs w:val="26"/>
                <w:rtl/>
              </w:rPr>
              <w:t>על ידי ב</w:t>
            </w:r>
            <w:r w:rsidR="00E23F68">
              <w:rPr>
                <w:rFonts w:ascii="Arial" w:hAnsi="Arial" w:hint="cs"/>
                <w:b/>
                <w:bCs/>
                <w:noProof w:val="0"/>
                <w:sz w:val="26"/>
                <w:szCs w:val="26"/>
                <w:rtl/>
              </w:rPr>
              <w:t>"כ עו"ד ענת שעיו ועו"ד דני פריי</w:t>
            </w:r>
            <w:r>
              <w:rPr>
                <w:rFonts w:ascii="Arial" w:hAnsi="Arial" w:hint="cs"/>
                <w:b/>
                <w:bCs/>
                <w:noProof w:val="0"/>
                <w:sz w:val="26"/>
                <w:szCs w:val="26"/>
                <w:rtl/>
              </w:rPr>
              <w:t>מן.</w:t>
            </w:r>
          </w:p>
        </w:tc>
        <w:tc>
          <w:tcPr>
            <w:tcW w:w="5571" w:type="dxa"/>
          </w:tcPr>
          <w:p w:rsidR="0094424E" w:rsidRDefault="00CF6BB7" w:rsidP="00D44968">
            <w:pPr>
              <w:suppressLineNumbers/>
              <w:rPr>
                <w:rtl/>
              </w:rPr>
            </w:pPr>
            <w:r>
              <w:rPr>
                <w:rFonts w:ascii="Arial" w:hAnsi="Arial"/>
                <w:b/>
                <w:bCs/>
                <w:noProof w:val="0"/>
                <w:sz w:val="26"/>
                <w:szCs w:val="26"/>
                <w:rtl/>
              </w:rPr>
              <w:t>הסתדרות מדיצינית הדסה (חל"צ)</w:t>
            </w:r>
          </w:p>
          <w:p w:rsidR="00CF6BB7" w:rsidRDefault="00CF6BB7" w:rsidP="00D44968">
            <w:pPr>
              <w:suppressLineNumbers/>
              <w:rPr>
                <w:b/>
                <w:bCs/>
                <w:noProof w:val="0"/>
                <w:sz w:val="26"/>
                <w:szCs w:val="26"/>
                <w:rtl/>
              </w:rPr>
            </w:pPr>
          </w:p>
        </w:tc>
      </w:tr>
      <w:tr w:rsidR="004C17EE" w:rsidTr="00D620FD">
        <w:trPr>
          <w:jc w:val="center"/>
        </w:trPr>
        <w:tc>
          <w:tcPr>
            <w:tcW w:w="8820" w:type="dxa"/>
            <w:gridSpan w:val="3"/>
          </w:tcPr>
          <w:p w:rsidR="00F771EA" w:rsidRDefault="00F771EA">
            <w:pPr>
              <w:suppressLineNumbers/>
              <w:rPr>
                <w:rFonts w:ascii="Arial" w:hAnsi="Arial"/>
                <w:b/>
                <w:bCs/>
                <w:noProof w:val="0"/>
                <w:sz w:val="26"/>
                <w:szCs w:val="26"/>
                <w:rtl/>
              </w:rPr>
            </w:pPr>
          </w:p>
        </w:tc>
      </w:tr>
    </w:tbl>
    <w:p w:rsidR="0094424E" w:rsidRDefault="0094424E" w:rsidP="00D44968">
      <w:pPr>
        <w:suppressLineNumbers/>
        <w:rPr>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rsidRPr="00DE1E7D">
        <w:trPr>
          <w:jc w:val="center"/>
        </w:trPr>
        <w:tc>
          <w:tcPr>
            <w:tcW w:w="8820" w:type="dxa"/>
          </w:tcPr>
          <w:p w:rsidR="00D44968" w:rsidRPr="00D44968" w:rsidRDefault="00180519" w:rsidP="00C54AE4">
            <w:pPr>
              <w:bidi w:val="0"/>
              <w:jc w:val="center"/>
              <w:rPr>
                <w:rFonts w:ascii="Arial" w:hAnsi="Arial"/>
                <w:b/>
                <w:bCs/>
                <w:noProof w:val="0"/>
                <w:sz w:val="28"/>
                <w:szCs w:val="28"/>
                <w:u w:val="single"/>
              </w:rPr>
            </w:pPr>
            <w:r w:rsidRPr="00D44968">
              <w:rPr>
                <w:rFonts w:ascii="Arial" w:hAnsi="Arial" w:hint="cs"/>
                <w:b/>
                <w:bCs/>
                <w:noProof w:val="0"/>
                <w:sz w:val="28"/>
                <w:szCs w:val="28"/>
                <w:u w:val="single"/>
                <w:rtl/>
              </w:rPr>
              <w:t>החלטה</w:t>
            </w:r>
          </w:p>
        </w:tc>
      </w:tr>
    </w:tbl>
    <w:p w:rsidR="00C54AE4" w:rsidRPr="00C54AE4" w:rsidRDefault="00C54AE4" w:rsidP="00C54AE4">
      <w:pPr>
        <w:spacing w:line="360" w:lineRule="auto"/>
        <w:jc w:val="both"/>
        <w:rPr>
          <w:rFonts w:ascii="Arial" w:hAnsi="Arial"/>
          <w:noProof w:val="0"/>
          <w:rtl/>
        </w:rPr>
      </w:pPr>
      <w:bookmarkStart w:id="0" w:name="NGCSBookmark"/>
      <w:bookmarkEnd w:id="0"/>
      <w:r w:rsidRPr="00C54AE4">
        <w:rPr>
          <w:rFonts w:ascii="Arial" w:hAnsi="Arial" w:hint="cs"/>
          <w:noProof w:val="0"/>
          <w:rtl/>
        </w:rPr>
        <w:t xml:space="preserve">לפני בקשה ליתן רשות לערער על החלטת כב' השופט מ' בורשטיין מיום 23.3.17, </w:t>
      </w:r>
      <w:r>
        <w:rPr>
          <w:rFonts w:ascii="Arial" w:hAnsi="Arial" w:hint="cs"/>
          <w:noProof w:val="0"/>
          <w:rtl/>
        </w:rPr>
        <w:t xml:space="preserve">(להלן </w:t>
      </w:r>
      <w:r>
        <w:rPr>
          <w:rFonts w:ascii="Arial" w:hAnsi="Arial"/>
          <w:noProof w:val="0"/>
          <w:rtl/>
        </w:rPr>
        <w:t>–</w:t>
      </w:r>
      <w:r>
        <w:rPr>
          <w:rFonts w:ascii="Arial" w:hAnsi="Arial" w:hint="cs"/>
          <w:noProof w:val="0"/>
          <w:rtl/>
        </w:rPr>
        <w:t xml:space="preserve"> </w:t>
      </w:r>
      <w:r w:rsidRPr="00C54AE4">
        <w:rPr>
          <w:rFonts w:ascii="Arial" w:hAnsi="Arial" w:hint="cs"/>
          <w:b/>
          <w:bCs/>
          <w:noProof w:val="0"/>
          <w:rtl/>
        </w:rPr>
        <w:t>החלטת בית משפט קמא</w:t>
      </w:r>
      <w:r>
        <w:rPr>
          <w:rFonts w:ascii="Arial" w:hAnsi="Arial" w:hint="cs"/>
          <w:noProof w:val="0"/>
          <w:rtl/>
        </w:rPr>
        <w:t>)</w:t>
      </w:r>
      <w:r w:rsidR="00524B98">
        <w:rPr>
          <w:rFonts w:ascii="Arial" w:hAnsi="Arial" w:hint="cs"/>
          <w:noProof w:val="0"/>
          <w:rtl/>
        </w:rPr>
        <w:t xml:space="preserve"> בת.א. 21207-09-13</w:t>
      </w:r>
      <w:r>
        <w:rPr>
          <w:rFonts w:ascii="Arial" w:hAnsi="Arial" w:hint="cs"/>
          <w:noProof w:val="0"/>
          <w:rtl/>
        </w:rPr>
        <w:t xml:space="preserve"> </w:t>
      </w:r>
      <w:r w:rsidRPr="00C54AE4">
        <w:rPr>
          <w:rFonts w:ascii="Arial" w:hAnsi="Arial" w:hint="cs"/>
          <w:noProof w:val="0"/>
          <w:rtl/>
        </w:rPr>
        <w:t>לפיה על המבקשת להפקיד</w:t>
      </w:r>
      <w:r>
        <w:rPr>
          <w:rFonts w:ascii="Arial" w:hAnsi="Arial" w:hint="cs"/>
          <w:noProof w:val="0"/>
          <w:rtl/>
        </w:rPr>
        <w:t xml:space="preserve"> ערובה ב</w:t>
      </w:r>
      <w:r w:rsidRPr="00C54AE4">
        <w:rPr>
          <w:rFonts w:ascii="Arial" w:hAnsi="Arial" w:hint="cs"/>
          <w:noProof w:val="0"/>
          <w:rtl/>
        </w:rPr>
        <w:t xml:space="preserve">סך 40,000 ₪ </w:t>
      </w:r>
      <w:r>
        <w:rPr>
          <w:rFonts w:ascii="Arial" w:hAnsi="Arial" w:hint="cs"/>
          <w:noProof w:val="0"/>
          <w:rtl/>
        </w:rPr>
        <w:t>להבטחת</w:t>
      </w:r>
      <w:r w:rsidRPr="00C54AE4">
        <w:rPr>
          <w:rFonts w:ascii="Arial" w:hAnsi="Arial" w:hint="cs"/>
          <w:noProof w:val="0"/>
          <w:rtl/>
        </w:rPr>
        <w:t xml:space="preserve"> הוצאות המשיבה.</w:t>
      </w:r>
    </w:p>
    <w:p w:rsidR="009E381C" w:rsidRDefault="009E381C">
      <w:pPr>
        <w:spacing w:line="360" w:lineRule="auto"/>
        <w:jc w:val="both"/>
        <w:rPr>
          <w:rFonts w:ascii="Arial" w:hAnsi="Arial"/>
          <w:b/>
          <w:bCs/>
          <w:noProof w:val="0"/>
          <w:u w:val="single"/>
          <w:rtl/>
        </w:rPr>
      </w:pPr>
    </w:p>
    <w:p w:rsidR="00FA4BC5" w:rsidRDefault="00FA4BC5">
      <w:pPr>
        <w:spacing w:line="360" w:lineRule="auto"/>
        <w:jc w:val="both"/>
        <w:rPr>
          <w:rFonts w:ascii="Arial" w:hAnsi="Arial"/>
          <w:noProof w:val="0"/>
          <w:rtl/>
        </w:rPr>
      </w:pPr>
      <w:r w:rsidRPr="00FA4BC5">
        <w:rPr>
          <w:rFonts w:ascii="Arial" w:hAnsi="Arial" w:hint="cs"/>
          <w:b/>
          <w:bCs/>
          <w:noProof w:val="0"/>
          <w:u w:val="single"/>
          <w:rtl/>
        </w:rPr>
        <w:t>רקע</w:t>
      </w:r>
    </w:p>
    <w:p w:rsidR="00694556" w:rsidRDefault="006D32E6" w:rsidP="00966152">
      <w:pPr>
        <w:numPr>
          <w:ilvl w:val="0"/>
          <w:numId w:val="1"/>
        </w:numPr>
        <w:spacing w:line="360" w:lineRule="auto"/>
        <w:contextualSpacing/>
        <w:jc w:val="both"/>
        <w:rPr>
          <w:rFonts w:ascii="Arial" w:hAnsi="Arial"/>
          <w:noProof w:val="0"/>
          <w:rtl/>
        </w:rPr>
      </w:pPr>
      <w:r>
        <w:rPr>
          <w:rFonts w:ascii="Arial" w:hAnsi="Arial" w:hint="cs"/>
          <w:noProof w:val="0"/>
          <w:rtl/>
        </w:rPr>
        <w:t xml:space="preserve">במסגרת </w:t>
      </w:r>
      <w:r w:rsidR="00523E38">
        <w:rPr>
          <w:rFonts w:ascii="Arial" w:hAnsi="Arial" w:hint="cs"/>
          <w:noProof w:val="0"/>
          <w:rtl/>
        </w:rPr>
        <w:t xml:space="preserve">התיק העיקרי </w:t>
      </w:r>
      <w:r>
        <w:rPr>
          <w:rFonts w:ascii="Arial" w:hAnsi="Arial" w:hint="cs"/>
          <w:noProof w:val="0"/>
          <w:rtl/>
        </w:rPr>
        <w:t xml:space="preserve">הוגשה תובענה על ידי </w:t>
      </w:r>
      <w:r w:rsidR="00EA3DD8">
        <w:rPr>
          <w:rFonts w:ascii="Arial" w:hAnsi="Arial" w:hint="cs"/>
          <w:noProof w:val="0"/>
          <w:rtl/>
        </w:rPr>
        <w:t>המבקשת</w:t>
      </w:r>
      <w:r>
        <w:rPr>
          <w:rFonts w:ascii="Arial" w:hAnsi="Arial" w:hint="cs"/>
          <w:noProof w:val="0"/>
          <w:rtl/>
        </w:rPr>
        <w:t>, לסעד כספי ב</w:t>
      </w:r>
      <w:r w:rsidR="00EA3DD8">
        <w:rPr>
          <w:rFonts w:ascii="Arial" w:hAnsi="Arial" w:hint="cs"/>
          <w:noProof w:val="0"/>
          <w:rtl/>
        </w:rPr>
        <w:t xml:space="preserve">סך 780,000 ₪. </w:t>
      </w:r>
      <w:r w:rsidR="00E55230">
        <w:rPr>
          <w:rFonts w:ascii="Arial" w:hAnsi="Arial" w:hint="cs"/>
          <w:noProof w:val="0"/>
          <w:rtl/>
        </w:rPr>
        <w:t>לטענת המבקשת</w:t>
      </w:r>
      <w:r w:rsidR="00496675">
        <w:rPr>
          <w:rFonts w:ascii="Arial" w:hAnsi="Arial" w:hint="cs"/>
          <w:noProof w:val="0"/>
          <w:rtl/>
        </w:rPr>
        <w:t>,</w:t>
      </w:r>
      <w:r w:rsidR="00E55230">
        <w:rPr>
          <w:rFonts w:ascii="Arial" w:hAnsi="Arial" w:hint="cs"/>
          <w:noProof w:val="0"/>
          <w:rtl/>
        </w:rPr>
        <w:t xml:space="preserve"> </w:t>
      </w:r>
      <w:r w:rsidR="009E381C">
        <w:rPr>
          <w:rFonts w:ascii="Arial" w:hAnsi="Arial" w:hint="cs"/>
          <w:noProof w:val="0"/>
          <w:rtl/>
        </w:rPr>
        <w:t>חוב זה מבוסס</w:t>
      </w:r>
      <w:r w:rsidR="00E55230">
        <w:rPr>
          <w:rFonts w:ascii="Arial" w:hAnsi="Arial" w:hint="cs"/>
          <w:noProof w:val="0"/>
          <w:rtl/>
        </w:rPr>
        <w:t xml:space="preserve"> </w:t>
      </w:r>
      <w:r w:rsidR="00496675">
        <w:rPr>
          <w:rFonts w:ascii="Arial" w:hAnsi="Arial" w:hint="cs"/>
          <w:noProof w:val="0"/>
          <w:rtl/>
        </w:rPr>
        <w:t xml:space="preserve">על </w:t>
      </w:r>
      <w:r w:rsidR="00523E38">
        <w:rPr>
          <w:rFonts w:ascii="Arial" w:hAnsi="Arial" w:hint="cs"/>
          <w:noProof w:val="0"/>
          <w:rtl/>
        </w:rPr>
        <w:t xml:space="preserve"> פעולתה להפחתת תשלומי יתר ששילמה המשיבה </w:t>
      </w:r>
      <w:r w:rsidR="003E4223">
        <w:rPr>
          <w:rFonts w:ascii="Arial" w:hAnsi="Arial" w:hint="cs"/>
          <w:noProof w:val="0"/>
          <w:rtl/>
        </w:rPr>
        <w:t xml:space="preserve">לרשויות המס, לביטוח לאומי ולקרנות הפנסיה. </w:t>
      </w:r>
    </w:p>
    <w:p w:rsidR="00523E38" w:rsidRPr="009E381C" w:rsidRDefault="00523E38" w:rsidP="00523E38">
      <w:pPr>
        <w:spacing w:line="360" w:lineRule="auto"/>
        <w:ind w:left="720" w:hanging="720"/>
        <w:jc w:val="both"/>
        <w:rPr>
          <w:rFonts w:ascii="Arial" w:hAnsi="Arial"/>
          <w:noProof w:val="0"/>
          <w:sz w:val="12"/>
          <w:szCs w:val="12"/>
          <w:rtl/>
        </w:rPr>
      </w:pPr>
    </w:p>
    <w:p w:rsidR="00523E38" w:rsidRDefault="00B10AD2" w:rsidP="00966152">
      <w:pPr>
        <w:numPr>
          <w:ilvl w:val="0"/>
          <w:numId w:val="1"/>
        </w:numPr>
        <w:spacing w:line="360" w:lineRule="auto"/>
        <w:contextualSpacing/>
        <w:jc w:val="both"/>
        <w:rPr>
          <w:rFonts w:ascii="Arial" w:hAnsi="Arial"/>
          <w:noProof w:val="0"/>
          <w:rtl/>
        </w:rPr>
      </w:pPr>
      <w:r>
        <w:rPr>
          <w:rFonts w:ascii="Arial" w:hAnsi="Arial" w:hint="cs"/>
          <w:noProof w:val="0"/>
          <w:rtl/>
        </w:rPr>
        <w:t>ביום 23.3.17 הגישה המשיבה בקשה לחיוב המבקשת בהפקדת ערובה להבטחת הוצאותיה בהתבסס על סעיף 35</w:t>
      </w:r>
      <w:r w:rsidR="009E381C">
        <w:rPr>
          <w:rFonts w:ascii="Arial" w:hAnsi="Arial" w:hint="cs"/>
          <w:noProof w:val="0"/>
          <w:rtl/>
        </w:rPr>
        <w:t>3</w:t>
      </w:r>
      <w:r>
        <w:rPr>
          <w:rFonts w:ascii="Arial" w:hAnsi="Arial" w:hint="cs"/>
          <w:noProof w:val="0"/>
          <w:rtl/>
        </w:rPr>
        <w:t xml:space="preserve">א לחוק החברות, התשנ"ט-1999 (להלן </w:t>
      </w:r>
      <w:r>
        <w:rPr>
          <w:rFonts w:ascii="Arial" w:hAnsi="Arial"/>
          <w:noProof w:val="0"/>
          <w:rtl/>
        </w:rPr>
        <w:t>–</w:t>
      </w:r>
      <w:r>
        <w:rPr>
          <w:rFonts w:ascii="Arial" w:hAnsi="Arial" w:hint="cs"/>
          <w:noProof w:val="0"/>
          <w:rtl/>
        </w:rPr>
        <w:t xml:space="preserve"> </w:t>
      </w:r>
      <w:r w:rsidRPr="00B10AD2">
        <w:rPr>
          <w:rFonts w:ascii="Arial" w:hAnsi="Arial" w:hint="cs"/>
          <w:b/>
          <w:bCs/>
          <w:noProof w:val="0"/>
          <w:rtl/>
        </w:rPr>
        <w:t>חוק החברות</w:t>
      </w:r>
      <w:r>
        <w:rPr>
          <w:rFonts w:ascii="Arial" w:hAnsi="Arial" w:hint="cs"/>
          <w:noProof w:val="0"/>
          <w:rtl/>
        </w:rPr>
        <w:t xml:space="preserve">). </w:t>
      </w:r>
      <w:r w:rsidR="00915699">
        <w:rPr>
          <w:rFonts w:ascii="Arial" w:hAnsi="Arial" w:hint="cs"/>
          <w:noProof w:val="0"/>
          <w:rtl/>
        </w:rPr>
        <w:t xml:space="preserve">בישיבת יום 17.9.17 דן בית-משפט קמא בבקשה, וזאת לאחר ששמע </w:t>
      </w:r>
      <w:r w:rsidR="008F4E9C">
        <w:rPr>
          <w:rFonts w:ascii="Arial" w:hAnsi="Arial" w:hint="cs"/>
          <w:noProof w:val="0"/>
          <w:rtl/>
        </w:rPr>
        <w:t xml:space="preserve">את עדותו של מר חיים עזריאל המשמש </w:t>
      </w:r>
      <w:r w:rsidR="000D559C">
        <w:rPr>
          <w:rFonts w:ascii="Arial" w:hAnsi="Arial" w:hint="cs"/>
          <w:noProof w:val="0"/>
          <w:rtl/>
        </w:rPr>
        <w:t>כמנהל הכספים של התובעת</w:t>
      </w:r>
      <w:r w:rsidR="00BE3084">
        <w:rPr>
          <w:rFonts w:ascii="Arial" w:hAnsi="Arial" w:hint="cs"/>
          <w:noProof w:val="0"/>
          <w:rtl/>
        </w:rPr>
        <w:t xml:space="preserve">. </w:t>
      </w:r>
    </w:p>
    <w:p w:rsidR="00523E38" w:rsidRPr="009E381C" w:rsidRDefault="00523E38" w:rsidP="00523E38">
      <w:pPr>
        <w:spacing w:line="360" w:lineRule="auto"/>
        <w:ind w:left="720" w:hanging="720"/>
        <w:jc w:val="both"/>
        <w:rPr>
          <w:rFonts w:ascii="Arial" w:hAnsi="Arial"/>
          <w:noProof w:val="0"/>
          <w:sz w:val="12"/>
          <w:szCs w:val="12"/>
          <w:rtl/>
        </w:rPr>
      </w:pPr>
    </w:p>
    <w:p w:rsidR="00411240" w:rsidRDefault="00BE3084" w:rsidP="00E23F68">
      <w:pPr>
        <w:numPr>
          <w:ilvl w:val="0"/>
          <w:numId w:val="1"/>
        </w:numPr>
        <w:spacing w:line="360" w:lineRule="auto"/>
        <w:contextualSpacing/>
        <w:jc w:val="both"/>
        <w:rPr>
          <w:rFonts w:ascii="Arial" w:hAnsi="Arial"/>
          <w:noProof w:val="0"/>
          <w:rtl/>
        </w:rPr>
      </w:pPr>
      <w:r>
        <w:rPr>
          <w:rFonts w:ascii="Arial" w:hAnsi="Arial" w:hint="cs"/>
          <w:noProof w:val="0"/>
          <w:rtl/>
        </w:rPr>
        <w:t xml:space="preserve">בהחלטתו מאותו </w:t>
      </w:r>
      <w:r w:rsidR="00A83A3C">
        <w:rPr>
          <w:rFonts w:ascii="Arial" w:hAnsi="Arial" w:hint="cs"/>
          <w:noProof w:val="0"/>
          <w:rtl/>
        </w:rPr>
        <w:t>ה</w:t>
      </w:r>
      <w:r>
        <w:rPr>
          <w:rFonts w:ascii="Arial" w:hAnsi="Arial" w:hint="cs"/>
          <w:noProof w:val="0"/>
          <w:rtl/>
        </w:rPr>
        <w:t xml:space="preserve">מועד קיבל </w:t>
      </w:r>
      <w:r w:rsidR="00A83A3C">
        <w:rPr>
          <w:rFonts w:ascii="Arial" w:hAnsi="Arial" w:hint="cs"/>
          <w:noProof w:val="0"/>
          <w:rtl/>
        </w:rPr>
        <w:t xml:space="preserve">בית-משפט קמא </w:t>
      </w:r>
      <w:r>
        <w:rPr>
          <w:rFonts w:ascii="Arial" w:hAnsi="Arial" w:hint="cs"/>
          <w:noProof w:val="0"/>
          <w:rtl/>
        </w:rPr>
        <w:t>את הבקשה</w:t>
      </w:r>
      <w:r w:rsidR="00A83A3C">
        <w:rPr>
          <w:rFonts w:ascii="Arial" w:hAnsi="Arial" w:hint="cs"/>
          <w:noProof w:val="0"/>
          <w:rtl/>
        </w:rPr>
        <w:t>,</w:t>
      </w:r>
      <w:r>
        <w:rPr>
          <w:rFonts w:ascii="Arial" w:hAnsi="Arial" w:hint="cs"/>
          <w:noProof w:val="0"/>
          <w:rtl/>
        </w:rPr>
        <w:t xml:space="preserve"> והורה כי </w:t>
      </w:r>
      <w:r w:rsidR="00E23F68">
        <w:rPr>
          <w:rFonts w:ascii="Arial" w:hAnsi="Arial" w:hint="cs"/>
          <w:noProof w:val="0"/>
          <w:rtl/>
        </w:rPr>
        <w:t>המבקשת</w:t>
      </w:r>
      <w:r>
        <w:rPr>
          <w:rFonts w:ascii="Arial" w:hAnsi="Arial" w:hint="cs"/>
          <w:noProof w:val="0"/>
          <w:rtl/>
        </w:rPr>
        <w:t xml:space="preserve"> תפקיד ע</w:t>
      </w:r>
      <w:r w:rsidR="00714E08">
        <w:rPr>
          <w:rFonts w:ascii="Arial" w:hAnsi="Arial" w:hint="cs"/>
          <w:noProof w:val="0"/>
          <w:rtl/>
        </w:rPr>
        <w:t>רובה</w:t>
      </w:r>
      <w:r>
        <w:rPr>
          <w:rFonts w:ascii="Arial" w:hAnsi="Arial" w:hint="cs"/>
          <w:noProof w:val="0"/>
          <w:rtl/>
        </w:rPr>
        <w:t xml:space="preserve"> בסך 40,000 ₪ עד ליום 1.11.17, שאם לא תעשה כן תידחה התביעה. בית-משפט קמא נימק החלטתו </w:t>
      </w:r>
      <w:r w:rsidR="009E381C">
        <w:rPr>
          <w:rFonts w:ascii="Arial" w:hAnsi="Arial" w:hint="cs"/>
          <w:noProof w:val="0"/>
          <w:rtl/>
        </w:rPr>
        <w:t xml:space="preserve">בכך </w:t>
      </w:r>
      <w:r w:rsidR="00E20E86">
        <w:rPr>
          <w:rFonts w:ascii="Arial" w:hAnsi="Arial" w:hint="cs"/>
          <w:noProof w:val="0"/>
          <w:rtl/>
        </w:rPr>
        <w:t>שמאחר שהמבקשת היא חברה בע"מ, לאור החזקה הקיימת בחוק החברות, עליה להוכיח</w:t>
      </w:r>
      <w:r w:rsidR="00D13FCF">
        <w:rPr>
          <w:rFonts w:ascii="Arial" w:hAnsi="Arial" w:hint="cs"/>
          <w:noProof w:val="0"/>
          <w:rtl/>
        </w:rPr>
        <w:t xml:space="preserve"> כי יש הצדקה לפטור אותה מהפקדת ערובה. </w:t>
      </w:r>
    </w:p>
    <w:p w:rsidR="00411240" w:rsidRPr="00411240" w:rsidRDefault="00411240" w:rsidP="00411240">
      <w:pPr>
        <w:spacing w:line="360" w:lineRule="auto"/>
        <w:ind w:left="720"/>
        <w:jc w:val="both"/>
        <w:rPr>
          <w:rFonts w:ascii="Arial" w:hAnsi="Arial"/>
          <w:noProof w:val="0"/>
          <w:sz w:val="12"/>
          <w:szCs w:val="12"/>
          <w:rtl/>
        </w:rPr>
      </w:pPr>
    </w:p>
    <w:p w:rsidR="00411240" w:rsidRDefault="00E20E86" w:rsidP="00E23F68">
      <w:pPr>
        <w:spacing w:line="360" w:lineRule="auto"/>
        <w:ind w:left="720"/>
        <w:jc w:val="both"/>
        <w:rPr>
          <w:rFonts w:ascii="Arial" w:hAnsi="Arial"/>
          <w:noProof w:val="0"/>
          <w:rtl/>
        </w:rPr>
      </w:pPr>
      <w:r>
        <w:rPr>
          <w:rFonts w:ascii="Arial" w:hAnsi="Arial" w:hint="cs"/>
          <w:noProof w:val="0"/>
          <w:rtl/>
        </w:rPr>
        <w:t>בית משפט קמע סבר</w:t>
      </w:r>
      <w:r w:rsidR="00E23F68">
        <w:rPr>
          <w:rFonts w:ascii="Arial" w:hAnsi="Arial" w:hint="cs"/>
          <w:noProof w:val="0"/>
          <w:rtl/>
        </w:rPr>
        <w:t>,</w:t>
      </w:r>
      <w:r>
        <w:rPr>
          <w:rFonts w:ascii="Arial" w:hAnsi="Arial" w:hint="cs"/>
          <w:noProof w:val="0"/>
          <w:rtl/>
        </w:rPr>
        <w:t xml:space="preserve"> כ</w:t>
      </w:r>
      <w:r w:rsidR="00411240">
        <w:rPr>
          <w:rFonts w:ascii="Arial" w:hAnsi="Arial" w:hint="cs"/>
          <w:noProof w:val="0"/>
          <w:rtl/>
        </w:rPr>
        <w:t xml:space="preserve">י המבקשת </w:t>
      </w:r>
      <w:r w:rsidR="00D13FCF">
        <w:rPr>
          <w:rFonts w:ascii="Arial" w:hAnsi="Arial" w:hint="cs"/>
          <w:noProof w:val="0"/>
          <w:rtl/>
        </w:rPr>
        <w:t>לא עמדה בנטל</w:t>
      </w:r>
      <w:r w:rsidR="001D6C82">
        <w:rPr>
          <w:rFonts w:ascii="Arial" w:hAnsi="Arial" w:hint="cs"/>
          <w:noProof w:val="0"/>
          <w:rtl/>
        </w:rPr>
        <w:t xml:space="preserve">, שכן מדובר בחברה לא פעילה, </w:t>
      </w:r>
      <w:r w:rsidR="00411240">
        <w:rPr>
          <w:rFonts w:ascii="Arial" w:hAnsi="Arial" w:hint="cs"/>
          <w:noProof w:val="0"/>
          <w:rtl/>
        </w:rPr>
        <w:t xml:space="preserve">אשר </w:t>
      </w:r>
      <w:r w:rsidR="001D6C82">
        <w:rPr>
          <w:rFonts w:ascii="Arial" w:hAnsi="Arial" w:hint="cs"/>
          <w:noProof w:val="0"/>
          <w:rtl/>
        </w:rPr>
        <w:t xml:space="preserve">אינה מעסיקה עובדים ויש לחברה חוב ניכר לרשם החברות אשר לא משולם משנת 2010. </w:t>
      </w:r>
      <w:r w:rsidR="00E23F68">
        <w:rPr>
          <w:rFonts w:ascii="Arial" w:hAnsi="Arial" w:hint="cs"/>
          <w:noProof w:val="0"/>
          <w:rtl/>
        </w:rPr>
        <w:t>המבקשת</w:t>
      </w:r>
      <w:r w:rsidR="001D6C82">
        <w:rPr>
          <w:rFonts w:ascii="Arial" w:hAnsi="Arial" w:hint="cs"/>
          <w:noProof w:val="0"/>
          <w:rtl/>
        </w:rPr>
        <w:t xml:space="preserve"> אף לא שילמה הוצאות שנפסקו במסגרת ההליכים בבית-משפט קמא. </w:t>
      </w:r>
      <w:r w:rsidR="00E708FC">
        <w:rPr>
          <w:rFonts w:ascii="Arial" w:hAnsi="Arial" w:hint="cs"/>
          <w:noProof w:val="0"/>
          <w:rtl/>
        </w:rPr>
        <w:t xml:space="preserve">בנוסף לכך, נימק בית-משפט קמא את החלטתו בכך שמדובר בחברה </w:t>
      </w:r>
      <w:r w:rsidR="00411240">
        <w:rPr>
          <w:rFonts w:ascii="Arial" w:hAnsi="Arial" w:hint="cs"/>
          <w:noProof w:val="0"/>
          <w:rtl/>
        </w:rPr>
        <w:t>שאחד מבעליה הוא</w:t>
      </w:r>
      <w:r w:rsidR="00273EC4">
        <w:rPr>
          <w:rFonts w:ascii="Arial" w:hAnsi="Arial" w:hint="cs"/>
          <w:noProof w:val="0"/>
          <w:rtl/>
        </w:rPr>
        <w:t xml:space="preserve"> תושב זר. </w:t>
      </w:r>
      <w:r w:rsidR="00411240">
        <w:rPr>
          <w:rFonts w:ascii="Arial" w:hAnsi="Arial" w:hint="cs"/>
          <w:noProof w:val="0"/>
          <w:rtl/>
        </w:rPr>
        <w:t xml:space="preserve">כן הוסיף ונימק </w:t>
      </w:r>
      <w:r w:rsidR="00411240">
        <w:rPr>
          <w:rFonts w:ascii="Arial" w:hAnsi="Arial" w:hint="cs"/>
          <w:noProof w:val="0"/>
          <w:rtl/>
        </w:rPr>
        <w:lastRenderedPageBreak/>
        <w:t>בית משפט קמא את החלטתו בכך שעסקינן בתביעה בסכום גבוה, בהליך מורכב אשר עשוי להידרש להגשת חוות-דעת, ושכר הטרחה הצפוי אינו נמוך. בית משפט קמא ציין ש</w:t>
      </w:r>
      <w:r w:rsidR="006E4D67">
        <w:rPr>
          <w:rFonts w:ascii="Arial" w:hAnsi="Arial" w:hint="cs"/>
          <w:noProof w:val="0"/>
          <w:rtl/>
        </w:rPr>
        <w:t xml:space="preserve">החלטתו נובעת אף </w:t>
      </w:r>
      <w:r w:rsidR="00F81A6C">
        <w:rPr>
          <w:rFonts w:ascii="Arial" w:hAnsi="Arial" w:hint="cs"/>
          <w:noProof w:val="0"/>
          <w:rtl/>
        </w:rPr>
        <w:t xml:space="preserve">בשל </w:t>
      </w:r>
      <w:r w:rsidR="006E4D67">
        <w:rPr>
          <w:rFonts w:ascii="Arial" w:hAnsi="Arial" w:hint="cs"/>
          <w:noProof w:val="0"/>
          <w:rtl/>
        </w:rPr>
        <w:t>סיכויי התביעה.</w:t>
      </w:r>
    </w:p>
    <w:p w:rsidR="006E4D67" w:rsidRPr="006E4D67" w:rsidRDefault="006E4D67" w:rsidP="006E4D67">
      <w:pPr>
        <w:spacing w:line="360" w:lineRule="auto"/>
        <w:ind w:left="720"/>
        <w:jc w:val="both"/>
        <w:rPr>
          <w:rFonts w:ascii="Arial" w:hAnsi="Arial"/>
          <w:noProof w:val="0"/>
          <w:sz w:val="12"/>
          <w:szCs w:val="12"/>
          <w:rtl/>
        </w:rPr>
      </w:pPr>
    </w:p>
    <w:p w:rsidR="00523E38" w:rsidRDefault="00273EC4" w:rsidP="00995125">
      <w:pPr>
        <w:spacing w:line="360" w:lineRule="auto"/>
        <w:ind w:left="720"/>
        <w:jc w:val="both"/>
        <w:rPr>
          <w:rFonts w:ascii="Arial" w:hAnsi="Arial"/>
          <w:noProof w:val="0"/>
          <w:rtl/>
        </w:rPr>
      </w:pPr>
      <w:r>
        <w:rPr>
          <w:rFonts w:ascii="Arial" w:hAnsi="Arial" w:hint="cs"/>
          <w:noProof w:val="0"/>
          <w:rtl/>
        </w:rPr>
        <w:t xml:space="preserve">בהתחשב </w:t>
      </w:r>
      <w:r w:rsidR="006E4D67">
        <w:rPr>
          <w:rFonts w:ascii="Arial" w:hAnsi="Arial" w:hint="cs"/>
          <w:noProof w:val="0"/>
          <w:rtl/>
        </w:rPr>
        <w:t>בכל אלה</w:t>
      </w:r>
      <w:r>
        <w:rPr>
          <w:rFonts w:ascii="Arial" w:hAnsi="Arial" w:hint="cs"/>
          <w:noProof w:val="0"/>
          <w:rtl/>
        </w:rPr>
        <w:t xml:space="preserve">, סבר בית-משפט קמא כי </w:t>
      </w:r>
      <w:r w:rsidR="00411240">
        <w:rPr>
          <w:rFonts w:ascii="Arial" w:hAnsi="Arial" w:hint="cs"/>
          <w:noProof w:val="0"/>
          <w:rtl/>
        </w:rPr>
        <w:t xml:space="preserve">יש מקום </w:t>
      </w:r>
      <w:r w:rsidR="00995125">
        <w:rPr>
          <w:rFonts w:ascii="Arial" w:hAnsi="Arial" w:hint="cs"/>
          <w:noProof w:val="0"/>
          <w:rtl/>
        </w:rPr>
        <w:t>לחייב את המבקשת בהפקדת ערובה</w:t>
      </w:r>
      <w:r w:rsidR="00411240">
        <w:rPr>
          <w:rFonts w:ascii="Arial" w:hAnsi="Arial" w:hint="cs"/>
          <w:noProof w:val="0"/>
          <w:rtl/>
        </w:rPr>
        <w:t xml:space="preserve">. </w:t>
      </w:r>
    </w:p>
    <w:p w:rsidR="00523E38" w:rsidRPr="00995125" w:rsidRDefault="00523E38" w:rsidP="00523E38">
      <w:pPr>
        <w:spacing w:line="360" w:lineRule="auto"/>
        <w:ind w:left="720" w:hanging="720"/>
        <w:jc w:val="both"/>
        <w:rPr>
          <w:rFonts w:ascii="Arial" w:hAnsi="Arial"/>
          <w:noProof w:val="0"/>
          <w:sz w:val="12"/>
          <w:szCs w:val="12"/>
          <w:rtl/>
        </w:rPr>
      </w:pPr>
    </w:p>
    <w:p w:rsidR="00523E38" w:rsidRDefault="0049643C" w:rsidP="00966152">
      <w:pPr>
        <w:numPr>
          <w:ilvl w:val="0"/>
          <w:numId w:val="1"/>
        </w:numPr>
        <w:spacing w:line="360" w:lineRule="auto"/>
        <w:contextualSpacing/>
        <w:jc w:val="both"/>
        <w:rPr>
          <w:rFonts w:ascii="Arial" w:hAnsi="Arial"/>
          <w:noProof w:val="0"/>
          <w:rtl/>
        </w:rPr>
      </w:pPr>
      <w:r>
        <w:rPr>
          <w:rFonts w:ascii="Arial" w:hAnsi="Arial" w:hint="cs"/>
          <w:noProof w:val="0"/>
          <w:rtl/>
        </w:rPr>
        <w:t>המבקשת ביקשה לעכב את ביצוע החלטה זו</w:t>
      </w:r>
      <w:r w:rsidR="00F81A6C">
        <w:rPr>
          <w:rFonts w:ascii="Arial" w:hAnsi="Arial" w:hint="cs"/>
          <w:noProof w:val="0"/>
          <w:rtl/>
        </w:rPr>
        <w:t>, אולם כ</w:t>
      </w:r>
      <w:r>
        <w:rPr>
          <w:rFonts w:ascii="Arial" w:hAnsi="Arial" w:hint="cs"/>
          <w:noProof w:val="0"/>
          <w:rtl/>
        </w:rPr>
        <w:t xml:space="preserve">ב' השופטת ג' כנפי-שטייניץ </w:t>
      </w:r>
      <w:r w:rsidR="00041CA5">
        <w:rPr>
          <w:rFonts w:ascii="Arial" w:hAnsi="Arial" w:hint="cs"/>
          <w:noProof w:val="0"/>
          <w:rtl/>
        </w:rPr>
        <w:t xml:space="preserve">החליטה ביום </w:t>
      </w:r>
      <w:r w:rsidR="009433A5">
        <w:rPr>
          <w:rFonts w:ascii="Arial" w:hAnsi="Arial" w:hint="cs"/>
          <w:noProof w:val="0"/>
          <w:rtl/>
        </w:rPr>
        <w:t>20</w:t>
      </w:r>
      <w:r w:rsidR="00041CA5">
        <w:rPr>
          <w:rFonts w:ascii="Arial" w:hAnsi="Arial" w:hint="cs"/>
          <w:noProof w:val="0"/>
          <w:rtl/>
        </w:rPr>
        <w:t>.</w:t>
      </w:r>
      <w:r w:rsidR="009433A5">
        <w:rPr>
          <w:rFonts w:ascii="Arial" w:hAnsi="Arial" w:hint="cs"/>
          <w:noProof w:val="0"/>
          <w:rtl/>
        </w:rPr>
        <w:t>12.17</w:t>
      </w:r>
      <w:r w:rsidR="00041CA5">
        <w:rPr>
          <w:rFonts w:ascii="Arial" w:hAnsi="Arial" w:hint="cs"/>
          <w:noProof w:val="0"/>
          <w:rtl/>
        </w:rPr>
        <w:t xml:space="preserve"> שלא להיעתר לבקשה</w:t>
      </w:r>
      <w:r w:rsidR="002E19A1">
        <w:rPr>
          <w:rFonts w:ascii="Arial" w:hAnsi="Arial" w:hint="cs"/>
          <w:noProof w:val="0"/>
          <w:rtl/>
        </w:rPr>
        <w:t xml:space="preserve">. </w:t>
      </w:r>
      <w:r w:rsidR="00995125">
        <w:rPr>
          <w:rFonts w:ascii="Arial" w:hAnsi="Arial" w:hint="cs"/>
          <w:noProof w:val="0"/>
          <w:rtl/>
        </w:rPr>
        <w:t>ביום 18.1.18 ניתנה למבקשת א</w:t>
      </w:r>
      <w:r w:rsidR="009433A5">
        <w:rPr>
          <w:rFonts w:ascii="Arial" w:hAnsi="Arial" w:hint="cs"/>
          <w:noProof w:val="0"/>
          <w:rtl/>
        </w:rPr>
        <w:t xml:space="preserve">רכה להפקדת הערובה, כאשר </w:t>
      </w:r>
      <w:r w:rsidR="00F81A6C">
        <w:rPr>
          <w:rFonts w:ascii="Arial" w:hAnsi="Arial" w:hint="cs"/>
          <w:noProof w:val="0"/>
          <w:rtl/>
        </w:rPr>
        <w:t xml:space="preserve">בד בבד ביקשה </w:t>
      </w:r>
      <w:r w:rsidR="009433A5">
        <w:rPr>
          <w:rFonts w:ascii="Arial" w:hAnsi="Arial" w:hint="cs"/>
          <w:noProof w:val="0"/>
          <w:rtl/>
        </w:rPr>
        <w:t xml:space="preserve">כב' השופטת </w:t>
      </w:r>
      <w:r w:rsidR="00F81A6C">
        <w:rPr>
          <w:rFonts w:ascii="Arial" w:hAnsi="Arial" w:hint="cs"/>
          <w:noProof w:val="0"/>
          <w:rtl/>
        </w:rPr>
        <w:t>כנפי-</w:t>
      </w:r>
      <w:r w:rsidR="009433A5">
        <w:rPr>
          <w:rFonts w:ascii="Arial" w:hAnsi="Arial" w:hint="cs"/>
          <w:noProof w:val="0"/>
          <w:rtl/>
        </w:rPr>
        <w:t>שטייניץ מב"כ המבקשת להודיע האם הוא עומד על בירור הבקשה לרשות ערעור או שניתן למוחקה. ה</w:t>
      </w:r>
      <w:r w:rsidR="005B1D91">
        <w:rPr>
          <w:rFonts w:ascii="Arial" w:hAnsi="Arial" w:hint="cs"/>
          <w:noProof w:val="0"/>
          <w:rtl/>
        </w:rPr>
        <w:t>מבקשת הגישה הודעה</w:t>
      </w:r>
      <w:r w:rsidR="00F81A6C">
        <w:rPr>
          <w:rFonts w:ascii="Arial" w:hAnsi="Arial" w:hint="cs"/>
          <w:noProof w:val="0"/>
          <w:rtl/>
        </w:rPr>
        <w:t xml:space="preserve"> על הפקדת הערובה ביום 25.1.18 ו</w:t>
      </w:r>
      <w:r w:rsidR="005B1D91">
        <w:rPr>
          <w:rFonts w:ascii="Arial" w:hAnsi="Arial" w:hint="cs"/>
          <w:noProof w:val="0"/>
          <w:rtl/>
        </w:rPr>
        <w:t>ציינה</w:t>
      </w:r>
      <w:r w:rsidR="00F81A6C">
        <w:rPr>
          <w:rFonts w:ascii="Arial" w:hAnsi="Arial" w:hint="cs"/>
          <w:noProof w:val="0"/>
          <w:rtl/>
        </w:rPr>
        <w:t xml:space="preserve"> </w:t>
      </w:r>
      <w:r w:rsidR="005B1D91">
        <w:rPr>
          <w:rFonts w:ascii="Arial" w:hAnsi="Arial" w:hint="cs"/>
          <w:noProof w:val="0"/>
          <w:rtl/>
        </w:rPr>
        <w:t xml:space="preserve">כי היא עומדת על בירור בקשת רשות הערעור. </w:t>
      </w:r>
    </w:p>
    <w:p w:rsidR="00BE3084" w:rsidRDefault="00BE3084" w:rsidP="00523E38">
      <w:pPr>
        <w:spacing w:line="360" w:lineRule="auto"/>
        <w:ind w:left="720" w:hanging="720"/>
        <w:jc w:val="both"/>
        <w:rPr>
          <w:rFonts w:ascii="Arial" w:hAnsi="Arial"/>
          <w:noProof w:val="0"/>
          <w:rtl/>
        </w:rPr>
      </w:pPr>
    </w:p>
    <w:p w:rsidR="005767D9" w:rsidRPr="005767D9" w:rsidRDefault="005767D9" w:rsidP="00523E38">
      <w:pPr>
        <w:spacing w:line="360" w:lineRule="auto"/>
        <w:ind w:left="720" w:hanging="720"/>
        <w:jc w:val="both"/>
        <w:rPr>
          <w:rFonts w:ascii="Arial" w:hAnsi="Arial"/>
          <w:b/>
          <w:bCs/>
          <w:noProof w:val="0"/>
          <w:u w:val="single"/>
          <w:rtl/>
        </w:rPr>
      </w:pPr>
      <w:r w:rsidRPr="005767D9">
        <w:rPr>
          <w:rFonts w:ascii="Arial" w:hAnsi="Arial" w:hint="cs"/>
          <w:b/>
          <w:bCs/>
          <w:noProof w:val="0"/>
          <w:u w:val="single"/>
          <w:rtl/>
        </w:rPr>
        <w:t>טענות הצדדים</w:t>
      </w:r>
    </w:p>
    <w:p w:rsidR="00F81A6C" w:rsidRDefault="000B2844" w:rsidP="00E23F68">
      <w:pPr>
        <w:numPr>
          <w:ilvl w:val="0"/>
          <w:numId w:val="1"/>
        </w:numPr>
        <w:spacing w:line="360" w:lineRule="auto"/>
        <w:contextualSpacing/>
        <w:jc w:val="both"/>
        <w:rPr>
          <w:rFonts w:ascii="Arial" w:hAnsi="Arial"/>
          <w:noProof w:val="0"/>
          <w:rtl/>
        </w:rPr>
      </w:pPr>
      <w:r>
        <w:rPr>
          <w:rFonts w:ascii="Arial" w:hAnsi="Arial" w:hint="cs"/>
          <w:noProof w:val="0"/>
          <w:rtl/>
        </w:rPr>
        <w:t xml:space="preserve">המבקשת </w:t>
      </w:r>
      <w:r w:rsidR="004618CC">
        <w:rPr>
          <w:rFonts w:ascii="Arial" w:hAnsi="Arial" w:hint="cs"/>
          <w:noProof w:val="0"/>
          <w:rtl/>
        </w:rPr>
        <w:t>טוענת</w:t>
      </w:r>
      <w:r w:rsidR="00E23F68">
        <w:rPr>
          <w:rFonts w:ascii="Arial" w:hAnsi="Arial" w:hint="cs"/>
          <w:noProof w:val="0"/>
          <w:rtl/>
        </w:rPr>
        <w:t>,</w:t>
      </w:r>
      <w:r w:rsidR="004618CC">
        <w:rPr>
          <w:rFonts w:ascii="Arial" w:hAnsi="Arial" w:hint="cs"/>
          <w:noProof w:val="0"/>
          <w:rtl/>
        </w:rPr>
        <w:t xml:space="preserve"> כי שגה בית-משפט קמא </w:t>
      </w:r>
      <w:r w:rsidR="00F6495C">
        <w:rPr>
          <w:rFonts w:ascii="Arial" w:hAnsi="Arial" w:hint="cs"/>
          <w:noProof w:val="0"/>
          <w:rtl/>
        </w:rPr>
        <w:t>שלא נתן משקל מספיק לסיכויי התביעה הגבוהים. עוד טוענת המבקשת כי שגה בית-המשפט קמא עת ביסס החלטתו על כך ש</w:t>
      </w:r>
      <w:r w:rsidR="00A84415">
        <w:rPr>
          <w:rFonts w:ascii="Arial" w:hAnsi="Arial" w:hint="cs"/>
          <w:noProof w:val="0"/>
          <w:rtl/>
        </w:rPr>
        <w:t>המבקשת לא שילמה הוצאות בסך 3,500 ₪, שכן לטענתה סכום זה לא שולם בשל משא ומתן שהתנהל בין הצדדים</w:t>
      </w:r>
      <w:r w:rsidR="00E23F68">
        <w:rPr>
          <w:rFonts w:ascii="Arial" w:hAnsi="Arial" w:hint="cs"/>
          <w:noProof w:val="0"/>
          <w:rtl/>
        </w:rPr>
        <w:t>.</w:t>
      </w:r>
      <w:r w:rsidR="00FD5856">
        <w:rPr>
          <w:rFonts w:ascii="Arial" w:hAnsi="Arial" w:hint="cs"/>
          <w:noProof w:val="0"/>
          <w:rtl/>
        </w:rPr>
        <w:t xml:space="preserve"> מכל מקום סכום זה לא שולם מאחר שהמבקשת </w:t>
      </w:r>
      <w:r w:rsidR="00F81A6C">
        <w:rPr>
          <w:rFonts w:ascii="Arial" w:hAnsi="Arial" w:hint="cs"/>
          <w:noProof w:val="0"/>
          <w:rtl/>
        </w:rPr>
        <w:t>צפויה ל</w:t>
      </w:r>
      <w:r w:rsidR="00FD5856">
        <w:rPr>
          <w:rFonts w:ascii="Arial" w:hAnsi="Arial" w:hint="cs"/>
          <w:noProof w:val="0"/>
          <w:rtl/>
        </w:rPr>
        <w:t xml:space="preserve">קזז סכום זה מהחובות שלדבריה חבה לה המשיבה. לגופו </w:t>
      </w:r>
      <w:r w:rsidR="00457472">
        <w:rPr>
          <w:rFonts w:ascii="Arial" w:hAnsi="Arial" w:hint="cs"/>
          <w:noProof w:val="0"/>
          <w:rtl/>
        </w:rPr>
        <w:t>של עניין טוענת המשיבה ש</w:t>
      </w:r>
      <w:r w:rsidR="00FD5856">
        <w:rPr>
          <w:rFonts w:ascii="Arial" w:hAnsi="Arial" w:hint="cs"/>
          <w:noProof w:val="0"/>
          <w:rtl/>
        </w:rPr>
        <w:t xml:space="preserve">שיקול זה של תשלום הוצאות לא </w:t>
      </w:r>
      <w:r w:rsidR="00457472">
        <w:rPr>
          <w:rFonts w:ascii="Arial" w:hAnsi="Arial" w:hint="cs"/>
          <w:noProof w:val="0"/>
          <w:rtl/>
        </w:rPr>
        <w:t xml:space="preserve">צריך להוביל למסקנה בדבר חיוב המבקשת בהפקדת ערובה. </w:t>
      </w:r>
    </w:p>
    <w:p w:rsidR="00F81A6C" w:rsidRPr="00F81A6C" w:rsidRDefault="00F81A6C" w:rsidP="00F81A6C">
      <w:pPr>
        <w:spacing w:line="360" w:lineRule="auto"/>
        <w:ind w:left="720"/>
        <w:jc w:val="both"/>
        <w:rPr>
          <w:rFonts w:ascii="Arial" w:hAnsi="Arial"/>
          <w:noProof w:val="0"/>
          <w:sz w:val="12"/>
          <w:szCs w:val="12"/>
          <w:rtl/>
        </w:rPr>
      </w:pPr>
    </w:p>
    <w:p w:rsidR="00A01B73" w:rsidRDefault="00457472" w:rsidP="00B86A6A">
      <w:pPr>
        <w:spacing w:line="360" w:lineRule="auto"/>
        <w:ind w:left="720"/>
        <w:jc w:val="both"/>
        <w:rPr>
          <w:rFonts w:ascii="Arial" w:hAnsi="Arial"/>
          <w:noProof w:val="0"/>
          <w:rtl/>
        </w:rPr>
      </w:pPr>
      <w:r>
        <w:rPr>
          <w:rFonts w:ascii="Arial" w:hAnsi="Arial" w:hint="cs"/>
          <w:noProof w:val="0"/>
          <w:rtl/>
        </w:rPr>
        <w:t>בנוסף טוענת המבקשת</w:t>
      </w:r>
      <w:r w:rsidR="00E23F68">
        <w:rPr>
          <w:rFonts w:ascii="Arial" w:hAnsi="Arial" w:hint="cs"/>
          <w:noProof w:val="0"/>
          <w:rtl/>
        </w:rPr>
        <w:t>,</w:t>
      </w:r>
      <w:r>
        <w:rPr>
          <w:rFonts w:ascii="Arial" w:hAnsi="Arial" w:hint="cs"/>
          <w:noProof w:val="0"/>
          <w:rtl/>
        </w:rPr>
        <w:t xml:space="preserve"> כי שגה בית-משפט קמא עת ביסס החלטתו על כך שלמבקשת חובות לרשם החברות</w:t>
      </w:r>
      <w:r w:rsidR="003248A6">
        <w:rPr>
          <w:rFonts w:ascii="Arial" w:hAnsi="Arial" w:hint="cs"/>
          <w:noProof w:val="0"/>
          <w:rtl/>
        </w:rPr>
        <w:t>. לטענתה</w:t>
      </w:r>
      <w:r w:rsidR="00E23F68">
        <w:rPr>
          <w:rFonts w:ascii="Arial" w:hAnsi="Arial" w:hint="cs"/>
          <w:noProof w:val="0"/>
          <w:rtl/>
        </w:rPr>
        <w:t>,</w:t>
      </w:r>
      <w:r w:rsidR="003248A6">
        <w:rPr>
          <w:rFonts w:ascii="Arial" w:hAnsi="Arial" w:hint="cs"/>
          <w:noProof w:val="0"/>
          <w:rtl/>
        </w:rPr>
        <w:t xml:space="preserve"> </w:t>
      </w:r>
      <w:r w:rsidR="00E01AD9">
        <w:rPr>
          <w:rFonts w:ascii="Arial" w:hAnsi="Arial" w:hint="cs"/>
          <w:noProof w:val="0"/>
          <w:rtl/>
        </w:rPr>
        <w:t>בית-</w:t>
      </w:r>
      <w:r w:rsidR="003248A6">
        <w:rPr>
          <w:rFonts w:ascii="Arial" w:hAnsi="Arial" w:hint="cs"/>
          <w:noProof w:val="0"/>
          <w:rtl/>
        </w:rPr>
        <w:t xml:space="preserve">משפט </w:t>
      </w:r>
      <w:r w:rsidR="00E01AD9">
        <w:rPr>
          <w:rFonts w:ascii="Arial" w:hAnsi="Arial" w:hint="cs"/>
          <w:noProof w:val="0"/>
          <w:rtl/>
        </w:rPr>
        <w:t xml:space="preserve">קמא </w:t>
      </w:r>
      <w:r w:rsidR="003248A6">
        <w:rPr>
          <w:rFonts w:ascii="Arial" w:hAnsi="Arial" w:hint="cs"/>
          <w:noProof w:val="0"/>
          <w:rtl/>
        </w:rPr>
        <w:t xml:space="preserve">התבסס על נסח רשם </w:t>
      </w:r>
      <w:r w:rsidR="00E01AD9">
        <w:rPr>
          <w:rFonts w:ascii="Arial" w:hAnsi="Arial" w:hint="cs"/>
          <w:noProof w:val="0"/>
          <w:rtl/>
        </w:rPr>
        <w:t>ה</w:t>
      </w:r>
      <w:r w:rsidR="003248A6">
        <w:rPr>
          <w:rFonts w:ascii="Arial" w:hAnsi="Arial" w:hint="cs"/>
          <w:noProof w:val="0"/>
          <w:rtl/>
        </w:rPr>
        <w:t>חברות</w:t>
      </w:r>
      <w:r w:rsidR="00E01AD9">
        <w:rPr>
          <w:rFonts w:ascii="Arial" w:hAnsi="Arial" w:hint="cs"/>
          <w:noProof w:val="0"/>
          <w:rtl/>
        </w:rPr>
        <w:t>,</w:t>
      </w:r>
      <w:r w:rsidR="003248A6">
        <w:rPr>
          <w:rFonts w:ascii="Arial" w:hAnsi="Arial" w:hint="cs"/>
          <w:noProof w:val="0"/>
          <w:rtl/>
        </w:rPr>
        <w:t xml:space="preserve"> אשר אינו יכול להוות </w:t>
      </w:r>
      <w:r w:rsidR="00B86A6A">
        <w:rPr>
          <w:rFonts w:ascii="Arial" w:hAnsi="Arial" w:hint="cs"/>
          <w:noProof w:val="0"/>
          <w:rtl/>
        </w:rPr>
        <w:t>ראיה</w:t>
      </w:r>
      <w:r w:rsidR="003248A6">
        <w:rPr>
          <w:rFonts w:ascii="Arial" w:hAnsi="Arial" w:hint="cs"/>
          <w:noProof w:val="0"/>
          <w:rtl/>
        </w:rPr>
        <w:t xml:space="preserve"> למצבה הכלכלי של חברה</w:t>
      </w:r>
      <w:r w:rsidR="00B86A6A">
        <w:rPr>
          <w:rFonts w:ascii="Arial" w:hAnsi="Arial" w:hint="cs"/>
          <w:noProof w:val="0"/>
          <w:rtl/>
        </w:rPr>
        <w:t>,</w:t>
      </w:r>
      <w:r w:rsidR="003248A6">
        <w:rPr>
          <w:rFonts w:ascii="Arial" w:hAnsi="Arial" w:hint="cs"/>
          <w:noProof w:val="0"/>
          <w:rtl/>
        </w:rPr>
        <w:t xml:space="preserve"> ויש צורך בהבאת ראיות </w:t>
      </w:r>
      <w:r w:rsidR="00E01AD9">
        <w:rPr>
          <w:rFonts w:ascii="Arial" w:hAnsi="Arial" w:hint="cs"/>
          <w:noProof w:val="0"/>
          <w:rtl/>
        </w:rPr>
        <w:t>ממשיות לעניין זה</w:t>
      </w:r>
      <w:r w:rsidR="00B86A6A">
        <w:rPr>
          <w:rFonts w:ascii="Arial" w:hAnsi="Arial" w:hint="cs"/>
          <w:noProof w:val="0"/>
          <w:rtl/>
        </w:rPr>
        <w:t>. בהקשר זה הוסיפה וטענה</w:t>
      </w:r>
      <w:r w:rsidR="00E23F68">
        <w:rPr>
          <w:rFonts w:ascii="Arial" w:hAnsi="Arial" w:hint="cs"/>
          <w:noProof w:val="0"/>
          <w:rtl/>
        </w:rPr>
        <w:t>,</w:t>
      </w:r>
      <w:r w:rsidR="00B86A6A">
        <w:rPr>
          <w:rFonts w:ascii="Arial" w:hAnsi="Arial" w:hint="cs"/>
          <w:noProof w:val="0"/>
          <w:rtl/>
        </w:rPr>
        <w:t xml:space="preserve"> כי</w:t>
      </w:r>
      <w:r w:rsidR="00E01AD9">
        <w:rPr>
          <w:rFonts w:ascii="Arial" w:hAnsi="Arial" w:hint="cs"/>
          <w:noProof w:val="0"/>
          <w:rtl/>
        </w:rPr>
        <w:t xml:space="preserve"> בתצהיר מטעם המבקשת הוצהר </w:t>
      </w:r>
      <w:r w:rsidR="00B86A6A">
        <w:rPr>
          <w:rFonts w:ascii="Arial" w:hAnsi="Arial" w:hint="cs"/>
          <w:noProof w:val="0"/>
          <w:rtl/>
        </w:rPr>
        <w:t>ש</w:t>
      </w:r>
      <w:r w:rsidR="00E01AD9">
        <w:rPr>
          <w:rFonts w:ascii="Arial" w:hAnsi="Arial" w:hint="cs"/>
          <w:noProof w:val="0"/>
          <w:rtl/>
        </w:rPr>
        <w:t>חובות אלה יוסדרו בהקדם</w:t>
      </w:r>
      <w:r w:rsidR="00A01B73">
        <w:rPr>
          <w:rFonts w:ascii="Arial" w:hAnsi="Arial" w:hint="cs"/>
          <w:noProof w:val="0"/>
          <w:rtl/>
        </w:rPr>
        <w:t>,</w:t>
      </w:r>
      <w:r w:rsidR="00E01AD9">
        <w:rPr>
          <w:rFonts w:ascii="Arial" w:hAnsi="Arial" w:hint="cs"/>
          <w:noProof w:val="0"/>
          <w:rtl/>
        </w:rPr>
        <w:t xml:space="preserve"> ועל כן לא היה מקום לזקוף עובדה זו לרעת המבקשת. </w:t>
      </w:r>
    </w:p>
    <w:p w:rsidR="00A01B73" w:rsidRPr="00A01B73" w:rsidRDefault="00A01B73" w:rsidP="00B86A6A">
      <w:pPr>
        <w:spacing w:line="360" w:lineRule="auto"/>
        <w:ind w:left="720"/>
        <w:jc w:val="both"/>
        <w:rPr>
          <w:rFonts w:ascii="Arial" w:hAnsi="Arial"/>
          <w:noProof w:val="0"/>
          <w:sz w:val="12"/>
          <w:szCs w:val="12"/>
          <w:rtl/>
        </w:rPr>
      </w:pPr>
    </w:p>
    <w:p w:rsidR="00A01B73" w:rsidRDefault="00E01AD9" w:rsidP="00A01B73">
      <w:pPr>
        <w:spacing w:line="360" w:lineRule="auto"/>
        <w:ind w:left="720"/>
        <w:jc w:val="both"/>
        <w:rPr>
          <w:rFonts w:ascii="Arial" w:hAnsi="Arial"/>
          <w:noProof w:val="0"/>
          <w:rtl/>
        </w:rPr>
      </w:pPr>
      <w:r>
        <w:rPr>
          <w:rFonts w:ascii="Arial" w:hAnsi="Arial" w:hint="cs"/>
          <w:noProof w:val="0"/>
          <w:rtl/>
        </w:rPr>
        <w:t>טענה נוספת של המבקשת היא</w:t>
      </w:r>
      <w:r w:rsidR="00E23F68">
        <w:rPr>
          <w:rFonts w:ascii="Arial" w:hAnsi="Arial" w:hint="cs"/>
          <w:noProof w:val="0"/>
          <w:rtl/>
        </w:rPr>
        <w:t>,</w:t>
      </w:r>
      <w:r>
        <w:rPr>
          <w:rFonts w:ascii="Arial" w:hAnsi="Arial" w:hint="cs"/>
          <w:noProof w:val="0"/>
          <w:rtl/>
        </w:rPr>
        <w:t xml:space="preserve"> כי בית-המשפט קמא שגה עת ביסס החלטתו על כך שהחברה לא מעסיקה כיום עובדים</w:t>
      </w:r>
      <w:r w:rsidR="00A01B73">
        <w:rPr>
          <w:rFonts w:ascii="Arial" w:hAnsi="Arial" w:hint="cs"/>
          <w:noProof w:val="0"/>
          <w:rtl/>
        </w:rPr>
        <w:t>.</w:t>
      </w:r>
      <w:r>
        <w:rPr>
          <w:rFonts w:ascii="Arial" w:hAnsi="Arial" w:hint="cs"/>
          <w:noProof w:val="0"/>
          <w:rtl/>
        </w:rPr>
        <w:t xml:space="preserve"> לדברי</w:t>
      </w:r>
      <w:r w:rsidR="00A01B73">
        <w:rPr>
          <w:rFonts w:ascii="Arial" w:hAnsi="Arial" w:hint="cs"/>
          <w:noProof w:val="0"/>
          <w:rtl/>
        </w:rPr>
        <w:t>ה</w:t>
      </w:r>
      <w:r w:rsidR="00E23F68">
        <w:rPr>
          <w:rFonts w:ascii="Arial" w:hAnsi="Arial" w:hint="cs"/>
          <w:noProof w:val="0"/>
          <w:rtl/>
        </w:rPr>
        <w:t>,</w:t>
      </w:r>
      <w:r>
        <w:rPr>
          <w:rFonts w:ascii="Arial" w:hAnsi="Arial" w:hint="cs"/>
          <w:noProof w:val="0"/>
          <w:rtl/>
        </w:rPr>
        <w:t xml:space="preserve"> אמנם החברה אינה מעסיקה עובדים, אך היא מטפלת בחוזים קיימים</w:t>
      </w:r>
      <w:r w:rsidR="00A01B73">
        <w:rPr>
          <w:rFonts w:ascii="Arial" w:hAnsi="Arial" w:hint="cs"/>
          <w:noProof w:val="0"/>
          <w:rtl/>
        </w:rPr>
        <w:t>,</w:t>
      </w:r>
      <w:r>
        <w:rPr>
          <w:rFonts w:ascii="Arial" w:hAnsi="Arial" w:hint="cs"/>
          <w:noProof w:val="0"/>
          <w:rtl/>
        </w:rPr>
        <w:t xml:space="preserve"> ומכאן שישנה פעילות לחברה ולכן לא ניתן היה להתבסס על </w:t>
      </w:r>
      <w:r w:rsidR="00A01B73">
        <w:rPr>
          <w:rFonts w:ascii="Arial" w:hAnsi="Arial" w:hint="cs"/>
          <w:noProof w:val="0"/>
          <w:rtl/>
        </w:rPr>
        <w:t>עובדה זו</w:t>
      </w:r>
      <w:r>
        <w:rPr>
          <w:rFonts w:ascii="Arial" w:hAnsi="Arial" w:hint="cs"/>
          <w:noProof w:val="0"/>
          <w:rtl/>
        </w:rPr>
        <w:t xml:space="preserve">. </w:t>
      </w:r>
    </w:p>
    <w:p w:rsidR="00A01B73" w:rsidRPr="00A01B73" w:rsidRDefault="00A01B73" w:rsidP="00A01B73">
      <w:pPr>
        <w:spacing w:line="360" w:lineRule="auto"/>
        <w:ind w:left="720"/>
        <w:jc w:val="both"/>
        <w:rPr>
          <w:rFonts w:ascii="Arial" w:hAnsi="Arial"/>
          <w:noProof w:val="0"/>
          <w:sz w:val="12"/>
          <w:szCs w:val="12"/>
          <w:rtl/>
        </w:rPr>
      </w:pPr>
    </w:p>
    <w:p w:rsidR="00A01B73" w:rsidRDefault="00A01B73" w:rsidP="00A01B73">
      <w:pPr>
        <w:spacing w:line="360" w:lineRule="auto"/>
        <w:ind w:left="720"/>
        <w:jc w:val="both"/>
        <w:rPr>
          <w:rFonts w:ascii="Arial" w:hAnsi="Arial"/>
          <w:noProof w:val="0"/>
          <w:rtl/>
        </w:rPr>
      </w:pPr>
      <w:r>
        <w:rPr>
          <w:rFonts w:ascii="Arial" w:hAnsi="Arial" w:hint="cs"/>
          <w:noProof w:val="0"/>
          <w:rtl/>
        </w:rPr>
        <w:t>כן טענה המבקשת</w:t>
      </w:r>
      <w:r w:rsidR="00AF18BF">
        <w:rPr>
          <w:rFonts w:ascii="Arial" w:hAnsi="Arial" w:hint="cs"/>
          <w:noProof w:val="0"/>
          <w:rtl/>
        </w:rPr>
        <w:t xml:space="preserve"> ששגה בית-משפט קמא עת </w:t>
      </w:r>
      <w:r>
        <w:rPr>
          <w:rFonts w:ascii="Arial" w:hAnsi="Arial" w:hint="cs"/>
          <w:noProof w:val="0"/>
          <w:rtl/>
        </w:rPr>
        <w:t>ביסס החלטתו</w:t>
      </w:r>
      <w:r w:rsidR="00AF18BF">
        <w:rPr>
          <w:rFonts w:ascii="Arial" w:hAnsi="Arial" w:hint="cs"/>
          <w:noProof w:val="0"/>
          <w:rtl/>
        </w:rPr>
        <w:t xml:space="preserve"> על הטעם ל</w:t>
      </w:r>
      <w:r>
        <w:rPr>
          <w:rFonts w:ascii="Arial" w:hAnsi="Arial" w:hint="cs"/>
          <w:noProof w:val="0"/>
          <w:rtl/>
        </w:rPr>
        <w:t>פיו אחד מבעלי המניות ה</w:t>
      </w:r>
      <w:r w:rsidR="00AF18BF">
        <w:rPr>
          <w:rFonts w:ascii="Arial" w:hAnsi="Arial" w:hint="cs"/>
          <w:noProof w:val="0"/>
          <w:rtl/>
        </w:rPr>
        <w:t>מבקשת הוא תושב זר, שכן שותפו הוא</w:t>
      </w:r>
      <w:r w:rsidR="00526D30">
        <w:rPr>
          <w:rFonts w:ascii="Arial" w:hAnsi="Arial" w:hint="cs"/>
          <w:noProof w:val="0"/>
          <w:rtl/>
        </w:rPr>
        <w:t xml:space="preserve"> חברת עורכי דין וותיקה ופעילה בישראל. </w:t>
      </w:r>
    </w:p>
    <w:p w:rsidR="00A01B73" w:rsidRPr="00A01B73" w:rsidRDefault="00A01B73" w:rsidP="00A01B73">
      <w:pPr>
        <w:spacing w:line="360" w:lineRule="auto"/>
        <w:ind w:left="720"/>
        <w:jc w:val="both"/>
        <w:rPr>
          <w:rFonts w:ascii="Arial" w:hAnsi="Arial"/>
          <w:noProof w:val="0"/>
          <w:sz w:val="12"/>
          <w:szCs w:val="12"/>
          <w:rtl/>
        </w:rPr>
      </w:pPr>
    </w:p>
    <w:p w:rsidR="00BE3084" w:rsidRDefault="00A519B4" w:rsidP="00A01B73">
      <w:pPr>
        <w:spacing w:line="360" w:lineRule="auto"/>
        <w:ind w:left="720"/>
        <w:jc w:val="both"/>
        <w:rPr>
          <w:rFonts w:ascii="Arial" w:hAnsi="Arial"/>
          <w:noProof w:val="0"/>
          <w:rtl/>
        </w:rPr>
      </w:pPr>
      <w:r>
        <w:rPr>
          <w:rFonts w:ascii="Arial" w:hAnsi="Arial" w:hint="cs"/>
          <w:noProof w:val="0"/>
          <w:rtl/>
        </w:rPr>
        <w:t>עו</w:t>
      </w:r>
      <w:r w:rsidR="00A01B73">
        <w:rPr>
          <w:rFonts w:ascii="Arial" w:hAnsi="Arial" w:hint="cs"/>
          <w:noProof w:val="0"/>
          <w:rtl/>
        </w:rPr>
        <w:t xml:space="preserve">ד </w:t>
      </w:r>
      <w:r>
        <w:rPr>
          <w:rFonts w:ascii="Arial" w:hAnsi="Arial" w:hint="cs"/>
          <w:noProof w:val="0"/>
          <w:rtl/>
        </w:rPr>
        <w:t>סבר</w:t>
      </w:r>
      <w:r w:rsidR="00A01B73">
        <w:rPr>
          <w:rFonts w:ascii="Arial" w:hAnsi="Arial" w:hint="cs"/>
          <w:noProof w:val="0"/>
          <w:rtl/>
        </w:rPr>
        <w:t>ה המבקשת</w:t>
      </w:r>
      <w:r w:rsidR="00E23F68">
        <w:rPr>
          <w:rFonts w:ascii="Arial" w:hAnsi="Arial" w:hint="cs"/>
          <w:noProof w:val="0"/>
          <w:rtl/>
        </w:rPr>
        <w:t>,</w:t>
      </w:r>
      <w:r>
        <w:rPr>
          <w:rFonts w:ascii="Arial" w:hAnsi="Arial" w:hint="cs"/>
          <w:noProof w:val="0"/>
          <w:rtl/>
        </w:rPr>
        <w:t xml:space="preserve"> כי בית-משפט קמא לא נתן דגש מספיק לכך שהבקשה </w:t>
      </w:r>
      <w:r w:rsidR="00E23F68">
        <w:rPr>
          <w:rFonts w:ascii="Arial" w:hAnsi="Arial" w:hint="cs"/>
          <w:noProof w:val="0"/>
          <w:rtl/>
        </w:rPr>
        <w:t xml:space="preserve">להפקדת ערובה </w:t>
      </w:r>
      <w:r>
        <w:rPr>
          <w:rFonts w:ascii="Arial" w:hAnsi="Arial" w:hint="cs"/>
          <w:noProof w:val="0"/>
          <w:rtl/>
        </w:rPr>
        <w:t xml:space="preserve">הוגשה בשיהוי ניכר </w:t>
      </w:r>
      <w:r w:rsidR="00AE077E">
        <w:rPr>
          <w:rFonts w:ascii="Arial" w:hAnsi="Arial" w:hint="cs"/>
          <w:noProof w:val="0"/>
          <w:rtl/>
        </w:rPr>
        <w:t xml:space="preserve">וללא תמיכה בתצהיר. </w:t>
      </w:r>
    </w:p>
    <w:p w:rsidR="00BE3084" w:rsidRDefault="00BE3084" w:rsidP="00523E38">
      <w:pPr>
        <w:spacing w:line="360" w:lineRule="auto"/>
        <w:ind w:left="720" w:hanging="720"/>
        <w:jc w:val="both"/>
        <w:rPr>
          <w:rFonts w:ascii="Arial" w:hAnsi="Arial"/>
          <w:noProof w:val="0"/>
          <w:rtl/>
        </w:rPr>
      </w:pPr>
    </w:p>
    <w:p w:rsidR="00BE3084" w:rsidRDefault="00B93DEB" w:rsidP="001972E9">
      <w:pPr>
        <w:spacing w:line="360" w:lineRule="auto"/>
        <w:ind w:left="720"/>
        <w:jc w:val="both"/>
        <w:rPr>
          <w:rFonts w:ascii="Arial" w:hAnsi="Arial"/>
          <w:noProof w:val="0"/>
          <w:rtl/>
        </w:rPr>
      </w:pPr>
      <w:r>
        <w:rPr>
          <w:rFonts w:ascii="Arial" w:hAnsi="Arial" w:hint="cs"/>
          <w:noProof w:val="0"/>
          <w:rtl/>
        </w:rPr>
        <w:lastRenderedPageBreak/>
        <w:t xml:space="preserve">נדבך נוסף לבקשה </w:t>
      </w:r>
      <w:r w:rsidR="00CB6FD8">
        <w:rPr>
          <w:rFonts w:ascii="Arial" w:hAnsi="Arial" w:hint="cs"/>
          <w:noProof w:val="0"/>
          <w:rtl/>
        </w:rPr>
        <w:t xml:space="preserve">מבוסס על כך שבית-משפט קמא לא דן בטענת הקיזוז </w:t>
      </w:r>
      <w:r w:rsidR="001972E9">
        <w:rPr>
          <w:rFonts w:ascii="Arial" w:hAnsi="Arial" w:hint="cs"/>
          <w:noProof w:val="0"/>
          <w:rtl/>
        </w:rPr>
        <w:t>,</w:t>
      </w:r>
      <w:r w:rsidR="001972E9" w:rsidRPr="001972E9">
        <w:rPr>
          <w:rFonts w:ascii="Arial" w:hAnsi="Arial" w:hint="cs"/>
          <w:noProof w:val="0"/>
          <w:rtl/>
        </w:rPr>
        <w:t xml:space="preserve"> </w:t>
      </w:r>
      <w:r w:rsidR="001972E9">
        <w:rPr>
          <w:rFonts w:ascii="Arial" w:hAnsi="Arial" w:hint="cs"/>
          <w:noProof w:val="0"/>
          <w:rtl/>
        </w:rPr>
        <w:t>ובטענת העיקול העצמי, אשר נטענו על יד המבקשת במסגרת תגובתה.</w:t>
      </w:r>
    </w:p>
    <w:p w:rsidR="001972E9" w:rsidRPr="001972E9" w:rsidRDefault="001972E9" w:rsidP="001972E9">
      <w:pPr>
        <w:spacing w:line="360" w:lineRule="auto"/>
        <w:jc w:val="both"/>
        <w:rPr>
          <w:rFonts w:ascii="Arial" w:hAnsi="Arial"/>
          <w:noProof w:val="0"/>
          <w:sz w:val="12"/>
          <w:szCs w:val="12"/>
          <w:rtl/>
        </w:rPr>
      </w:pPr>
    </w:p>
    <w:p w:rsidR="002E19A1" w:rsidRPr="009517E4" w:rsidRDefault="002E19A1" w:rsidP="00730D4F">
      <w:pPr>
        <w:spacing w:line="360" w:lineRule="auto"/>
        <w:jc w:val="both"/>
        <w:rPr>
          <w:rFonts w:ascii="Arial" w:hAnsi="Arial"/>
          <w:noProof w:val="0"/>
          <w:sz w:val="12"/>
          <w:szCs w:val="12"/>
          <w:rtl/>
        </w:rPr>
      </w:pPr>
    </w:p>
    <w:p w:rsidR="001972E9" w:rsidRDefault="00325632" w:rsidP="00966152">
      <w:pPr>
        <w:numPr>
          <w:ilvl w:val="0"/>
          <w:numId w:val="1"/>
        </w:numPr>
        <w:spacing w:line="360" w:lineRule="auto"/>
        <w:contextualSpacing/>
        <w:jc w:val="both"/>
        <w:rPr>
          <w:rFonts w:ascii="Arial" w:hAnsi="Arial"/>
          <w:noProof w:val="0"/>
          <w:rtl/>
        </w:rPr>
      </w:pPr>
      <w:r>
        <w:rPr>
          <w:rFonts w:ascii="Arial" w:hAnsi="Arial" w:hint="cs"/>
          <w:noProof w:val="0"/>
          <w:rtl/>
        </w:rPr>
        <w:t>מנגד</w:t>
      </w:r>
      <w:r w:rsidR="00E23F68">
        <w:rPr>
          <w:rFonts w:ascii="Arial" w:hAnsi="Arial" w:hint="cs"/>
          <w:noProof w:val="0"/>
          <w:rtl/>
        </w:rPr>
        <w:t>,</w:t>
      </w:r>
      <w:r>
        <w:rPr>
          <w:rFonts w:ascii="Arial" w:hAnsi="Arial" w:hint="cs"/>
          <w:noProof w:val="0"/>
          <w:rtl/>
        </w:rPr>
        <w:t xml:space="preserve"> טענה המשיבה בבית-משפט קמא</w:t>
      </w:r>
      <w:r w:rsidR="001972E9">
        <w:rPr>
          <w:rFonts w:ascii="Arial" w:hAnsi="Arial" w:hint="cs"/>
          <w:noProof w:val="0"/>
          <w:rtl/>
        </w:rPr>
        <w:t>,</w:t>
      </w:r>
      <w:r>
        <w:rPr>
          <w:rFonts w:ascii="Arial" w:hAnsi="Arial" w:hint="cs"/>
          <w:noProof w:val="0"/>
          <w:rtl/>
        </w:rPr>
        <w:t xml:space="preserve"> כי כאשר עסקינן בחברה בע"מ, קיימת חזקה לפיה יש לחייב</w:t>
      </w:r>
      <w:r w:rsidR="001972E9">
        <w:rPr>
          <w:rFonts w:ascii="Arial" w:hAnsi="Arial" w:hint="cs"/>
          <w:noProof w:val="0"/>
          <w:rtl/>
        </w:rPr>
        <w:t>ה בהמצאת ערובה ל</w:t>
      </w:r>
      <w:r>
        <w:rPr>
          <w:rFonts w:ascii="Arial" w:hAnsi="Arial" w:hint="cs"/>
          <w:noProof w:val="0"/>
          <w:rtl/>
        </w:rPr>
        <w:t>הוצאות</w:t>
      </w:r>
      <w:r w:rsidR="001972E9">
        <w:rPr>
          <w:rFonts w:ascii="Arial" w:hAnsi="Arial" w:hint="cs"/>
          <w:noProof w:val="0"/>
          <w:rtl/>
        </w:rPr>
        <w:t xml:space="preserve">יו של </w:t>
      </w:r>
      <w:r>
        <w:rPr>
          <w:rFonts w:ascii="Arial" w:hAnsi="Arial" w:hint="cs"/>
          <w:noProof w:val="0"/>
          <w:rtl/>
        </w:rPr>
        <w:t>תובע</w:t>
      </w:r>
      <w:r w:rsidR="001972E9">
        <w:rPr>
          <w:rFonts w:ascii="Arial" w:hAnsi="Arial" w:hint="cs"/>
          <w:noProof w:val="0"/>
          <w:rtl/>
        </w:rPr>
        <w:t>,</w:t>
      </w:r>
      <w:r>
        <w:rPr>
          <w:rFonts w:ascii="Arial" w:hAnsi="Arial" w:hint="cs"/>
          <w:noProof w:val="0"/>
          <w:rtl/>
        </w:rPr>
        <w:t xml:space="preserve"> ועלי</w:t>
      </w:r>
      <w:r w:rsidR="001972E9">
        <w:rPr>
          <w:rFonts w:ascii="Arial" w:hAnsi="Arial" w:hint="cs"/>
          <w:noProof w:val="0"/>
          <w:rtl/>
        </w:rPr>
        <w:t>ה</w:t>
      </w:r>
      <w:r>
        <w:rPr>
          <w:rFonts w:ascii="Arial" w:hAnsi="Arial" w:hint="cs"/>
          <w:noProof w:val="0"/>
          <w:rtl/>
        </w:rPr>
        <w:t xml:space="preserve"> </w:t>
      </w:r>
      <w:r w:rsidR="001972E9">
        <w:rPr>
          <w:rFonts w:ascii="Arial" w:hAnsi="Arial" w:hint="cs"/>
          <w:noProof w:val="0"/>
          <w:rtl/>
        </w:rPr>
        <w:t xml:space="preserve">מוטל </w:t>
      </w:r>
      <w:r>
        <w:rPr>
          <w:rFonts w:ascii="Arial" w:hAnsi="Arial" w:hint="cs"/>
          <w:noProof w:val="0"/>
          <w:rtl/>
        </w:rPr>
        <w:t>הנטל לסתור חזקה זו</w:t>
      </w:r>
      <w:r w:rsidR="00E0124F">
        <w:rPr>
          <w:rFonts w:ascii="Arial" w:hAnsi="Arial" w:hint="cs"/>
          <w:noProof w:val="0"/>
          <w:rtl/>
        </w:rPr>
        <w:t>. לדידה,</w:t>
      </w:r>
      <w:r w:rsidR="005575C8">
        <w:rPr>
          <w:rFonts w:ascii="Arial" w:hAnsi="Arial" w:hint="cs"/>
          <w:noProof w:val="0"/>
          <w:rtl/>
        </w:rPr>
        <w:t xml:space="preserve"> המבקשת לא סתרה את החזקה, שכן ל</w:t>
      </w:r>
      <w:r w:rsidR="00E0124F">
        <w:rPr>
          <w:rFonts w:ascii="Arial" w:hAnsi="Arial" w:hint="cs"/>
          <w:noProof w:val="0"/>
          <w:rtl/>
        </w:rPr>
        <w:t>א הוגשו דו"חות כספיים של החברה, לא הוגשו ראיות המלמדות על נכסים ש</w:t>
      </w:r>
      <w:r w:rsidR="005575C8">
        <w:rPr>
          <w:rFonts w:ascii="Arial" w:hAnsi="Arial" w:hint="cs"/>
          <w:noProof w:val="0"/>
          <w:rtl/>
        </w:rPr>
        <w:t xml:space="preserve">ל החברה, מדובר בחברה ללא עובדים וללא מנכ"ל, אחד מבעלי המניות כלל אינו מתגורר בארץ והפעם האחרונה ששהה בישראל </w:t>
      </w:r>
      <w:r w:rsidR="00EA29D8">
        <w:rPr>
          <w:rFonts w:ascii="Arial" w:hAnsi="Arial" w:hint="cs"/>
          <w:noProof w:val="0"/>
          <w:rtl/>
        </w:rPr>
        <w:t>הייתה ב-2013,</w:t>
      </w:r>
      <w:r w:rsidR="005575C8">
        <w:rPr>
          <w:rFonts w:ascii="Arial" w:hAnsi="Arial" w:hint="cs"/>
          <w:noProof w:val="0"/>
          <w:rtl/>
        </w:rPr>
        <w:t xml:space="preserve"> </w:t>
      </w:r>
      <w:r w:rsidR="00EA29D8">
        <w:rPr>
          <w:rFonts w:ascii="Arial" w:hAnsi="Arial" w:hint="cs"/>
          <w:noProof w:val="0"/>
          <w:rtl/>
        </w:rPr>
        <w:t xml:space="preserve">מדובר בחברה שלא שילמה אגרה לרשם החברות. </w:t>
      </w:r>
    </w:p>
    <w:p w:rsidR="001972E9" w:rsidRPr="001972E9" w:rsidRDefault="001972E9" w:rsidP="001972E9">
      <w:pPr>
        <w:spacing w:line="360" w:lineRule="auto"/>
        <w:jc w:val="both"/>
        <w:rPr>
          <w:rFonts w:ascii="Arial" w:hAnsi="Arial"/>
          <w:noProof w:val="0"/>
          <w:sz w:val="12"/>
          <w:szCs w:val="12"/>
          <w:rtl/>
        </w:rPr>
      </w:pPr>
    </w:p>
    <w:p w:rsidR="00966152" w:rsidRDefault="00EA29D8" w:rsidP="001972E9">
      <w:pPr>
        <w:spacing w:line="360" w:lineRule="auto"/>
        <w:ind w:left="720"/>
        <w:jc w:val="both"/>
        <w:rPr>
          <w:rFonts w:ascii="Arial" w:hAnsi="Arial"/>
          <w:noProof w:val="0"/>
          <w:rtl/>
        </w:rPr>
      </w:pPr>
      <w:r>
        <w:rPr>
          <w:rFonts w:ascii="Arial" w:hAnsi="Arial" w:hint="cs"/>
          <w:noProof w:val="0"/>
          <w:rtl/>
        </w:rPr>
        <w:t>אשר לסיכויי התביעה טענה המשיבה</w:t>
      </w:r>
      <w:r w:rsidR="00E23F68">
        <w:rPr>
          <w:rFonts w:ascii="Arial" w:hAnsi="Arial" w:hint="cs"/>
          <w:noProof w:val="0"/>
          <w:rtl/>
        </w:rPr>
        <w:t>,</w:t>
      </w:r>
      <w:r>
        <w:rPr>
          <w:rFonts w:ascii="Arial" w:hAnsi="Arial" w:hint="cs"/>
          <w:noProof w:val="0"/>
          <w:rtl/>
        </w:rPr>
        <w:t xml:space="preserve"> כי מדובר בתביעה דלה הנסמכת על </w:t>
      </w:r>
      <w:r w:rsidR="001972E9">
        <w:rPr>
          <w:rFonts w:ascii="Arial" w:hAnsi="Arial" w:hint="cs"/>
          <w:noProof w:val="0"/>
          <w:rtl/>
        </w:rPr>
        <w:t>כ</w:t>
      </w:r>
      <w:r>
        <w:rPr>
          <w:rFonts w:ascii="Arial" w:hAnsi="Arial" w:hint="cs"/>
          <w:noProof w:val="0"/>
          <w:rtl/>
        </w:rPr>
        <w:t xml:space="preserve">רעי תרנגולת. </w:t>
      </w:r>
    </w:p>
    <w:p w:rsidR="00966152" w:rsidRPr="00966152" w:rsidRDefault="00966152" w:rsidP="001972E9">
      <w:pPr>
        <w:spacing w:line="360" w:lineRule="auto"/>
        <w:ind w:left="720"/>
        <w:jc w:val="both"/>
        <w:rPr>
          <w:rFonts w:ascii="Arial" w:hAnsi="Arial"/>
          <w:noProof w:val="0"/>
          <w:sz w:val="12"/>
          <w:szCs w:val="12"/>
          <w:rtl/>
        </w:rPr>
      </w:pPr>
    </w:p>
    <w:p w:rsidR="001972E9" w:rsidRDefault="00EA29D8" w:rsidP="00E23F68">
      <w:pPr>
        <w:spacing w:line="360" w:lineRule="auto"/>
        <w:ind w:left="720"/>
        <w:jc w:val="both"/>
        <w:rPr>
          <w:rFonts w:ascii="Arial" w:hAnsi="Arial"/>
          <w:noProof w:val="0"/>
          <w:rtl/>
        </w:rPr>
      </w:pPr>
      <w:r>
        <w:rPr>
          <w:rFonts w:ascii="Arial" w:hAnsi="Arial" w:hint="cs"/>
          <w:noProof w:val="0"/>
          <w:rtl/>
        </w:rPr>
        <w:t xml:space="preserve">אשר לשיהוי בהגשת הבקשה להפקדת עירבון טענה המשיבה כי </w:t>
      </w:r>
      <w:r w:rsidR="00E838C5">
        <w:rPr>
          <w:rFonts w:ascii="Arial" w:hAnsi="Arial" w:hint="cs"/>
          <w:noProof w:val="0"/>
          <w:rtl/>
        </w:rPr>
        <w:t xml:space="preserve">הדבר נבע מכך שבחלק מהזמן הייתה </w:t>
      </w:r>
      <w:r w:rsidR="00E23F68">
        <w:rPr>
          <w:rFonts w:ascii="Arial" w:hAnsi="Arial" w:hint="cs"/>
          <w:noProof w:val="0"/>
          <w:rtl/>
        </w:rPr>
        <w:t xml:space="preserve">המשיבה </w:t>
      </w:r>
      <w:r w:rsidR="00E838C5">
        <w:rPr>
          <w:rFonts w:ascii="Arial" w:hAnsi="Arial" w:hint="cs"/>
          <w:noProof w:val="0"/>
          <w:rtl/>
        </w:rPr>
        <w:t>בהליך של הקפאת הליכים שבמ</w:t>
      </w:r>
      <w:r w:rsidR="00966152">
        <w:rPr>
          <w:rFonts w:ascii="Arial" w:hAnsi="Arial" w:hint="cs"/>
          <w:noProof w:val="0"/>
          <w:rtl/>
        </w:rPr>
        <w:t>הלכו התקיים משא ומתן בין הצדדים. כן</w:t>
      </w:r>
      <w:r w:rsidR="00E838C5">
        <w:rPr>
          <w:rFonts w:ascii="Arial" w:hAnsi="Arial" w:hint="cs"/>
          <w:noProof w:val="0"/>
          <w:rtl/>
        </w:rPr>
        <w:t xml:space="preserve"> מדובר בתיק שנמחק פעמיים לבקשת ה</w:t>
      </w:r>
      <w:r w:rsidR="00E23F68">
        <w:rPr>
          <w:rFonts w:ascii="Arial" w:hAnsi="Arial" w:hint="cs"/>
          <w:noProof w:val="0"/>
          <w:rtl/>
        </w:rPr>
        <w:t>מבקשת</w:t>
      </w:r>
      <w:r w:rsidR="00966152">
        <w:rPr>
          <w:rFonts w:ascii="Arial" w:hAnsi="Arial" w:hint="cs"/>
          <w:noProof w:val="0"/>
          <w:rtl/>
        </w:rPr>
        <w:t>,</w:t>
      </w:r>
      <w:r w:rsidR="000E7EE8">
        <w:rPr>
          <w:rFonts w:ascii="Arial" w:hAnsi="Arial" w:hint="cs"/>
          <w:noProof w:val="0"/>
          <w:rtl/>
        </w:rPr>
        <w:t xml:space="preserve"> והבקשה להפקדת ערובה להוצאות הוגשה לאחר שבית-משפט קמא נתן החלטה על קדם משפט ראשון</w:t>
      </w:r>
      <w:r w:rsidR="007629B4">
        <w:rPr>
          <w:rFonts w:ascii="Arial" w:hAnsi="Arial" w:hint="cs"/>
          <w:noProof w:val="0"/>
          <w:rtl/>
        </w:rPr>
        <w:t>.</w:t>
      </w:r>
    </w:p>
    <w:p w:rsidR="001972E9" w:rsidRPr="001972E9" w:rsidRDefault="001972E9" w:rsidP="001972E9">
      <w:pPr>
        <w:spacing w:line="360" w:lineRule="auto"/>
        <w:ind w:left="720"/>
        <w:jc w:val="both"/>
        <w:rPr>
          <w:rFonts w:ascii="Arial" w:hAnsi="Arial"/>
          <w:noProof w:val="0"/>
          <w:sz w:val="12"/>
          <w:szCs w:val="12"/>
          <w:rtl/>
        </w:rPr>
      </w:pPr>
    </w:p>
    <w:p w:rsidR="002E19A1" w:rsidRDefault="00E23F68" w:rsidP="00E23F68">
      <w:pPr>
        <w:spacing w:line="360" w:lineRule="auto"/>
        <w:ind w:left="720"/>
        <w:jc w:val="both"/>
        <w:rPr>
          <w:rFonts w:ascii="Arial" w:hAnsi="Arial"/>
          <w:noProof w:val="0"/>
          <w:rtl/>
        </w:rPr>
      </w:pPr>
      <w:r>
        <w:rPr>
          <w:rFonts w:ascii="Arial" w:hAnsi="Arial" w:hint="cs"/>
          <w:noProof w:val="0"/>
          <w:rtl/>
        </w:rPr>
        <w:t xml:space="preserve">אשר לטענת עיקול עצמי והקיזוז, </w:t>
      </w:r>
      <w:r w:rsidR="007629B4">
        <w:rPr>
          <w:rFonts w:ascii="Arial" w:hAnsi="Arial" w:hint="cs"/>
          <w:noProof w:val="0"/>
          <w:rtl/>
        </w:rPr>
        <w:t xml:space="preserve"> ראשית טענה המשיבה </w:t>
      </w:r>
      <w:r w:rsidR="004446E7">
        <w:rPr>
          <w:rFonts w:ascii="Arial" w:hAnsi="Arial" w:hint="cs"/>
          <w:noProof w:val="0"/>
          <w:rtl/>
        </w:rPr>
        <w:t xml:space="preserve">כי </w:t>
      </w:r>
      <w:r w:rsidR="007629B4">
        <w:rPr>
          <w:rFonts w:ascii="Arial" w:hAnsi="Arial" w:hint="cs"/>
          <w:noProof w:val="0"/>
          <w:rtl/>
        </w:rPr>
        <w:t xml:space="preserve">טענות אלה לא נתמכו בתצהיר. </w:t>
      </w:r>
      <w:r w:rsidR="008D57E4">
        <w:rPr>
          <w:rFonts w:ascii="Arial" w:hAnsi="Arial" w:hint="cs"/>
          <w:noProof w:val="0"/>
          <w:rtl/>
        </w:rPr>
        <w:t>שנית, טענה כי הפסיקה המדברת על עיקול עצמי או קיזוז עוסקת במקרים בהם קיים חוב מוכח בעוד שבענייננו אין מדובר בחוב מוכח אלא בטענה לתביעת חוב</w:t>
      </w:r>
      <w:r w:rsidR="008878E7">
        <w:rPr>
          <w:rFonts w:ascii="Arial" w:hAnsi="Arial" w:hint="cs"/>
          <w:noProof w:val="0"/>
          <w:rtl/>
        </w:rPr>
        <w:t xml:space="preserve">. </w:t>
      </w:r>
    </w:p>
    <w:p w:rsidR="00966152" w:rsidRDefault="00966152" w:rsidP="001972E9">
      <w:pPr>
        <w:spacing w:line="360" w:lineRule="auto"/>
        <w:ind w:left="720"/>
        <w:jc w:val="both"/>
        <w:rPr>
          <w:rFonts w:ascii="Arial" w:hAnsi="Arial"/>
          <w:noProof w:val="0"/>
          <w:rtl/>
        </w:rPr>
      </w:pPr>
    </w:p>
    <w:p w:rsidR="00966152" w:rsidRDefault="00966152" w:rsidP="00966152">
      <w:pPr>
        <w:spacing w:line="360" w:lineRule="auto"/>
        <w:ind w:left="360"/>
        <w:jc w:val="both"/>
        <w:rPr>
          <w:rFonts w:asciiTheme="minorHAnsi" w:hAnsiTheme="minorHAnsi"/>
          <w:b/>
          <w:bCs/>
          <w:noProof w:val="0"/>
          <w:u w:val="single"/>
        </w:rPr>
      </w:pPr>
      <w:r>
        <w:rPr>
          <w:rFonts w:asciiTheme="minorHAnsi" w:hAnsiTheme="minorHAnsi" w:hint="cs"/>
          <w:b/>
          <w:bCs/>
          <w:noProof w:val="0"/>
          <w:u w:val="single"/>
          <w:rtl/>
        </w:rPr>
        <w:t>דיון והכרעה</w:t>
      </w:r>
    </w:p>
    <w:p w:rsidR="00966152" w:rsidRPr="00FF591C" w:rsidRDefault="00966152" w:rsidP="00086FCB">
      <w:pPr>
        <w:numPr>
          <w:ilvl w:val="0"/>
          <w:numId w:val="1"/>
        </w:numPr>
        <w:spacing w:line="360" w:lineRule="auto"/>
        <w:contextualSpacing/>
        <w:jc w:val="both"/>
        <w:rPr>
          <w:rFonts w:ascii="Arial" w:hAnsi="Arial"/>
          <w:noProof w:val="0"/>
        </w:rPr>
      </w:pPr>
      <w:r w:rsidRPr="00FF591C">
        <w:rPr>
          <w:rFonts w:ascii="Arial" w:hAnsi="Arial" w:hint="cs"/>
          <w:noProof w:val="0"/>
          <w:rtl/>
        </w:rPr>
        <w:t>לאחר שעיינתי בבקשה, ו</w:t>
      </w:r>
      <w:r w:rsidR="00086FCB">
        <w:rPr>
          <w:rFonts w:ascii="Arial" w:hAnsi="Arial" w:hint="cs"/>
          <w:noProof w:val="0"/>
          <w:rtl/>
        </w:rPr>
        <w:t>בהחלטת</w:t>
      </w:r>
      <w:r w:rsidRPr="00FF591C">
        <w:rPr>
          <w:rFonts w:ascii="Arial" w:hAnsi="Arial" w:hint="cs"/>
          <w:noProof w:val="0"/>
          <w:rtl/>
        </w:rPr>
        <w:t xml:space="preserve"> בית משפט קמא,</w:t>
      </w:r>
      <w:r w:rsidR="00086FCB">
        <w:rPr>
          <w:rFonts w:ascii="Arial" w:hAnsi="Arial" w:hint="cs"/>
          <w:noProof w:val="0"/>
          <w:rtl/>
        </w:rPr>
        <w:t xml:space="preserve"> </w:t>
      </w:r>
      <w:r w:rsidRPr="00FF591C">
        <w:rPr>
          <w:rFonts w:ascii="Arial" w:hAnsi="Arial" w:hint="cs"/>
          <w:noProof w:val="0"/>
          <w:rtl/>
        </w:rPr>
        <w:t>אני סבורה כי לא נפל פגם בהחלטת בית משפט קמא, מהטעמים שיפורטו להלן.</w:t>
      </w:r>
    </w:p>
    <w:p w:rsidR="00966152" w:rsidRDefault="00966152" w:rsidP="00966152">
      <w:pPr>
        <w:spacing w:before="120" w:after="120" w:line="360" w:lineRule="auto"/>
        <w:ind w:left="720"/>
        <w:contextualSpacing/>
        <w:jc w:val="both"/>
        <w:rPr>
          <w:rFonts w:asciiTheme="minorHAnsi" w:hAnsiTheme="minorHAnsi"/>
          <w:noProof w:val="0"/>
          <w:sz w:val="12"/>
          <w:szCs w:val="12"/>
          <w:u w:val="single"/>
          <w:rtl/>
        </w:rPr>
      </w:pPr>
    </w:p>
    <w:p w:rsidR="00966152" w:rsidRPr="00966152" w:rsidRDefault="00966152" w:rsidP="00966152">
      <w:pPr>
        <w:numPr>
          <w:ilvl w:val="0"/>
          <w:numId w:val="1"/>
        </w:numPr>
        <w:spacing w:before="120" w:after="120" w:line="360" w:lineRule="auto"/>
        <w:contextualSpacing/>
        <w:jc w:val="both"/>
        <w:rPr>
          <w:rFonts w:ascii="Arial" w:hAnsi="Arial"/>
          <w:noProof w:val="0"/>
          <w:lang w:eastAsia="he-IL"/>
        </w:rPr>
      </w:pPr>
      <w:r w:rsidRPr="00966152">
        <w:rPr>
          <w:rFonts w:ascii="Arial" w:hAnsi="Arial" w:hint="cs"/>
          <w:noProof w:val="0"/>
          <w:rtl/>
        </w:rPr>
        <w:t xml:space="preserve">מקור חיובה של חברה תובעת אשר אחריות בעלי המניות בה מוגבלת, במתן ערובה להבטחת הוצאותיו של הנתבע בתובענה, </w:t>
      </w:r>
      <w:r w:rsidRPr="00FF591C">
        <w:rPr>
          <w:rFonts w:ascii="Arial" w:hAnsi="Arial" w:hint="cs"/>
          <w:noProof w:val="0"/>
          <w:rtl/>
        </w:rPr>
        <w:t xml:space="preserve">בהוראת סעיף </w:t>
      </w:r>
      <w:hyperlink r:id="rId8" w:history="1">
        <w:r w:rsidRPr="00FF591C">
          <w:rPr>
            <w:rFonts w:hint="cs"/>
            <w:rtl/>
          </w:rPr>
          <w:t xml:space="preserve">353א </w:t>
        </w:r>
      </w:hyperlink>
      <w:r w:rsidRPr="00FF591C">
        <w:rPr>
          <w:rFonts w:ascii="Arial" w:hAnsi="Arial" w:hint="cs"/>
          <w:noProof w:val="0"/>
          <w:rtl/>
        </w:rPr>
        <w:t>ל</w:t>
      </w:r>
      <w:hyperlink r:id="rId9" w:history="1">
        <w:r w:rsidRPr="00FF591C">
          <w:rPr>
            <w:rFonts w:hint="cs"/>
            <w:rtl/>
          </w:rPr>
          <w:t>חוק החברות</w:t>
        </w:r>
      </w:hyperlink>
      <w:r w:rsidRPr="00966152">
        <w:rPr>
          <w:rFonts w:ascii="Arial" w:hAnsi="Arial" w:hint="cs"/>
          <w:noProof w:val="0"/>
          <w:rtl/>
        </w:rPr>
        <w:t xml:space="preserve"> הקובע</w:t>
      </w:r>
      <w:r w:rsidRPr="00966152">
        <w:rPr>
          <w:rFonts w:ascii="Arial" w:hAnsi="Arial" w:hint="cs"/>
          <w:noProof w:val="0"/>
          <w:rtl/>
          <w:lang w:eastAsia="he-IL"/>
        </w:rPr>
        <w:t>:</w:t>
      </w:r>
    </w:p>
    <w:p w:rsidR="00966152" w:rsidRPr="00966152" w:rsidRDefault="00966152" w:rsidP="00966152">
      <w:pPr>
        <w:spacing w:before="120" w:after="120" w:line="360" w:lineRule="auto"/>
        <w:ind w:left="720"/>
        <w:contextualSpacing/>
        <w:jc w:val="both"/>
        <w:rPr>
          <w:rFonts w:ascii="Arial" w:hAnsi="Arial"/>
          <w:noProof w:val="0"/>
          <w:sz w:val="12"/>
          <w:szCs w:val="12"/>
          <w:lang w:eastAsia="he-IL"/>
        </w:rPr>
      </w:pPr>
    </w:p>
    <w:p w:rsidR="00966152" w:rsidRDefault="00966152" w:rsidP="00966152">
      <w:pPr>
        <w:spacing w:after="160" w:line="360" w:lineRule="auto"/>
        <w:ind w:left="1360" w:right="567" w:hanging="1360"/>
        <w:jc w:val="both"/>
        <w:rPr>
          <w:rFonts w:ascii="Arial" w:hAnsi="Arial"/>
          <w:b/>
          <w:bCs/>
          <w:noProof w:val="0"/>
          <w:lang w:eastAsia="he-IL"/>
        </w:rPr>
      </w:pPr>
      <w:r w:rsidRPr="00966152">
        <w:rPr>
          <w:rFonts w:ascii="Arial" w:hAnsi="Arial" w:hint="cs"/>
          <w:noProof w:val="0"/>
          <w:rtl/>
          <w:lang w:eastAsia="he-IL"/>
        </w:rPr>
        <w:tab/>
      </w:r>
      <w:r w:rsidRPr="00966152">
        <w:rPr>
          <w:rFonts w:ascii="Arial" w:hAnsi="Arial" w:hint="cs"/>
          <w:b/>
          <w:bCs/>
          <w:noProof w:val="0"/>
          <w:rtl/>
          <w:lang w:eastAsia="he-IL"/>
        </w:rPr>
        <w:t>"הוגשה לבית משפט תביעה על ידי חברה או חברת חוץ</w:t>
      </w:r>
      <w:r>
        <w:rPr>
          <w:rFonts w:ascii="Arial" w:hAnsi="Arial" w:hint="cs"/>
          <w:b/>
          <w:bCs/>
          <w:noProof w:val="0"/>
          <w:rtl/>
          <w:lang w:eastAsia="he-IL"/>
        </w:rPr>
        <w:t>, אשר אחריות בעלי המניות בה מוגבלת, רשאי בית המשפט, לבקשת הנתבע, להורות כי החברה תיתן ערובה מספקת לתשלום הוצאות הנתבע אם זכה בדין, ורשאי הוא לעכב את ההליכים עד שתינתן הערובה, אלא אם כן סבר כי נסיבות הענין אינן מצדיקות את חיוב החברה או חברת החוץ בערובה או אם החברה הוכיחה כי יש ביכולתה לשלם את הוצאות הנתבע אם יזכה בדין."</w:t>
      </w:r>
      <w:r>
        <w:rPr>
          <w:rFonts w:ascii="Arial" w:hAnsi="Arial" w:hint="cs"/>
          <w:b/>
          <w:bCs/>
          <w:noProof w:val="0"/>
          <w:rtl/>
          <w:lang w:eastAsia="he-IL"/>
        </w:rPr>
        <w:tab/>
      </w:r>
    </w:p>
    <w:p w:rsidR="00966152" w:rsidRPr="00FF591C" w:rsidRDefault="00966152" w:rsidP="00FF591C">
      <w:pPr>
        <w:numPr>
          <w:ilvl w:val="0"/>
          <w:numId w:val="1"/>
        </w:numPr>
        <w:spacing w:before="120" w:after="120" w:line="360" w:lineRule="auto"/>
        <w:contextualSpacing/>
        <w:jc w:val="both"/>
        <w:rPr>
          <w:rFonts w:ascii="Arial" w:hAnsi="Arial"/>
          <w:noProof w:val="0"/>
          <w:rtl/>
        </w:rPr>
      </w:pPr>
      <w:r w:rsidRPr="00FF591C">
        <w:rPr>
          <w:rFonts w:hint="cs"/>
          <w:noProof w:val="0"/>
          <w:rtl/>
        </w:rPr>
        <w:lastRenderedPageBreak/>
        <w:t xml:space="preserve">הלכה הפסוקה </w:t>
      </w:r>
      <w:r w:rsidR="00FF591C" w:rsidRPr="00FF591C">
        <w:rPr>
          <w:rFonts w:hint="cs"/>
          <w:noProof w:val="0"/>
          <w:rtl/>
        </w:rPr>
        <w:t>היא</w:t>
      </w:r>
      <w:r w:rsidR="00214A98">
        <w:rPr>
          <w:rFonts w:hint="cs"/>
          <w:noProof w:val="0"/>
          <w:rtl/>
        </w:rPr>
        <w:t>,</w:t>
      </w:r>
      <w:r w:rsidR="00FF591C" w:rsidRPr="00FF591C">
        <w:rPr>
          <w:rFonts w:hint="cs"/>
          <w:noProof w:val="0"/>
          <w:rtl/>
        </w:rPr>
        <w:t xml:space="preserve"> </w:t>
      </w:r>
      <w:r w:rsidRPr="00FF591C">
        <w:rPr>
          <w:rFonts w:hint="cs"/>
          <w:noProof w:val="0"/>
          <w:rtl/>
        </w:rPr>
        <w:t xml:space="preserve">כי הכלל הוא חיוב חברה בהפקדת ערובה ואי חיובה הוא החריג. </w:t>
      </w:r>
      <w:r w:rsidRPr="00FF591C">
        <w:rPr>
          <w:rFonts w:ascii="Arial" w:hAnsi="Arial" w:hint="cs"/>
          <w:noProof w:val="0"/>
          <w:rtl/>
        </w:rPr>
        <w:t>(ר' ב</w:t>
      </w:r>
      <w:hyperlink r:id="rId10" w:history="1">
        <w:r w:rsidRPr="00FF591C">
          <w:rPr>
            <w:rStyle w:val="Hyperlink"/>
            <w:rFonts w:ascii="Arial" w:hAnsi="Arial" w:cs="David" w:hint="cs"/>
            <w:noProof w:val="0"/>
            <w:color w:val="auto"/>
            <w:u w:val="none"/>
            <w:rtl/>
          </w:rPr>
          <w:t>רע"א 6528/14</w:t>
        </w:r>
      </w:hyperlink>
      <w:r w:rsidRPr="00FF591C">
        <w:rPr>
          <w:rFonts w:ascii="Arial" w:hAnsi="Arial" w:hint="cs"/>
          <w:b/>
          <w:bCs/>
          <w:noProof w:val="0"/>
          <w:rtl/>
        </w:rPr>
        <w:t xml:space="preserve"> רפיח בית החלמה בע"מ נ' משרד הבריאות מדינת ישראל </w:t>
      </w:r>
      <w:r w:rsidRPr="00FF591C">
        <w:rPr>
          <w:rFonts w:ascii="Arial" w:hAnsi="Arial" w:hint="cs"/>
          <w:noProof w:val="0"/>
          <w:rtl/>
        </w:rPr>
        <w:t>(18.1.15)).</w:t>
      </w:r>
      <w:r>
        <w:rPr>
          <w:rFonts w:ascii="Arial" w:hAnsi="Arial" w:hint="cs"/>
          <w:noProof w:val="0"/>
          <w:rtl/>
        </w:rPr>
        <w:t xml:space="preserve"> </w:t>
      </w:r>
      <w:r w:rsidRPr="00FF591C">
        <w:rPr>
          <w:rFonts w:ascii="Arial" w:hAnsi="Arial" w:hint="cs"/>
          <w:noProof w:val="0"/>
          <w:rtl/>
        </w:rPr>
        <w:t>הרציונל לכלל זה הוא למנוע הסתתרות החברה התובעת מאחורי אישיות משפטית של חברה, ובכך להימנע מלשלם לנתבעים הוצאות, ככל שאלה תפסקנה בסוף ההליך. (ר' ב</w:t>
      </w:r>
      <w:hyperlink r:id="rId11" w:history="1">
        <w:r w:rsidRPr="00FF591C">
          <w:rPr>
            <w:rStyle w:val="Hyperlink"/>
            <w:rFonts w:ascii="Arial" w:hAnsi="Arial" w:cs="David" w:hint="cs"/>
            <w:noProof w:val="0"/>
            <w:color w:val="auto"/>
            <w:u w:val="none"/>
            <w:rtl/>
          </w:rPr>
          <w:t>רע"א 10905/07</w:t>
        </w:r>
      </w:hyperlink>
      <w:r w:rsidRPr="00FF591C">
        <w:rPr>
          <w:rFonts w:ascii="Arial" w:hAnsi="Arial" w:hint="cs"/>
          <w:noProof w:val="0"/>
          <w:rtl/>
        </w:rPr>
        <w:t xml:space="preserve"> </w:t>
      </w:r>
      <w:r w:rsidRPr="00FF591C">
        <w:rPr>
          <w:rFonts w:ascii="Arial" w:hAnsi="Arial" w:hint="cs"/>
          <w:b/>
          <w:bCs/>
          <w:noProof w:val="0"/>
          <w:rtl/>
        </w:rPr>
        <w:t>נאות אואזיס מלונות בע"מ נ' מרדכי (מוטי) זיסר</w:t>
      </w:r>
      <w:r w:rsidRPr="00FF591C">
        <w:rPr>
          <w:rFonts w:ascii="Arial" w:hAnsi="Arial" w:hint="cs"/>
          <w:noProof w:val="0"/>
          <w:rtl/>
        </w:rPr>
        <w:t xml:space="preserve"> (13.7.08)). </w:t>
      </w:r>
    </w:p>
    <w:p w:rsidR="00966152" w:rsidRPr="00FF591C" w:rsidRDefault="00966152" w:rsidP="00966152">
      <w:pPr>
        <w:spacing w:before="120" w:after="120" w:line="360" w:lineRule="auto"/>
        <w:ind w:left="720"/>
        <w:contextualSpacing/>
        <w:jc w:val="both"/>
        <w:rPr>
          <w:rFonts w:ascii="Arial" w:hAnsi="Arial"/>
          <w:noProof w:val="0"/>
          <w:sz w:val="12"/>
          <w:szCs w:val="12"/>
        </w:rPr>
      </w:pPr>
    </w:p>
    <w:p w:rsidR="00966152" w:rsidRPr="00FF591C" w:rsidRDefault="00966152" w:rsidP="00FF591C">
      <w:pPr>
        <w:numPr>
          <w:ilvl w:val="0"/>
          <w:numId w:val="1"/>
        </w:numPr>
        <w:spacing w:before="120" w:after="120" w:line="360" w:lineRule="auto"/>
        <w:contextualSpacing/>
        <w:jc w:val="both"/>
        <w:rPr>
          <w:rFonts w:ascii="Arial" w:hAnsi="Arial"/>
          <w:noProof w:val="0"/>
        </w:rPr>
      </w:pPr>
      <w:r w:rsidRPr="00FF591C">
        <w:rPr>
          <w:rFonts w:ascii="Arial" w:hAnsi="Arial" w:hint="cs"/>
          <w:noProof w:val="0"/>
          <w:rtl/>
        </w:rPr>
        <w:t>הכלל</w:t>
      </w:r>
      <w:r w:rsidR="00214A98">
        <w:rPr>
          <w:rFonts w:ascii="Arial" w:hAnsi="Arial" w:hint="cs"/>
          <w:noProof w:val="0"/>
          <w:rtl/>
        </w:rPr>
        <w:t xml:space="preserve"> ניתן לסתירה בשתי דרכים חלופיות;</w:t>
      </w:r>
      <w:r w:rsidRPr="00FF591C">
        <w:rPr>
          <w:rFonts w:ascii="Arial" w:hAnsi="Arial" w:hint="cs"/>
          <w:noProof w:val="0"/>
          <w:rtl/>
        </w:rPr>
        <w:t xml:space="preserve"> האחת, אם הוכיחה החברה שיהא לאל ידה לשלם את הוצאות הנתבע אם יזכה בדין. והשנייה, אם סבור בית המשפט כי נסיבות העניין אינן מצדיקות את חיוב החברה בערובה.</w:t>
      </w:r>
    </w:p>
    <w:p w:rsidR="00966152" w:rsidRPr="00FF591C" w:rsidRDefault="00966152" w:rsidP="00FF591C">
      <w:pPr>
        <w:spacing w:line="360" w:lineRule="auto"/>
        <w:ind w:left="720"/>
        <w:jc w:val="both"/>
        <w:rPr>
          <w:rFonts w:ascii="Arial" w:hAnsi="Arial"/>
          <w:noProof w:val="0"/>
          <w:sz w:val="12"/>
          <w:szCs w:val="12"/>
          <w:rtl/>
        </w:rPr>
      </w:pPr>
    </w:p>
    <w:p w:rsidR="00966152" w:rsidRPr="00FF591C" w:rsidRDefault="00966152" w:rsidP="00966152">
      <w:pPr>
        <w:numPr>
          <w:ilvl w:val="0"/>
          <w:numId w:val="1"/>
        </w:numPr>
        <w:spacing w:before="120" w:after="120" w:line="360" w:lineRule="auto"/>
        <w:contextualSpacing/>
        <w:jc w:val="both"/>
        <w:rPr>
          <w:rFonts w:ascii="Arial" w:hAnsi="Arial"/>
          <w:noProof w:val="0"/>
        </w:rPr>
      </w:pPr>
      <w:r w:rsidRPr="00FF591C">
        <w:rPr>
          <w:rFonts w:ascii="Segoe Script" w:hAnsi="Segoe Script" w:hint="cs"/>
          <w:noProof w:val="0"/>
          <w:rtl/>
        </w:rPr>
        <w:t>כב' השופט מלצר ב</w:t>
      </w:r>
      <w:hyperlink r:id="rId12" w:history="1">
        <w:r w:rsidRPr="00FF591C">
          <w:rPr>
            <w:rStyle w:val="Hyperlink"/>
            <w:rFonts w:ascii="Segoe Script" w:hAnsi="Segoe Script" w:cs="David" w:hint="cs"/>
            <w:noProof w:val="0"/>
            <w:color w:val="auto"/>
            <w:u w:val="none"/>
            <w:rtl/>
          </w:rPr>
          <w:t>רע"א 10376/07</w:t>
        </w:r>
      </w:hyperlink>
      <w:r w:rsidRPr="00FF591C">
        <w:rPr>
          <w:rFonts w:ascii="Segoe Script" w:hAnsi="Segoe Script" w:hint="cs"/>
          <w:noProof w:val="0"/>
          <w:rtl/>
        </w:rPr>
        <w:t xml:space="preserve">, </w:t>
      </w:r>
      <w:r w:rsidRPr="00FF591C">
        <w:rPr>
          <w:rFonts w:ascii="Segoe Script" w:hAnsi="Segoe Script" w:hint="cs"/>
          <w:b/>
          <w:bCs/>
          <w:noProof w:val="0"/>
          <w:rtl/>
        </w:rPr>
        <w:t>ל.נ. הנדסה ממוחשבת בע"מ ואח' נ' בנק הפועלים בע"מ</w:t>
      </w:r>
      <w:r w:rsidRPr="00FF591C">
        <w:rPr>
          <w:rFonts w:ascii="Segoe Script" w:hAnsi="Segoe Script" w:hint="cs"/>
          <w:noProof w:val="0"/>
          <w:rtl/>
        </w:rPr>
        <w:t>, (ניתן ביום 11.2.09), קבע מתווה תלת</w:t>
      </w:r>
      <w:r>
        <w:rPr>
          <w:rFonts w:ascii="Segoe Script" w:hAnsi="Segoe Script" w:hint="cs"/>
          <w:noProof w:val="0"/>
          <w:rtl/>
        </w:rPr>
        <w:t xml:space="preserve"> שלבי שעל בית המשפט לבחון בדונו בשאלה </w:t>
      </w:r>
      <w:r w:rsidRPr="00FF591C">
        <w:rPr>
          <w:rFonts w:ascii="Arial" w:hAnsi="Arial" w:hint="cs"/>
          <w:noProof w:val="0"/>
          <w:rtl/>
        </w:rPr>
        <w:t>האם לחייב חברה תובעת בהפקדת ערובה להבטחת הוצאות הנתבע אם לאו. בראש ובראשונה על בית המשפט לשקול את מצבה הכלכלי של החברה, כאשר נטל הראיה להוכחת מצבה הכלכלי של החברה הוא על התובעת. ואולם בכך, לא נעצרת הבדיקה. על בית המשפט להמשיך לשלב הבדיקה השני ולבחון האם נסיבות העניין מצדיקות חיוב החברה בערובה, אם לאו. בהקשר זה בית המשפט ישקול</w:t>
      </w:r>
      <w:r w:rsidR="00214A98">
        <w:rPr>
          <w:rFonts w:ascii="Arial" w:hAnsi="Arial" w:hint="cs"/>
          <w:noProof w:val="0"/>
          <w:rtl/>
        </w:rPr>
        <w:t>,</w:t>
      </w:r>
      <w:r w:rsidRPr="00FF591C">
        <w:rPr>
          <w:rFonts w:ascii="Arial" w:hAnsi="Arial" w:hint="cs"/>
          <w:noProof w:val="0"/>
          <w:rtl/>
        </w:rPr>
        <w:t xml:space="preserve"> בין היתר</w:t>
      </w:r>
      <w:r w:rsidR="00214A98">
        <w:rPr>
          <w:rFonts w:ascii="Arial" w:hAnsi="Arial" w:hint="cs"/>
          <w:noProof w:val="0"/>
          <w:rtl/>
        </w:rPr>
        <w:t>,</w:t>
      </w:r>
      <w:r w:rsidRPr="00FF591C">
        <w:rPr>
          <w:rFonts w:ascii="Arial" w:hAnsi="Arial" w:hint="cs"/>
          <w:noProof w:val="0"/>
          <w:rtl/>
        </w:rPr>
        <w:t xml:space="preserve"> את הזכויות החוקתיות (הנוגדות) של הצדדים (זכות הגישה לערכאות וזכות הקניין של התובע ושל הנתבע); את ההנחה שהכלל הוא חיוב החברה להפקיד ערובה (אם לא הוכיחה שיש ביכולתה לשלם את הוצאות הנתבע), והחריג הוא הפטור מהפקדת ערובה. שאלת סיכויי ההליך יכולה להישקל במסגרת בחינת הנסיבות לסתור את החזקה המצדיקה חיוב החברה בערובה. כך, למשל, סיכויי הליך גבוהים יכולים להוות נסיבות שבעטיין מוצדק שלא לחייב בהפקדת ערובה. בהקשר זה כב' השופט מלצר הוסיף והעיר, כי הנטל רובץ על כתפי החברה התובעת, להראות מהן אותן נסיבות שבגינן לא מוצדק לחייבה בהפקדת ערבות, וכי בדרך כלל אין זה ראוי להיכנס בהרחבה לניתוח סיכויי התביעה ויש להיזקק לעניין האמור רק כאשר סיכויי ההליך גבוהים במיוחד, או קלושים מאוד. </w:t>
      </w:r>
    </w:p>
    <w:p w:rsidR="00966152" w:rsidRPr="00FF591C" w:rsidRDefault="00966152" w:rsidP="00FF591C">
      <w:pPr>
        <w:spacing w:before="120" w:after="120" w:line="360" w:lineRule="auto"/>
        <w:ind w:left="785"/>
        <w:contextualSpacing/>
        <w:jc w:val="both"/>
        <w:rPr>
          <w:rFonts w:ascii="Arial" w:hAnsi="Arial"/>
          <w:noProof w:val="0"/>
          <w:sz w:val="12"/>
          <w:szCs w:val="12"/>
        </w:rPr>
      </w:pPr>
    </w:p>
    <w:p w:rsidR="00966152" w:rsidRPr="00FF591C" w:rsidRDefault="00966152" w:rsidP="00966152">
      <w:pPr>
        <w:numPr>
          <w:ilvl w:val="0"/>
          <w:numId w:val="1"/>
        </w:numPr>
        <w:spacing w:before="120" w:after="120" w:line="360" w:lineRule="auto"/>
        <w:contextualSpacing/>
        <w:jc w:val="both"/>
        <w:rPr>
          <w:rFonts w:ascii="Arial" w:hAnsi="Arial"/>
          <w:noProof w:val="0"/>
        </w:rPr>
      </w:pPr>
      <w:r w:rsidRPr="00FF591C">
        <w:rPr>
          <w:rFonts w:ascii="Arial" w:hAnsi="Arial" w:hint="cs"/>
          <w:noProof w:val="0"/>
          <w:rtl/>
        </w:rPr>
        <w:t>אם לאחר שלב הבדיקה השני מצא בית המשפט כי על החברה להפקיד ערובה להבטחת הוצאות הנתבע, במסגרת שלב הבדיקה השלישי, על בית המשפט לבחון את גובה הערובה הנדרשת אשר תאזן את שלל השיקולים הרלוונטיים.</w:t>
      </w:r>
    </w:p>
    <w:p w:rsidR="00966152" w:rsidRPr="00FF591C" w:rsidRDefault="00966152" w:rsidP="00FF591C">
      <w:pPr>
        <w:spacing w:before="120" w:after="120" w:line="360" w:lineRule="auto"/>
        <w:ind w:left="785"/>
        <w:contextualSpacing/>
        <w:jc w:val="both"/>
        <w:rPr>
          <w:rFonts w:ascii="Arial" w:hAnsi="Arial"/>
          <w:noProof w:val="0"/>
          <w:sz w:val="12"/>
          <w:szCs w:val="12"/>
        </w:rPr>
      </w:pPr>
    </w:p>
    <w:p w:rsidR="00966152" w:rsidRDefault="00966152" w:rsidP="00966152">
      <w:pPr>
        <w:spacing w:before="120" w:after="120" w:line="360" w:lineRule="auto"/>
        <w:ind w:left="360"/>
        <w:contextualSpacing/>
        <w:jc w:val="both"/>
        <w:rPr>
          <w:rFonts w:ascii="Arial" w:hAnsi="Arial"/>
          <w:b/>
          <w:bCs/>
          <w:noProof w:val="0"/>
          <w:u w:val="single"/>
          <w:lang w:eastAsia="he-IL"/>
        </w:rPr>
      </w:pPr>
      <w:r>
        <w:rPr>
          <w:rFonts w:ascii="Arial" w:hAnsi="Arial" w:hint="cs"/>
          <w:b/>
          <w:bCs/>
          <w:noProof w:val="0"/>
          <w:u w:val="single"/>
          <w:rtl/>
          <w:lang w:eastAsia="he-IL"/>
        </w:rPr>
        <w:t>מן הכלל אל הפרט</w:t>
      </w:r>
    </w:p>
    <w:p w:rsidR="00966152" w:rsidRDefault="00966152" w:rsidP="00214A98">
      <w:pPr>
        <w:numPr>
          <w:ilvl w:val="0"/>
          <w:numId w:val="1"/>
        </w:numPr>
        <w:spacing w:before="120" w:after="120" w:line="360" w:lineRule="auto"/>
        <w:ind w:left="720"/>
        <w:contextualSpacing/>
        <w:jc w:val="both"/>
        <w:rPr>
          <w:noProof w:val="0"/>
          <w:sz w:val="12"/>
          <w:szCs w:val="12"/>
        </w:rPr>
      </w:pPr>
      <w:r>
        <w:rPr>
          <w:rFonts w:hint="cs"/>
          <w:noProof w:val="0"/>
          <w:rtl/>
        </w:rPr>
        <w:t>המבחן המרכזי הוא מצבה הכלכלי של החברה</w:t>
      </w:r>
      <w:r w:rsidR="00021A29">
        <w:rPr>
          <w:rFonts w:hint="cs"/>
          <w:noProof w:val="0"/>
          <w:rtl/>
        </w:rPr>
        <w:t>,</w:t>
      </w:r>
      <w:r>
        <w:rPr>
          <w:rFonts w:hint="cs"/>
          <w:noProof w:val="0"/>
          <w:rtl/>
        </w:rPr>
        <w:t xml:space="preserve"> והאם הציגה ראיות בדבר יכולת לשלם את הוצאות </w:t>
      </w:r>
      <w:r w:rsidR="00214A98">
        <w:rPr>
          <w:rFonts w:hint="cs"/>
          <w:noProof w:val="0"/>
          <w:rtl/>
        </w:rPr>
        <w:t>המשיבה</w:t>
      </w:r>
      <w:r w:rsidR="00021A29">
        <w:rPr>
          <w:rFonts w:hint="cs"/>
          <w:noProof w:val="0"/>
          <w:rtl/>
        </w:rPr>
        <w:t xml:space="preserve"> ככל שהיא תזכה בדין. </w:t>
      </w:r>
      <w:r w:rsidR="00086FCB">
        <w:rPr>
          <w:rFonts w:hint="cs"/>
          <w:noProof w:val="0"/>
          <w:rtl/>
        </w:rPr>
        <w:t xml:space="preserve">המבקשת מלינה על כך שהמשיבה לא הביאה ראיות </w:t>
      </w:r>
      <w:r w:rsidR="00086FCB">
        <w:rPr>
          <w:rFonts w:hint="cs"/>
          <w:noProof w:val="0"/>
          <w:rtl/>
        </w:rPr>
        <w:lastRenderedPageBreak/>
        <w:t>למצבה הכלכלי ה</w:t>
      </w:r>
      <w:r w:rsidR="00826023">
        <w:rPr>
          <w:rFonts w:hint="cs"/>
          <w:noProof w:val="0"/>
          <w:rtl/>
        </w:rPr>
        <w:t>רעוע של המבקשת, וסבורה שהראיות שהוצגו על ידה</w:t>
      </w:r>
      <w:r w:rsidR="00053E0A">
        <w:rPr>
          <w:rFonts w:hint="cs"/>
          <w:noProof w:val="0"/>
          <w:rtl/>
        </w:rPr>
        <w:t>-</w:t>
      </w:r>
      <w:r w:rsidR="00826023">
        <w:rPr>
          <w:rFonts w:hint="cs"/>
          <w:noProof w:val="0"/>
          <w:rtl/>
        </w:rPr>
        <w:t xml:space="preserve"> לא ניתן לסמוך עליהן. אולם, כאמור, נטל הבאת הראיות מוטל על כתפיה. </w:t>
      </w:r>
      <w:r w:rsidR="00053E0A">
        <w:rPr>
          <w:rFonts w:hint="cs"/>
          <w:noProof w:val="0"/>
          <w:rtl/>
        </w:rPr>
        <w:t>ה</w:t>
      </w:r>
      <w:r w:rsidR="00021A29">
        <w:rPr>
          <w:rFonts w:hint="cs"/>
          <w:noProof w:val="0"/>
          <w:rtl/>
        </w:rPr>
        <w:t xml:space="preserve">מבקשת </w:t>
      </w:r>
      <w:r w:rsidR="00826023">
        <w:rPr>
          <w:rFonts w:hint="cs"/>
          <w:noProof w:val="0"/>
          <w:rtl/>
        </w:rPr>
        <w:t xml:space="preserve">לא הרימה נטל זה, שכן </w:t>
      </w:r>
      <w:r w:rsidR="00053E0A">
        <w:rPr>
          <w:rFonts w:hint="cs"/>
          <w:noProof w:val="0"/>
          <w:rtl/>
        </w:rPr>
        <w:t xml:space="preserve">מלבד עדותו של מנהל הכספים של המבקשת, </w:t>
      </w:r>
      <w:r w:rsidR="00826023">
        <w:rPr>
          <w:rFonts w:hint="cs"/>
          <w:noProof w:val="0"/>
          <w:rtl/>
        </w:rPr>
        <w:t xml:space="preserve">היא </w:t>
      </w:r>
      <w:r w:rsidR="00021A29">
        <w:rPr>
          <w:rFonts w:hint="cs"/>
          <w:noProof w:val="0"/>
          <w:rtl/>
        </w:rPr>
        <w:t xml:space="preserve">לא </w:t>
      </w:r>
      <w:r>
        <w:rPr>
          <w:rFonts w:hint="cs"/>
          <w:noProof w:val="0"/>
          <w:rtl/>
        </w:rPr>
        <w:t xml:space="preserve">הציגה </w:t>
      </w:r>
      <w:r w:rsidR="00826023">
        <w:rPr>
          <w:rFonts w:hint="cs"/>
          <w:noProof w:val="0"/>
          <w:rtl/>
        </w:rPr>
        <w:t xml:space="preserve">ראיות ממשיות בדבר מצבה הכלכלי, כגון: </w:t>
      </w:r>
      <w:r>
        <w:rPr>
          <w:rFonts w:hint="cs"/>
          <w:noProof w:val="0"/>
          <w:rtl/>
        </w:rPr>
        <w:t>דוחות כספיים של רואה החשבון</w:t>
      </w:r>
      <w:r w:rsidR="00826023">
        <w:rPr>
          <w:rFonts w:hint="cs"/>
          <w:noProof w:val="0"/>
          <w:rtl/>
        </w:rPr>
        <w:t>;</w:t>
      </w:r>
      <w:r w:rsidR="00021A29">
        <w:rPr>
          <w:rFonts w:hint="cs"/>
          <w:noProof w:val="0"/>
          <w:rtl/>
        </w:rPr>
        <w:t xml:space="preserve"> פלטי חשבון בנק</w:t>
      </w:r>
      <w:r w:rsidR="00826023">
        <w:rPr>
          <w:rFonts w:hint="cs"/>
          <w:noProof w:val="0"/>
          <w:rtl/>
        </w:rPr>
        <w:t xml:space="preserve">; </w:t>
      </w:r>
      <w:r w:rsidR="00021A29">
        <w:rPr>
          <w:rFonts w:hint="cs"/>
          <w:noProof w:val="0"/>
          <w:rtl/>
        </w:rPr>
        <w:t>נכסים</w:t>
      </w:r>
      <w:r w:rsidR="00826023">
        <w:rPr>
          <w:rFonts w:hint="cs"/>
          <w:noProof w:val="0"/>
          <w:rtl/>
        </w:rPr>
        <w:t xml:space="preserve"> שבבעלות החברה.</w:t>
      </w:r>
      <w:r>
        <w:rPr>
          <w:rFonts w:hint="cs"/>
          <w:noProof w:val="0"/>
          <w:rtl/>
        </w:rPr>
        <w:t xml:space="preserve"> </w:t>
      </w:r>
      <w:r w:rsidR="00826023">
        <w:rPr>
          <w:rFonts w:hint="cs"/>
          <w:noProof w:val="0"/>
          <w:rtl/>
        </w:rPr>
        <w:t xml:space="preserve">מכאן שהמבקשת </w:t>
      </w:r>
      <w:r w:rsidR="00021A29">
        <w:rPr>
          <w:rFonts w:hint="cs"/>
          <w:noProof w:val="0"/>
          <w:rtl/>
        </w:rPr>
        <w:t>לא עמדה</w:t>
      </w:r>
      <w:r w:rsidR="00826023">
        <w:rPr>
          <w:rFonts w:hint="cs"/>
          <w:noProof w:val="0"/>
          <w:rtl/>
        </w:rPr>
        <w:t xml:space="preserve"> </w:t>
      </w:r>
      <w:r w:rsidR="00021A29">
        <w:rPr>
          <w:rFonts w:hint="cs"/>
          <w:noProof w:val="0"/>
          <w:rtl/>
        </w:rPr>
        <w:t>בנטל המוטל על כתפיה להפריך את החזקה הקבועה בחוק.</w:t>
      </w:r>
      <w:r w:rsidR="00021A29">
        <w:rPr>
          <w:rFonts w:hint="cs"/>
          <w:noProof w:val="0"/>
          <w:sz w:val="12"/>
          <w:szCs w:val="12"/>
          <w:rtl/>
        </w:rPr>
        <w:t xml:space="preserve"> </w:t>
      </w:r>
    </w:p>
    <w:p w:rsidR="00021A29" w:rsidRDefault="00021A29" w:rsidP="00021A29">
      <w:pPr>
        <w:spacing w:before="120" w:after="120" w:line="360" w:lineRule="auto"/>
        <w:ind w:left="720"/>
        <w:contextualSpacing/>
        <w:jc w:val="both"/>
        <w:rPr>
          <w:noProof w:val="0"/>
          <w:sz w:val="12"/>
          <w:szCs w:val="12"/>
          <w:rtl/>
        </w:rPr>
      </w:pPr>
    </w:p>
    <w:p w:rsidR="00966152" w:rsidRDefault="00966152" w:rsidP="00086FCB">
      <w:pPr>
        <w:numPr>
          <w:ilvl w:val="0"/>
          <w:numId w:val="1"/>
        </w:numPr>
        <w:spacing w:beforeLines="100" w:before="240" w:line="360" w:lineRule="auto"/>
        <w:ind w:left="714" w:hanging="357"/>
        <w:jc w:val="both"/>
        <w:rPr>
          <w:rFonts w:asciiTheme="minorHAnsi" w:hAnsiTheme="minorHAnsi"/>
          <w:noProof w:val="0"/>
        </w:rPr>
      </w:pPr>
      <w:r>
        <w:rPr>
          <w:rFonts w:asciiTheme="minorHAnsi" w:hAnsiTheme="minorHAnsi" w:hint="cs"/>
          <w:noProof w:val="0"/>
          <w:rtl/>
        </w:rPr>
        <w:t>אשר לסיכויי התביעה</w:t>
      </w:r>
      <w:r w:rsidR="00214A98">
        <w:rPr>
          <w:rFonts w:asciiTheme="minorHAnsi" w:hAnsiTheme="minorHAnsi" w:hint="cs"/>
          <w:noProof w:val="0"/>
          <w:rtl/>
        </w:rPr>
        <w:t>-</w:t>
      </w:r>
      <w:r w:rsidR="00086FCB">
        <w:rPr>
          <w:rFonts w:asciiTheme="minorHAnsi" w:hAnsiTheme="minorHAnsi" w:hint="cs"/>
          <w:noProof w:val="0"/>
          <w:rtl/>
        </w:rPr>
        <w:t xml:space="preserve"> המבקשת</w:t>
      </w:r>
      <w:r>
        <w:rPr>
          <w:rFonts w:asciiTheme="minorHAnsi" w:hAnsiTheme="minorHAnsi" w:hint="cs"/>
          <w:noProof w:val="0"/>
          <w:rtl/>
        </w:rPr>
        <w:t xml:space="preserve"> טענה שסיכויי ההליך טובים וכן הגשת הבקשה נועדה אך לעכב את בירור התובענה. </w:t>
      </w:r>
      <w:r>
        <w:rPr>
          <w:rFonts w:hint="cs"/>
          <w:noProof w:val="0"/>
          <w:rtl/>
        </w:rPr>
        <w:t xml:space="preserve">אשר לסיכויי התביעה, </w:t>
      </w:r>
      <w:r w:rsidR="00524B98">
        <w:rPr>
          <w:rFonts w:asciiTheme="minorHAnsi" w:hAnsiTheme="minorHAnsi" w:hint="cs"/>
          <w:noProof w:val="0"/>
          <w:rtl/>
        </w:rPr>
        <w:t>כאמור, ההלכה היא ש</w:t>
      </w:r>
      <w:r>
        <w:rPr>
          <w:rFonts w:asciiTheme="minorHAnsi" w:hAnsiTheme="minorHAnsi" w:hint="cs"/>
          <w:noProof w:val="0"/>
          <w:rtl/>
        </w:rPr>
        <w:t>כלל אין זה ראוי להיכנס בהרחבה לניתוח סיכויי התביעה, אלא אם מדובר על פניו בסיכויים גבוהים או נמוכים במיוחד</w:t>
      </w:r>
      <w:r>
        <w:rPr>
          <w:rFonts w:hint="cs"/>
          <w:noProof w:val="0"/>
          <w:rtl/>
        </w:rPr>
        <w:t xml:space="preserve">. במקרה זה, בשלב המקדמי בו מצוי ההליך, בטרם הונחו בפני ביהמ"ש ראיות הצדדים, </w:t>
      </w:r>
      <w:r>
        <w:rPr>
          <w:rFonts w:ascii="Arial" w:hAnsi="Arial" w:hint="cs"/>
          <w:noProof w:val="0"/>
          <w:rtl/>
        </w:rPr>
        <w:t>לא ניתן לאמוד את סיכויי התביעה עד כדי קביעה כי מדובר בתביעה שסיכוייה "גבוהים במיוחד או קלושים מאוד".</w:t>
      </w:r>
    </w:p>
    <w:p w:rsidR="00086FCB" w:rsidRPr="00086FCB" w:rsidRDefault="00966152" w:rsidP="00214A98">
      <w:pPr>
        <w:numPr>
          <w:ilvl w:val="0"/>
          <w:numId w:val="1"/>
        </w:numPr>
        <w:spacing w:beforeLines="100" w:before="240" w:line="360" w:lineRule="auto"/>
        <w:ind w:left="714" w:hanging="357"/>
        <w:jc w:val="both"/>
        <w:rPr>
          <w:rFonts w:asciiTheme="minorHAnsi" w:hAnsiTheme="minorHAnsi"/>
          <w:noProof w:val="0"/>
          <w:sz w:val="2"/>
          <w:szCs w:val="2"/>
        </w:rPr>
      </w:pPr>
      <w:r>
        <w:rPr>
          <w:rFonts w:asciiTheme="minorHAnsi" w:hAnsiTheme="minorHAnsi" w:hint="cs"/>
          <w:noProof w:val="0"/>
          <w:rtl/>
        </w:rPr>
        <w:t>אשר לעיתוי הגשת הבקשה</w:t>
      </w:r>
      <w:r w:rsidR="00214A98">
        <w:rPr>
          <w:rFonts w:asciiTheme="minorHAnsi" w:hAnsiTheme="minorHAnsi" w:hint="cs"/>
          <w:noProof w:val="0"/>
          <w:rtl/>
        </w:rPr>
        <w:t>,</w:t>
      </w:r>
      <w:r>
        <w:rPr>
          <w:rFonts w:asciiTheme="minorHAnsi" w:hAnsiTheme="minorHAnsi" w:hint="cs"/>
          <w:noProof w:val="0"/>
          <w:rtl/>
        </w:rPr>
        <w:t xml:space="preserve"> קרי</w:t>
      </w:r>
      <w:r w:rsidR="00214A98">
        <w:rPr>
          <w:rFonts w:asciiTheme="minorHAnsi" w:hAnsiTheme="minorHAnsi" w:hint="cs"/>
          <w:noProof w:val="0"/>
          <w:rtl/>
        </w:rPr>
        <w:t>,</w:t>
      </w:r>
      <w:r>
        <w:rPr>
          <w:rFonts w:asciiTheme="minorHAnsi" w:hAnsiTheme="minorHAnsi" w:hint="cs"/>
          <w:noProof w:val="0"/>
          <w:rtl/>
        </w:rPr>
        <w:t xml:space="preserve"> </w:t>
      </w:r>
      <w:r w:rsidR="00524B98">
        <w:rPr>
          <w:rFonts w:asciiTheme="minorHAnsi" w:hAnsiTheme="minorHAnsi" w:hint="cs"/>
          <w:noProof w:val="0"/>
          <w:rtl/>
        </w:rPr>
        <w:t xml:space="preserve">מספר שנים לאחר הגשת התביעה </w:t>
      </w:r>
      <w:r>
        <w:rPr>
          <w:rFonts w:asciiTheme="minorHAnsi" w:hAnsiTheme="minorHAnsi" w:hint="cs"/>
          <w:noProof w:val="0"/>
          <w:rtl/>
        </w:rPr>
        <w:t>ו</w:t>
      </w:r>
      <w:r w:rsidR="00524B98">
        <w:rPr>
          <w:rFonts w:asciiTheme="minorHAnsi" w:hAnsiTheme="minorHAnsi" w:hint="cs"/>
          <w:noProof w:val="0"/>
          <w:rtl/>
        </w:rPr>
        <w:t>ב</w:t>
      </w:r>
      <w:r>
        <w:rPr>
          <w:rFonts w:asciiTheme="minorHAnsi" w:hAnsiTheme="minorHAnsi" w:hint="cs"/>
          <w:noProof w:val="0"/>
          <w:rtl/>
        </w:rPr>
        <w:t>סמוך ל</w:t>
      </w:r>
      <w:r w:rsidR="00524B98">
        <w:rPr>
          <w:rFonts w:asciiTheme="minorHAnsi" w:hAnsiTheme="minorHAnsi" w:hint="cs"/>
          <w:noProof w:val="0"/>
          <w:rtl/>
        </w:rPr>
        <w:t xml:space="preserve">אחר קביעת מועד </w:t>
      </w:r>
      <w:r>
        <w:rPr>
          <w:rFonts w:asciiTheme="minorHAnsi" w:hAnsiTheme="minorHAnsi" w:hint="cs"/>
          <w:noProof w:val="0"/>
          <w:rtl/>
        </w:rPr>
        <w:t>לקדם המשפט, אשר יכולה לכאורה להצביע על חוסר תום לב בבחירת העיתוי, במ</w:t>
      </w:r>
      <w:r w:rsidR="00524B98">
        <w:rPr>
          <w:rFonts w:asciiTheme="minorHAnsi" w:hAnsiTheme="minorHAnsi" w:hint="cs"/>
          <w:noProof w:val="0"/>
          <w:rtl/>
        </w:rPr>
        <w:t>טרה למנוע את ברור התובענה לגופה</w:t>
      </w:r>
      <w:r w:rsidR="00086FCB">
        <w:rPr>
          <w:rFonts w:asciiTheme="minorHAnsi" w:hAnsiTheme="minorHAnsi" w:hint="cs"/>
          <w:noProof w:val="0"/>
          <w:rtl/>
        </w:rPr>
        <w:t>, אני סבורה שאין מדובר בשיהוי הנגוע בחוסר תום לב, שכן</w:t>
      </w:r>
      <w:r>
        <w:rPr>
          <w:rFonts w:asciiTheme="minorHAnsi" w:hAnsiTheme="minorHAnsi" w:hint="cs"/>
          <w:noProof w:val="0"/>
          <w:rtl/>
        </w:rPr>
        <w:t xml:space="preserve"> </w:t>
      </w:r>
      <w:r w:rsidR="00086FCB">
        <w:rPr>
          <w:rFonts w:asciiTheme="minorHAnsi" w:hAnsiTheme="minorHAnsi" w:hint="cs"/>
          <w:noProof w:val="0"/>
          <w:rtl/>
        </w:rPr>
        <w:t xml:space="preserve">קיים היגיון בהגשת הבקשה, לאחר שנקבע דיון קדם משפט הראשון, </w:t>
      </w:r>
      <w:r w:rsidR="00053E0A">
        <w:rPr>
          <w:rFonts w:asciiTheme="minorHAnsi" w:hAnsiTheme="minorHAnsi" w:hint="cs"/>
          <w:noProof w:val="0"/>
          <w:rtl/>
        </w:rPr>
        <w:t>כך שהבקשה הוגשה</w:t>
      </w:r>
      <w:r w:rsidR="00086FCB">
        <w:rPr>
          <w:rFonts w:asciiTheme="minorHAnsi" w:hAnsiTheme="minorHAnsi" w:hint="cs"/>
          <w:noProof w:val="0"/>
          <w:rtl/>
        </w:rPr>
        <w:t xml:space="preserve"> </w:t>
      </w:r>
      <w:r>
        <w:rPr>
          <w:rFonts w:asciiTheme="minorHAnsi" w:hAnsiTheme="minorHAnsi" w:hint="cs"/>
          <w:noProof w:val="0"/>
          <w:rtl/>
        </w:rPr>
        <w:t xml:space="preserve">טרם </w:t>
      </w:r>
      <w:r w:rsidR="00086FCB">
        <w:rPr>
          <w:rFonts w:asciiTheme="minorHAnsi" w:hAnsiTheme="minorHAnsi" w:hint="cs"/>
          <w:noProof w:val="0"/>
          <w:rtl/>
        </w:rPr>
        <w:t>תחילת השלב המהותי של המשפט.</w:t>
      </w:r>
    </w:p>
    <w:p w:rsidR="008745DB" w:rsidRPr="008745DB" w:rsidRDefault="008745DB" w:rsidP="008745DB">
      <w:pPr>
        <w:numPr>
          <w:ilvl w:val="0"/>
          <w:numId w:val="1"/>
        </w:numPr>
        <w:spacing w:beforeLines="100" w:before="240" w:line="360" w:lineRule="auto"/>
        <w:ind w:left="714" w:hanging="357"/>
        <w:jc w:val="both"/>
        <w:rPr>
          <w:noProof w:val="0"/>
        </w:rPr>
      </w:pPr>
      <w:r>
        <w:rPr>
          <w:rFonts w:ascii="Segoe Script" w:hAnsi="Segoe Script" w:hint="cs"/>
          <w:noProof w:val="0"/>
          <w:rtl/>
        </w:rPr>
        <w:t xml:space="preserve">אשר לטענת המבקשת בדבר חסימת גישתה לערכאות, אני סבורה כי בית משפט קמא איזן נכונה בין </w:t>
      </w:r>
      <w:r w:rsidR="00966152">
        <w:rPr>
          <w:rFonts w:ascii="Arial" w:hAnsi="Arial" w:hint="cs"/>
          <w:noProof w:val="0"/>
          <w:rtl/>
          <w:lang w:eastAsia="he-IL"/>
        </w:rPr>
        <w:t xml:space="preserve">זכות </w:t>
      </w:r>
      <w:r w:rsidR="00053E0A">
        <w:rPr>
          <w:rFonts w:ascii="Arial" w:hAnsi="Arial" w:hint="cs"/>
          <w:noProof w:val="0"/>
          <w:rtl/>
          <w:lang w:eastAsia="he-IL"/>
        </w:rPr>
        <w:t>המשיבה</w:t>
      </w:r>
      <w:r w:rsidR="00966152">
        <w:rPr>
          <w:rFonts w:ascii="Arial" w:hAnsi="Arial" w:hint="cs"/>
          <w:noProof w:val="0"/>
          <w:rtl/>
          <w:lang w:eastAsia="he-IL"/>
        </w:rPr>
        <w:t xml:space="preserve"> </w:t>
      </w:r>
      <w:r w:rsidR="00053E0A">
        <w:rPr>
          <w:rFonts w:ascii="Arial" w:hAnsi="Arial" w:hint="cs"/>
          <w:noProof w:val="0"/>
          <w:rtl/>
          <w:lang w:eastAsia="he-IL"/>
        </w:rPr>
        <w:t>ש</w:t>
      </w:r>
      <w:r w:rsidR="00966152">
        <w:rPr>
          <w:rFonts w:ascii="Arial" w:hAnsi="Arial" w:hint="cs"/>
          <w:noProof w:val="0"/>
          <w:rtl/>
          <w:lang w:eastAsia="he-IL"/>
        </w:rPr>
        <w:t>לא להיגרר שלא ברצונ</w:t>
      </w:r>
      <w:r w:rsidR="00053E0A">
        <w:rPr>
          <w:rFonts w:ascii="Arial" w:hAnsi="Arial" w:hint="cs"/>
          <w:noProof w:val="0"/>
          <w:rtl/>
          <w:lang w:eastAsia="he-IL"/>
        </w:rPr>
        <w:t>ה</w:t>
      </w:r>
      <w:r w:rsidR="00966152">
        <w:rPr>
          <w:rFonts w:ascii="Arial" w:hAnsi="Arial" w:hint="cs"/>
          <w:noProof w:val="0"/>
          <w:rtl/>
          <w:lang w:eastAsia="he-IL"/>
        </w:rPr>
        <w:t xml:space="preserve"> להתדיינות ולהוצאות </w:t>
      </w:r>
      <w:r w:rsidR="00053E0A">
        <w:rPr>
          <w:rFonts w:ascii="Arial" w:hAnsi="Arial" w:hint="cs"/>
          <w:noProof w:val="0"/>
          <w:rtl/>
          <w:lang w:eastAsia="he-IL"/>
        </w:rPr>
        <w:t>מיותרות, כשבסופה</w:t>
      </w:r>
      <w:r w:rsidR="00966152">
        <w:rPr>
          <w:rFonts w:ascii="Arial" w:hAnsi="Arial" w:hint="cs"/>
          <w:noProof w:val="0"/>
          <w:rtl/>
          <w:lang w:eastAsia="he-IL"/>
        </w:rPr>
        <w:t xml:space="preserve">, </w:t>
      </w:r>
      <w:r w:rsidR="00086FCB">
        <w:rPr>
          <w:rFonts w:ascii="Arial" w:hAnsi="Arial" w:hint="cs"/>
          <w:noProof w:val="0"/>
          <w:rtl/>
          <w:lang w:eastAsia="he-IL"/>
        </w:rPr>
        <w:t xml:space="preserve">היא </w:t>
      </w:r>
      <w:r w:rsidR="00966152">
        <w:rPr>
          <w:rFonts w:ascii="Arial" w:hAnsi="Arial" w:hint="cs"/>
          <w:noProof w:val="0"/>
          <w:rtl/>
          <w:lang w:eastAsia="he-IL"/>
        </w:rPr>
        <w:t>עלול</w:t>
      </w:r>
      <w:r w:rsidR="00086FCB">
        <w:rPr>
          <w:rFonts w:ascii="Arial" w:hAnsi="Arial" w:hint="cs"/>
          <w:noProof w:val="0"/>
          <w:rtl/>
          <w:lang w:eastAsia="he-IL"/>
        </w:rPr>
        <w:t xml:space="preserve">ה </w:t>
      </w:r>
      <w:r w:rsidR="00966152">
        <w:rPr>
          <w:rFonts w:ascii="Arial" w:hAnsi="Arial" w:hint="cs"/>
          <w:noProof w:val="0"/>
          <w:rtl/>
          <w:lang w:eastAsia="he-IL"/>
        </w:rPr>
        <w:t>למצוא עצמ</w:t>
      </w:r>
      <w:r w:rsidR="00053E0A">
        <w:rPr>
          <w:rFonts w:ascii="Arial" w:hAnsi="Arial" w:hint="cs"/>
          <w:noProof w:val="0"/>
          <w:rtl/>
          <w:lang w:eastAsia="he-IL"/>
        </w:rPr>
        <w:t>ה</w:t>
      </w:r>
      <w:r w:rsidR="00966152">
        <w:rPr>
          <w:rFonts w:ascii="Arial" w:hAnsi="Arial" w:hint="cs"/>
          <w:noProof w:val="0"/>
          <w:rtl/>
          <w:lang w:eastAsia="he-IL"/>
        </w:rPr>
        <w:t xml:space="preserve"> חסר</w:t>
      </w:r>
      <w:r w:rsidR="00086FCB">
        <w:rPr>
          <w:rFonts w:ascii="Arial" w:hAnsi="Arial" w:hint="cs"/>
          <w:noProof w:val="0"/>
          <w:rtl/>
          <w:lang w:eastAsia="he-IL"/>
        </w:rPr>
        <w:t>ת</w:t>
      </w:r>
      <w:r w:rsidR="00966152">
        <w:rPr>
          <w:rFonts w:ascii="Arial" w:hAnsi="Arial" w:hint="cs"/>
          <w:noProof w:val="0"/>
          <w:rtl/>
          <w:lang w:eastAsia="he-IL"/>
        </w:rPr>
        <w:t xml:space="preserve"> י</w:t>
      </w:r>
      <w:r w:rsidR="00053E0A">
        <w:rPr>
          <w:rFonts w:ascii="Arial" w:hAnsi="Arial" w:hint="cs"/>
          <w:noProof w:val="0"/>
          <w:rtl/>
          <w:lang w:eastAsia="he-IL"/>
        </w:rPr>
        <w:t>כולת מימוש הוצאות הצפויות לזכותה, אם אכן תתקבל עמדתה</w:t>
      </w:r>
      <w:r w:rsidR="00966152">
        <w:rPr>
          <w:rFonts w:ascii="Arial" w:hAnsi="Arial" w:hint="cs"/>
          <w:noProof w:val="0"/>
          <w:rtl/>
          <w:lang w:eastAsia="he-IL"/>
        </w:rPr>
        <w:t xml:space="preserve">, </w:t>
      </w:r>
      <w:r>
        <w:rPr>
          <w:rFonts w:ascii="Arial" w:hAnsi="Arial" w:hint="cs"/>
          <w:noProof w:val="0"/>
          <w:rtl/>
          <w:lang w:eastAsia="he-IL"/>
        </w:rPr>
        <w:t>לבין</w:t>
      </w:r>
      <w:r w:rsidR="00966152">
        <w:rPr>
          <w:rFonts w:ascii="Arial" w:hAnsi="Arial" w:hint="cs"/>
          <w:noProof w:val="0"/>
          <w:rtl/>
          <w:lang w:eastAsia="he-IL"/>
        </w:rPr>
        <w:t xml:space="preserve"> זכותה של המשיבה לגישה לערכאות וחשיבות אי חסימת דרכה למיצוי זכויותיה בשל מעמסה כספית, </w:t>
      </w:r>
      <w:r>
        <w:rPr>
          <w:rFonts w:ascii="Arial" w:hAnsi="Arial" w:hint="cs"/>
          <w:noProof w:val="0"/>
          <w:rtl/>
          <w:lang w:eastAsia="he-IL"/>
        </w:rPr>
        <w:t xml:space="preserve">כאשר קבע כי יש צורך בערובה, וכן כאשר קבע את סכום הערובה. בהקשר זה יצוין כי </w:t>
      </w:r>
      <w:r>
        <w:rPr>
          <w:rFonts w:ascii="Segoe Script" w:hAnsi="Segoe Script" w:hint="cs"/>
          <w:noProof w:val="0"/>
          <w:rtl/>
        </w:rPr>
        <w:t>הערובה הופקדה בסופו של יום, וההליך בבית משפט קמה מוסיף להתקיים.</w:t>
      </w:r>
    </w:p>
    <w:p w:rsidR="004A7338" w:rsidRPr="004A7338" w:rsidRDefault="008745DB" w:rsidP="00995125">
      <w:pPr>
        <w:numPr>
          <w:ilvl w:val="0"/>
          <w:numId w:val="1"/>
        </w:numPr>
        <w:spacing w:beforeLines="100" w:before="240" w:line="360" w:lineRule="auto"/>
        <w:ind w:left="714" w:hanging="357"/>
        <w:jc w:val="both"/>
        <w:rPr>
          <w:noProof w:val="0"/>
        </w:rPr>
      </w:pPr>
      <w:r>
        <w:rPr>
          <w:rFonts w:ascii="Segoe Script" w:hAnsi="Segoe Script" w:hint="cs"/>
          <w:noProof w:val="0"/>
          <w:rtl/>
        </w:rPr>
        <w:t xml:space="preserve">אשר </w:t>
      </w:r>
      <w:r w:rsidR="00C56F84">
        <w:rPr>
          <w:rFonts w:ascii="Segoe Script" w:hAnsi="Segoe Script" w:hint="cs"/>
          <w:noProof w:val="0"/>
          <w:rtl/>
        </w:rPr>
        <w:t>לטענות בדבר קיזוז</w:t>
      </w:r>
      <w:r>
        <w:rPr>
          <w:rFonts w:ascii="Segoe Script" w:hAnsi="Segoe Script" w:hint="cs"/>
          <w:noProof w:val="0"/>
          <w:rtl/>
        </w:rPr>
        <w:t xml:space="preserve"> </w:t>
      </w:r>
      <w:r w:rsidR="00C56F84">
        <w:rPr>
          <w:rFonts w:ascii="Segoe Script" w:hAnsi="Segoe Script" w:hint="cs"/>
          <w:noProof w:val="0"/>
          <w:rtl/>
        </w:rPr>
        <w:t>ועיקול עצמי, שלטענת המבקשת בית משפט קמא כלל לא דן בה</w:t>
      </w:r>
      <w:r w:rsidR="00F85905">
        <w:rPr>
          <w:rFonts w:ascii="Segoe Script" w:hAnsi="Segoe Script" w:hint="cs"/>
          <w:noProof w:val="0"/>
          <w:rtl/>
        </w:rPr>
        <w:t>ן</w:t>
      </w:r>
      <w:r w:rsidR="00C56F84">
        <w:rPr>
          <w:rFonts w:ascii="Segoe Script" w:hAnsi="Segoe Script" w:hint="cs"/>
          <w:noProof w:val="0"/>
          <w:rtl/>
        </w:rPr>
        <w:t>, אני סבורה</w:t>
      </w:r>
      <w:r w:rsidR="00214A98">
        <w:rPr>
          <w:rFonts w:ascii="Segoe Script" w:hAnsi="Segoe Script" w:hint="cs"/>
          <w:noProof w:val="0"/>
          <w:rtl/>
        </w:rPr>
        <w:t>,</w:t>
      </w:r>
      <w:r w:rsidR="00C56F84">
        <w:rPr>
          <w:rFonts w:ascii="Segoe Script" w:hAnsi="Segoe Script" w:hint="cs"/>
          <w:noProof w:val="0"/>
          <w:rtl/>
        </w:rPr>
        <w:t xml:space="preserve"> כי אין מקום לקבל את הבקשה מטעם זה</w:t>
      </w:r>
      <w:r w:rsidR="00F85905">
        <w:rPr>
          <w:rFonts w:ascii="Segoe Script" w:hAnsi="Segoe Script" w:hint="cs"/>
          <w:noProof w:val="0"/>
          <w:rtl/>
        </w:rPr>
        <w:t>,</w:t>
      </w:r>
      <w:r w:rsidR="00C56F84">
        <w:rPr>
          <w:rFonts w:ascii="Segoe Script" w:hAnsi="Segoe Script" w:hint="cs"/>
          <w:noProof w:val="0"/>
          <w:rtl/>
        </w:rPr>
        <w:t xml:space="preserve"> שכן גם אם בית משפט קמא היה דן בשאלה, </w:t>
      </w:r>
      <w:r w:rsidR="00F85905">
        <w:rPr>
          <w:rFonts w:ascii="Segoe Script" w:hAnsi="Segoe Script" w:hint="cs"/>
          <w:noProof w:val="0"/>
          <w:rtl/>
        </w:rPr>
        <w:t xml:space="preserve">החלטתו לא היתה שונה. </w:t>
      </w:r>
      <w:r w:rsidR="00995125">
        <w:rPr>
          <w:rFonts w:ascii="Segoe Script" w:hAnsi="Segoe Script" w:hint="cs"/>
          <w:noProof w:val="0"/>
          <w:rtl/>
        </w:rPr>
        <w:t>ראו לעניין זה החלטת רשם</w:t>
      </w:r>
      <w:r w:rsidR="00F85905">
        <w:rPr>
          <w:rFonts w:ascii="Segoe Script" w:hAnsi="Segoe Script" w:hint="cs"/>
          <w:noProof w:val="0"/>
          <w:rtl/>
        </w:rPr>
        <w:t xml:space="preserve"> בית המשפט העליון בע"א 8303/17 </w:t>
      </w:r>
      <w:r w:rsidR="00F85905" w:rsidRPr="00F85905">
        <w:rPr>
          <w:rFonts w:ascii="Segoe Script" w:hAnsi="Segoe Script" w:hint="cs"/>
          <w:b/>
          <w:bCs/>
          <w:noProof w:val="0"/>
          <w:rtl/>
        </w:rPr>
        <w:t>טריניטי מערכות מחשוב בע"מ נ' מ"י</w:t>
      </w:r>
      <w:r w:rsidR="00F85905">
        <w:rPr>
          <w:rFonts w:ascii="Segoe Script" w:hAnsi="Segoe Script" w:hint="cs"/>
          <w:noProof w:val="0"/>
          <w:rtl/>
        </w:rPr>
        <w:t xml:space="preserve"> (</w:t>
      </w:r>
      <w:r w:rsidR="00F85905">
        <w:rPr>
          <w:rFonts w:ascii="Arial" w:hAnsi="Arial" w:hint="cs"/>
          <w:noProof w:val="0"/>
          <w:rtl/>
          <w:lang w:eastAsia="he-IL"/>
        </w:rPr>
        <w:t>28.11.17), כי טענות קיזוז יכולות להתקבל רק כאשר החוב הוא וודאי וחלוט. בעניינינו אין מדובר בחוב חלוט, אלא בטענות בדבר חוב השנוי במחלוקת בין הצדדים. מכאן</w:t>
      </w:r>
      <w:r w:rsidR="00214A98">
        <w:rPr>
          <w:rFonts w:ascii="Arial" w:hAnsi="Arial" w:hint="cs"/>
          <w:noProof w:val="0"/>
          <w:rtl/>
          <w:lang w:eastAsia="he-IL"/>
        </w:rPr>
        <w:t>,</w:t>
      </w:r>
      <w:r w:rsidR="00F85905">
        <w:rPr>
          <w:rFonts w:ascii="Arial" w:hAnsi="Arial" w:hint="cs"/>
          <w:noProof w:val="0"/>
          <w:rtl/>
          <w:lang w:eastAsia="he-IL"/>
        </w:rPr>
        <w:t xml:space="preserve"> </w:t>
      </w:r>
      <w:r w:rsidR="004A7338">
        <w:rPr>
          <w:rFonts w:ascii="Arial" w:hAnsi="Arial" w:hint="cs"/>
          <w:noProof w:val="0"/>
          <w:rtl/>
          <w:lang w:eastAsia="he-IL"/>
        </w:rPr>
        <w:t>שהמבקשת אינה יכולה ל</w:t>
      </w:r>
      <w:r w:rsidR="00F85905">
        <w:rPr>
          <w:rFonts w:ascii="Arial" w:hAnsi="Arial" w:hint="cs"/>
          <w:noProof w:val="0"/>
          <w:rtl/>
          <w:lang w:eastAsia="he-IL"/>
        </w:rPr>
        <w:t>טעון טענות של קיזוז או עיקול עצמי במצב דברים זה.</w:t>
      </w:r>
    </w:p>
    <w:p w:rsidR="00966152" w:rsidRDefault="004A7338" w:rsidP="004A7338">
      <w:pPr>
        <w:numPr>
          <w:ilvl w:val="0"/>
          <w:numId w:val="1"/>
        </w:numPr>
        <w:spacing w:beforeLines="100" w:before="240" w:line="360" w:lineRule="auto"/>
        <w:ind w:left="714" w:hanging="357"/>
        <w:jc w:val="both"/>
        <w:rPr>
          <w:noProof w:val="0"/>
        </w:rPr>
      </w:pPr>
      <w:r>
        <w:rPr>
          <w:rFonts w:ascii="Arial" w:hAnsi="Arial" w:hint="cs"/>
          <w:noProof w:val="0"/>
          <w:rtl/>
          <w:lang w:eastAsia="he-IL"/>
        </w:rPr>
        <w:lastRenderedPageBreak/>
        <w:t xml:space="preserve">לפיכך דין הבקשה </w:t>
      </w:r>
      <w:r w:rsidR="00214A98">
        <w:rPr>
          <w:rFonts w:ascii="Arial" w:hAnsi="Arial" w:hint="cs"/>
          <w:noProof w:val="0"/>
          <w:rtl/>
          <w:lang w:eastAsia="he-IL"/>
        </w:rPr>
        <w:t xml:space="preserve">למתן רשות ערעור </w:t>
      </w:r>
      <w:r>
        <w:rPr>
          <w:rFonts w:ascii="Arial" w:hAnsi="Arial" w:hint="cs"/>
          <w:noProof w:val="0"/>
          <w:rtl/>
          <w:lang w:eastAsia="he-IL"/>
        </w:rPr>
        <w:t>להידחות.</w:t>
      </w:r>
      <w:r w:rsidR="00F85905">
        <w:rPr>
          <w:rFonts w:ascii="Arial" w:hAnsi="Arial" w:hint="cs"/>
          <w:noProof w:val="0"/>
          <w:rtl/>
          <w:lang w:eastAsia="he-IL"/>
        </w:rPr>
        <w:t xml:space="preserve"> </w:t>
      </w:r>
    </w:p>
    <w:p w:rsidR="00966152" w:rsidRPr="004A7338" w:rsidRDefault="00966152" w:rsidP="00E837DD">
      <w:pPr>
        <w:numPr>
          <w:ilvl w:val="0"/>
          <w:numId w:val="1"/>
        </w:numPr>
        <w:spacing w:beforeLines="100" w:before="240" w:line="360" w:lineRule="auto"/>
        <w:ind w:left="714" w:hanging="357"/>
        <w:jc w:val="both"/>
        <w:rPr>
          <w:noProof w:val="0"/>
        </w:rPr>
      </w:pPr>
      <w:r>
        <w:rPr>
          <w:rFonts w:hint="cs"/>
          <w:noProof w:val="0"/>
          <w:rtl/>
        </w:rPr>
        <w:t>בנסיבות העניין</w:t>
      </w:r>
      <w:r w:rsidR="004A7338">
        <w:rPr>
          <w:rFonts w:hint="cs"/>
          <w:noProof w:val="0"/>
          <w:rtl/>
        </w:rPr>
        <w:t xml:space="preserve">, ולאחר שהמבקשת עמדה על הבקשה, על אף שהופקדה הערובה במועד שנקבע, לאחר שבית משפט זה מצא </w:t>
      </w:r>
      <w:r w:rsidR="00214A98">
        <w:rPr>
          <w:rFonts w:hint="cs"/>
          <w:noProof w:val="0"/>
          <w:rtl/>
        </w:rPr>
        <w:t xml:space="preserve">לנכון </w:t>
      </w:r>
      <w:bookmarkStart w:id="1" w:name="_GoBack"/>
      <w:bookmarkEnd w:id="1"/>
      <w:r w:rsidR="004A7338">
        <w:rPr>
          <w:rFonts w:hint="cs"/>
          <w:noProof w:val="0"/>
          <w:rtl/>
        </w:rPr>
        <w:t>לא להורות על עיכוב החלטת בית משפט קמא</w:t>
      </w:r>
      <w:r w:rsidR="00995125">
        <w:rPr>
          <w:rFonts w:hint="cs"/>
          <w:noProof w:val="0"/>
          <w:rtl/>
        </w:rPr>
        <w:t xml:space="preserve"> (כמפורט בסעיף 4 לעיל)</w:t>
      </w:r>
      <w:r w:rsidR="004A7338">
        <w:rPr>
          <w:rFonts w:hint="cs"/>
          <w:noProof w:val="0"/>
          <w:rtl/>
        </w:rPr>
        <w:t xml:space="preserve">, מצאתי לפסוק הוצאות </w:t>
      </w:r>
      <w:r w:rsidR="00995125">
        <w:rPr>
          <w:rFonts w:hint="cs"/>
          <w:noProof w:val="0"/>
          <w:rtl/>
        </w:rPr>
        <w:t xml:space="preserve">לאוצר המדינה </w:t>
      </w:r>
      <w:r w:rsidR="004A7338">
        <w:rPr>
          <w:rFonts w:hint="cs"/>
          <w:noProof w:val="0"/>
          <w:rtl/>
        </w:rPr>
        <w:t xml:space="preserve">בסך </w:t>
      </w:r>
      <w:r w:rsidR="00995125">
        <w:rPr>
          <w:rFonts w:hint="cs"/>
          <w:noProof w:val="0"/>
          <w:rtl/>
        </w:rPr>
        <w:t>2,000 ₪ (סכום זה כולל מע"מ). סכום זה ישול</w:t>
      </w:r>
      <w:r w:rsidR="00E837DD">
        <w:rPr>
          <w:rFonts w:hint="cs"/>
          <w:noProof w:val="0"/>
          <w:rtl/>
        </w:rPr>
        <w:t>ם תוך 30 יום.</w:t>
      </w:r>
    </w:p>
    <w:p w:rsidR="004A7338" w:rsidRDefault="00966152" w:rsidP="00966152">
      <w:pPr>
        <w:spacing w:after="160" w:line="360" w:lineRule="auto"/>
        <w:ind w:hanging="567"/>
        <w:jc w:val="both"/>
        <w:rPr>
          <w:rFonts w:ascii="Arial" w:hAnsi="Arial"/>
          <w:b/>
          <w:bCs/>
          <w:noProof w:val="0"/>
          <w:rtl/>
        </w:rPr>
      </w:pPr>
      <w:r>
        <w:rPr>
          <w:rFonts w:ascii="Arial" w:hAnsi="Arial" w:hint="cs"/>
          <w:b/>
          <w:bCs/>
          <w:noProof w:val="0"/>
          <w:color w:val="FFFFFF"/>
          <w:rtl/>
        </w:rPr>
        <w:t>54678313</w:t>
      </w:r>
    </w:p>
    <w:p w:rsidR="00966152" w:rsidRDefault="00966152" w:rsidP="004A7338">
      <w:pPr>
        <w:spacing w:after="160" w:line="360" w:lineRule="auto"/>
        <w:jc w:val="both"/>
        <w:rPr>
          <w:rFonts w:ascii="Arial" w:hAnsi="Arial"/>
          <w:b/>
          <w:bCs/>
          <w:noProof w:val="0"/>
          <w:color w:val="FFFFFF"/>
        </w:rPr>
      </w:pPr>
      <w:r>
        <w:rPr>
          <w:rFonts w:ascii="Arial" w:hAnsi="Arial" w:hint="cs"/>
          <w:b/>
          <w:bCs/>
          <w:noProof w:val="0"/>
          <w:rtl/>
        </w:rPr>
        <w:t>המזכירות תשלח את ההחלטה לצדדים.</w:t>
      </w:r>
    </w:p>
    <w:p w:rsidR="00694556" w:rsidRDefault="0043502B">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RDefault="001E2C07" w:rsidP="00BD653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BD6531">
      <w:pPr>
        <w:tabs>
          <w:tab w:val="left" w:pos="2553"/>
        </w:tabs>
      </w:pPr>
      <w:r>
        <w:rPr>
          <w:rFonts w:hint="cs"/>
          <w:rtl/>
        </w:rPr>
        <w:tab/>
      </w:r>
      <w:r>
        <w:rPr>
          <w:rFonts w:hint="cs"/>
          <w:rtl/>
        </w:rPr>
        <w:tab/>
      </w:r>
      <w:r>
        <w:rPr>
          <w:rFonts w:hint="cs"/>
          <w:rtl/>
        </w:rPr>
        <w:tab/>
      </w:r>
      <w:r>
        <w:rPr>
          <w:rFonts w:hint="cs"/>
          <w:rtl/>
        </w:rPr>
        <w:tab/>
        <w:t xml:space="preserve">        </w:t>
      </w:r>
      <w:sdt>
        <w:sdtPr>
          <w:rPr>
            <w:rtl/>
          </w:rPr>
          <w:alias w:val="MergeField"/>
          <w:tag w:val="1237"/>
          <w:id w:val="1218093734"/>
        </w:sdtPr>
        <w:sdtEndPr/>
        <w:sdtContent>
          <w:r w:rsidR="001E2C07">
            <w:drawing>
              <wp:inline distT="0" distB="0" distL="0" distR="0" wp14:editId="50D07946">
                <wp:extent cx="14001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13" cstate="print">
                          <a:extLst/>
                        </a:blip>
                        <a:stretch>
                          <a:fillRect/>
                        </a:stretch>
                      </pic:blipFill>
                      <pic:spPr>
                        <a:xfrm>
                          <a:off x="0" y="0"/>
                          <a:ext cx="1400175" cy="1076325"/>
                        </a:xfrm>
                        <a:prstGeom prst="rect">
                          <a:avLst/>
                        </a:prstGeom>
                      </pic:spPr>
                    </pic:pic>
                  </a:graphicData>
                </a:graphic>
              </wp:inline>
            </w:drawing>
          </w:r>
        </w:sdtContent>
      </w:sdt>
    </w:p>
    <w:p w:rsidR="00694556" w:rsidRDefault="00694556" w:rsidP="00BD6531">
      <w:pPr>
        <w:tabs>
          <w:tab w:val="left" w:pos="2553"/>
        </w:tabs>
        <w:rPr>
          <w:rFonts w:ascii="Arial" w:hAnsi="Arial"/>
          <w:noProof w:val="0"/>
          <w:rtl/>
        </w:rPr>
      </w:pPr>
    </w:p>
    <w:sectPr w:rsidR="00694556" w:rsidSect="006C30C5">
      <w:headerReference w:type="even" r:id="rId14"/>
      <w:headerReference w:type="default" r:id="rId15"/>
      <w:footerReference w:type="even" r:id="rId16"/>
      <w:footerReference w:type="default" r:id="rId17"/>
      <w:headerReference w:type="first" r:id="rId18"/>
      <w:footerReference w:type="first" r:id="rId19"/>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68" w:rsidRDefault="00E23F6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1E2C07">
      <w:rPr>
        <w:rStyle w:val="ab"/>
        <w:rFonts w:cs="Times New Roman"/>
        <w:rtl/>
      </w:rPr>
      <w:t>6</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1E2C07">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68" w:rsidRDefault="00E23F6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68" w:rsidRDefault="00E23F6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23F6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בירושלים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E2C0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רע"א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42008-10-17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ביקורת שניה ישראל בע"מ נ' הסתדרות מדיצינית הדסה (חל"צ)</w:t>
              </w:r>
            </w:sdtContent>
          </w:sdt>
        </w:p>
        <w:p w:rsidRPr="007B7765" w:rsidR="007D45E3" w:rsidP="007D45E3" w:rsidRDefault="007D45E3">
          <w:pPr>
            <w:rPr>
              <w:b/>
              <w:bCs/>
              <w:noProof w:val="0"/>
              <w:sz w:val="2"/>
              <w:szCs w:val="2"/>
              <w:rtl/>
            </w:rPr>
          </w:pPr>
        </w:p>
        <w:p w:rsidRPr="00E1068A" w:rsidR="008D10B2" w:rsidP="00203D42" w:rsidRDefault="007D45E3">
          <w:pPr>
            <w:rPr>
              <w:sz w:val="20"/>
              <w:szCs w:val="20"/>
              <w:rtl/>
            </w:rPr>
          </w:pPr>
          <w:r>
            <w:rPr>
              <w:rFonts w:hint="cs"/>
              <w:rtl/>
            </w:rPr>
            <w:t xml:space="preserve">                           </w:t>
          </w:r>
          <w:r>
            <w:rPr>
              <w:rFonts w:hint="cs"/>
              <w:sz w:val="20"/>
              <w:szCs w:val="20"/>
              <w:rtl/>
            </w:rPr>
            <w:t xml:space="preserve">                                       </w:t>
          </w:r>
        </w:p>
      </w:tc>
    </w:tr>
  </w:tbl>
  <w:p w:rsidR="00694556" w:rsidP="00D12D7C" w:rsidRDefault="00694556">
    <w:pPr>
      <w:pStyle w:val="a3"/>
      <w:rPr>
        <w:noProof w:val="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68" w:rsidRDefault="00E23F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183284"/>
    <w:multiLevelType w:val="hybridMultilevel"/>
    <w:tmpl w:val="1B00584A"/>
    <w:lvl w:ilvl="0" w:tplc="8204707C">
      <w:start w:val="1"/>
      <w:numFmt w:val="decimal"/>
      <w:lvlText w:val="%1."/>
      <w:lvlJc w:val="left"/>
      <w:pPr>
        <w:ind w:left="785"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915501"/>
    <w:docVar w:name="CourtID" w:val="1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915501&amp;lt;/CaseID&amp;gt;_x000d__x000a_        &amp;lt;DocumentID&amp;gt;265798700&amp;lt;/DocumentID&amp;gt;_x000d__x000a_      &amp;lt;/dt_DocumentCase&amp;gt;_x000d__x000a_      &amp;lt;dt_Document diffgr:id=&amp;quot;dt_Document1&amp;quot; msdata:rowOrder=&amp;quot;0&amp;quot;&amp;gt;_x000d__x000a_        &amp;lt;DocumentID&amp;gt;265798700&amp;lt;/DocumentID&amp;gt;_x000d__x000a_        &amp;lt;DocumentMainID&amp;gt;0&amp;lt;/DocumentMainID&amp;gt;_x000d__x000a_        &amp;lt;CaseID&amp;gt;74915501&amp;lt;/CaseID&amp;gt;_x000d__x000a_        &amp;lt;DocumentIncludedDate&amp;gt;2018-04-11T17:22:09.21+03:00&amp;lt;/DocumentIncludedDate&amp;gt;_x000d__x000a_        &amp;lt;DocumentDesc&amp;gt;החלטה  שניתנה ע&amp;quot;י  חנה מרים לומפ&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1T17:22:09.21+03:00&amp;lt;/DocumentSavingDate&amp;gt;_x000d__x000a_        &amp;lt;DocumentChangeDate&amp;gt;2018-04-11T17:22:09.367+03:00&amp;lt;/DocumentChangeDate&amp;gt;_x000d__x000a_        &amp;lt;IsScanned&amp;gt;false&amp;lt;/IsScanned&amp;gt;_x000d__x000a_        &amp;lt;PageQuantity&amp;gt;0&amp;lt;/PageQuantity&amp;gt;_x000d__x000a_        &amp;lt;DocumentStatusID&amp;gt;2&amp;lt;/DocumentStatusID&amp;gt;_x000d__x000a_        &amp;lt;DocumentStatusChangeDate&amp;gt;2018-04-11T17:22:09.367+03:00&amp;lt;/DocumentStatusChangeDate&amp;gt;_x000d__x000a_        &amp;lt;TemplateVersionID&amp;gt;1&amp;lt;/TemplateVersionID&amp;gt;_x000d__x000a_        &amp;lt;DocumentChangeUserID&amp;gt;029315843@GOV.IL&amp;lt;/DocumentChangeUserID&amp;gt;_x000d__x000a_        &amp;lt;DocumentCreationUserID&amp;gt;029315843@GOV.IL&amp;lt;/DocumentCreationUserID&amp;gt;_x000d__x000a_        &amp;lt;OriginalDocumentID&amp;gt;264814793&amp;lt;/OriginalDocumentID&amp;gt;_x000d__x000a_        &amp;lt;PrivillegeID&amp;gt;1&amp;lt;/PrivillegeID&amp;gt;_x000d__x000a_        &amp;lt;FromPage&amp;gt;0&amp;lt;/FromPage&amp;gt;_x000d__x000a_        &amp;lt;ToPage&amp;gt;0&amp;lt;/ToPage&amp;gt;_x000d__x000a_        &amp;lt;FileID&amp;gt;9bd315b562010000090037f6940ea093&amp;lt;/FileID&amp;gt;_x000d__x000a_        &amp;lt;URL&amp;gt;\\CTLNFSV02\doc_repository\93\774\f1f90bc3d38c412694c9e2699818b8ec_copy.docx&amp;lt;/URL&amp;gt;_x000d__x000a_        &amp;lt;OlivePriority&amp;gt;1&amp;lt;/OlivePriority&amp;gt;_x000d__x000a_        &amp;lt;MetaDataTypeID&amp;gt;1&amp;lt;/MetaDataTypeID&amp;gt;_x000d__x000a_        &amp;lt;MetaDataChangeDate&amp;gt;2018-04-11T17:22:09.367+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חנה מרים לומפ&amp;amp;lt;/anyType&amp;amp;gt;_x000d__x000a_    &amp;amp;lt;anyType xsi:type=&amp;quot;xsd:dateTime&amp;quot;&amp;amp;gt;2018-04-11T15:56:33.7778603&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1T15:56:33.77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21A29"/>
    <w:rsid w:val="00041CA5"/>
    <w:rsid w:val="00044814"/>
    <w:rsid w:val="00044CD1"/>
    <w:rsid w:val="000529D2"/>
    <w:rsid w:val="00053E0A"/>
    <w:rsid w:val="000564AB"/>
    <w:rsid w:val="00064FBD"/>
    <w:rsid w:val="0008251C"/>
    <w:rsid w:val="00082AB2"/>
    <w:rsid w:val="00086FCB"/>
    <w:rsid w:val="000906FE"/>
    <w:rsid w:val="00096AF7"/>
    <w:rsid w:val="000B2844"/>
    <w:rsid w:val="000B344B"/>
    <w:rsid w:val="000C3B0F"/>
    <w:rsid w:val="000C3B60"/>
    <w:rsid w:val="000C7DF8"/>
    <w:rsid w:val="000D559C"/>
    <w:rsid w:val="000E0DD2"/>
    <w:rsid w:val="000E3AF1"/>
    <w:rsid w:val="000E7EE8"/>
    <w:rsid w:val="000F0BC8"/>
    <w:rsid w:val="000F0DD6"/>
    <w:rsid w:val="000F1120"/>
    <w:rsid w:val="000F1D8A"/>
    <w:rsid w:val="00107E6D"/>
    <w:rsid w:val="0011194C"/>
    <w:rsid w:val="0011424C"/>
    <w:rsid w:val="001173C6"/>
    <w:rsid w:val="00124C4D"/>
    <w:rsid w:val="001367BC"/>
    <w:rsid w:val="00144D2A"/>
    <w:rsid w:val="0014605C"/>
    <w:rsid w:val="0014653E"/>
    <w:rsid w:val="00180519"/>
    <w:rsid w:val="00191C82"/>
    <w:rsid w:val="001972E9"/>
    <w:rsid w:val="001C4003"/>
    <w:rsid w:val="001D4DBF"/>
    <w:rsid w:val="001D6C82"/>
    <w:rsid w:val="001E2C07"/>
    <w:rsid w:val="001E75CA"/>
    <w:rsid w:val="001F7B19"/>
    <w:rsid w:val="00203D42"/>
    <w:rsid w:val="00214A98"/>
    <w:rsid w:val="002265FF"/>
    <w:rsid w:val="00271B56"/>
    <w:rsid w:val="00273EC4"/>
    <w:rsid w:val="00280C6C"/>
    <w:rsid w:val="00295270"/>
    <w:rsid w:val="002C1F37"/>
    <w:rsid w:val="002C344E"/>
    <w:rsid w:val="002E19A1"/>
    <w:rsid w:val="002E75E9"/>
    <w:rsid w:val="00307A6A"/>
    <w:rsid w:val="00307C40"/>
    <w:rsid w:val="00320433"/>
    <w:rsid w:val="003230C7"/>
    <w:rsid w:val="003248A6"/>
    <w:rsid w:val="00325632"/>
    <w:rsid w:val="00327E50"/>
    <w:rsid w:val="0033597A"/>
    <w:rsid w:val="00343D89"/>
    <w:rsid w:val="00362612"/>
    <w:rsid w:val="0036360A"/>
    <w:rsid w:val="0036743F"/>
    <w:rsid w:val="003715DD"/>
    <w:rsid w:val="003823E0"/>
    <w:rsid w:val="003A4521"/>
    <w:rsid w:val="003D1C8C"/>
    <w:rsid w:val="003E4223"/>
    <w:rsid w:val="003F4C51"/>
    <w:rsid w:val="0040096C"/>
    <w:rsid w:val="00411240"/>
    <w:rsid w:val="00414F1F"/>
    <w:rsid w:val="00422AB2"/>
    <w:rsid w:val="0043125D"/>
    <w:rsid w:val="0043502B"/>
    <w:rsid w:val="004410C4"/>
    <w:rsid w:val="004443AC"/>
    <w:rsid w:val="004446E7"/>
    <w:rsid w:val="00444B02"/>
    <w:rsid w:val="00451E28"/>
    <w:rsid w:val="00457472"/>
    <w:rsid w:val="004618CC"/>
    <w:rsid w:val="00462C62"/>
    <w:rsid w:val="004640D4"/>
    <w:rsid w:val="00465D36"/>
    <w:rsid w:val="0049643C"/>
    <w:rsid w:val="00496675"/>
    <w:rsid w:val="004A0C40"/>
    <w:rsid w:val="004A7338"/>
    <w:rsid w:val="004B7F7E"/>
    <w:rsid w:val="004C17EE"/>
    <w:rsid w:val="004C4BDF"/>
    <w:rsid w:val="004D1187"/>
    <w:rsid w:val="004D3AA0"/>
    <w:rsid w:val="004E1987"/>
    <w:rsid w:val="004E2E15"/>
    <w:rsid w:val="004E6E3C"/>
    <w:rsid w:val="00520898"/>
    <w:rsid w:val="00523621"/>
    <w:rsid w:val="00523E38"/>
    <w:rsid w:val="00524986"/>
    <w:rsid w:val="00524B98"/>
    <w:rsid w:val="005268F6"/>
    <w:rsid w:val="00526D30"/>
    <w:rsid w:val="00534284"/>
    <w:rsid w:val="00547DB7"/>
    <w:rsid w:val="00551C42"/>
    <w:rsid w:val="005575C8"/>
    <w:rsid w:val="005767D9"/>
    <w:rsid w:val="005B1D91"/>
    <w:rsid w:val="005B566F"/>
    <w:rsid w:val="005C4035"/>
    <w:rsid w:val="005F4F09"/>
    <w:rsid w:val="0061431B"/>
    <w:rsid w:val="006175BD"/>
    <w:rsid w:val="00622BAA"/>
    <w:rsid w:val="006306CF"/>
    <w:rsid w:val="00644E9A"/>
    <w:rsid w:val="00671BD5"/>
    <w:rsid w:val="006805C1"/>
    <w:rsid w:val="00686C21"/>
    <w:rsid w:val="006931C1"/>
    <w:rsid w:val="00694556"/>
    <w:rsid w:val="006B21CE"/>
    <w:rsid w:val="006B3896"/>
    <w:rsid w:val="006C30C5"/>
    <w:rsid w:val="006C7DAC"/>
    <w:rsid w:val="006D25EB"/>
    <w:rsid w:val="006D32E6"/>
    <w:rsid w:val="006D3B31"/>
    <w:rsid w:val="006E0D96"/>
    <w:rsid w:val="006E1A53"/>
    <w:rsid w:val="006E4D67"/>
    <w:rsid w:val="006F56E6"/>
    <w:rsid w:val="00704EDA"/>
    <w:rsid w:val="007149E1"/>
    <w:rsid w:val="00714E08"/>
    <w:rsid w:val="00721122"/>
    <w:rsid w:val="00726A34"/>
    <w:rsid w:val="00730D4F"/>
    <w:rsid w:val="00753019"/>
    <w:rsid w:val="00754801"/>
    <w:rsid w:val="007567CE"/>
    <w:rsid w:val="00761441"/>
    <w:rsid w:val="007629B4"/>
    <w:rsid w:val="00773577"/>
    <w:rsid w:val="00785304"/>
    <w:rsid w:val="00795365"/>
    <w:rsid w:val="007A351D"/>
    <w:rsid w:val="007B7765"/>
    <w:rsid w:val="007C5BDD"/>
    <w:rsid w:val="007D45E3"/>
    <w:rsid w:val="007E6115"/>
    <w:rsid w:val="007F4609"/>
    <w:rsid w:val="00813D9A"/>
    <w:rsid w:val="00814468"/>
    <w:rsid w:val="008176A1"/>
    <w:rsid w:val="00820005"/>
    <w:rsid w:val="00826023"/>
    <w:rsid w:val="00844318"/>
    <w:rsid w:val="00863F5D"/>
    <w:rsid w:val="00870890"/>
    <w:rsid w:val="00873602"/>
    <w:rsid w:val="008745DB"/>
    <w:rsid w:val="00875D12"/>
    <w:rsid w:val="00881909"/>
    <w:rsid w:val="0088479D"/>
    <w:rsid w:val="008878E7"/>
    <w:rsid w:val="00896889"/>
    <w:rsid w:val="008C4965"/>
    <w:rsid w:val="008C5714"/>
    <w:rsid w:val="008D10B2"/>
    <w:rsid w:val="008D57E4"/>
    <w:rsid w:val="008E093D"/>
    <w:rsid w:val="008F4E9C"/>
    <w:rsid w:val="00903896"/>
    <w:rsid w:val="00906F3D"/>
    <w:rsid w:val="00915699"/>
    <w:rsid w:val="009433A5"/>
    <w:rsid w:val="0094424E"/>
    <w:rsid w:val="009517E4"/>
    <w:rsid w:val="00955642"/>
    <w:rsid w:val="009622DF"/>
    <w:rsid w:val="0096493F"/>
    <w:rsid w:val="00966152"/>
    <w:rsid w:val="00967DFF"/>
    <w:rsid w:val="0098640B"/>
    <w:rsid w:val="00994341"/>
    <w:rsid w:val="009947A2"/>
    <w:rsid w:val="00995125"/>
    <w:rsid w:val="009D1A48"/>
    <w:rsid w:val="009D2DEB"/>
    <w:rsid w:val="009E1CE7"/>
    <w:rsid w:val="009E28B4"/>
    <w:rsid w:val="009E381C"/>
    <w:rsid w:val="009E4EA5"/>
    <w:rsid w:val="009F164B"/>
    <w:rsid w:val="009F323C"/>
    <w:rsid w:val="00A01B73"/>
    <w:rsid w:val="00A3392B"/>
    <w:rsid w:val="00A519B4"/>
    <w:rsid w:val="00A83A3C"/>
    <w:rsid w:val="00A84415"/>
    <w:rsid w:val="00A85E34"/>
    <w:rsid w:val="00A94B64"/>
    <w:rsid w:val="00AA3229"/>
    <w:rsid w:val="00AA7596"/>
    <w:rsid w:val="00AB5E52"/>
    <w:rsid w:val="00AC3B02"/>
    <w:rsid w:val="00AC3B7B"/>
    <w:rsid w:val="00AC5209"/>
    <w:rsid w:val="00AE077E"/>
    <w:rsid w:val="00AE0E34"/>
    <w:rsid w:val="00AE729E"/>
    <w:rsid w:val="00AE7752"/>
    <w:rsid w:val="00AF18BF"/>
    <w:rsid w:val="00AF7EEA"/>
    <w:rsid w:val="00AF7FDA"/>
    <w:rsid w:val="00B10AD2"/>
    <w:rsid w:val="00B22A6D"/>
    <w:rsid w:val="00B31EAF"/>
    <w:rsid w:val="00B35B91"/>
    <w:rsid w:val="00B5356E"/>
    <w:rsid w:val="00B60403"/>
    <w:rsid w:val="00B621E7"/>
    <w:rsid w:val="00B77159"/>
    <w:rsid w:val="00B809AD"/>
    <w:rsid w:val="00B80CBD"/>
    <w:rsid w:val="00B86096"/>
    <w:rsid w:val="00B86A6A"/>
    <w:rsid w:val="00B93DEB"/>
    <w:rsid w:val="00B964D9"/>
    <w:rsid w:val="00BA0A7C"/>
    <w:rsid w:val="00BA517C"/>
    <w:rsid w:val="00BB3D05"/>
    <w:rsid w:val="00BB73BE"/>
    <w:rsid w:val="00BC2D89"/>
    <w:rsid w:val="00BD56A4"/>
    <w:rsid w:val="00BD6531"/>
    <w:rsid w:val="00BE05B2"/>
    <w:rsid w:val="00BE3084"/>
    <w:rsid w:val="00BF1908"/>
    <w:rsid w:val="00BF3508"/>
    <w:rsid w:val="00C22D93"/>
    <w:rsid w:val="00C23458"/>
    <w:rsid w:val="00C31120"/>
    <w:rsid w:val="00C34482"/>
    <w:rsid w:val="00C43648"/>
    <w:rsid w:val="00C47B84"/>
    <w:rsid w:val="00C47D90"/>
    <w:rsid w:val="00C50A9F"/>
    <w:rsid w:val="00C54AE4"/>
    <w:rsid w:val="00C56F84"/>
    <w:rsid w:val="00C642FA"/>
    <w:rsid w:val="00CA1FC2"/>
    <w:rsid w:val="00CB2481"/>
    <w:rsid w:val="00CB6FD8"/>
    <w:rsid w:val="00CC3CF7"/>
    <w:rsid w:val="00CC7622"/>
    <w:rsid w:val="00CD20FE"/>
    <w:rsid w:val="00CD608F"/>
    <w:rsid w:val="00CF6BB7"/>
    <w:rsid w:val="00D04AA4"/>
    <w:rsid w:val="00D12D7C"/>
    <w:rsid w:val="00D13FCF"/>
    <w:rsid w:val="00D27982"/>
    <w:rsid w:val="00D33B86"/>
    <w:rsid w:val="00D35EEA"/>
    <w:rsid w:val="00D44968"/>
    <w:rsid w:val="00D53924"/>
    <w:rsid w:val="00D55D0C"/>
    <w:rsid w:val="00D826D2"/>
    <w:rsid w:val="00D96D8C"/>
    <w:rsid w:val="00DA6649"/>
    <w:rsid w:val="00DC1259"/>
    <w:rsid w:val="00DC1BD2"/>
    <w:rsid w:val="00DC2571"/>
    <w:rsid w:val="00DC487C"/>
    <w:rsid w:val="00DE1E7D"/>
    <w:rsid w:val="00DE6BF6"/>
    <w:rsid w:val="00E0124F"/>
    <w:rsid w:val="00E01AD9"/>
    <w:rsid w:val="00E1068A"/>
    <w:rsid w:val="00E20E86"/>
    <w:rsid w:val="00E23F68"/>
    <w:rsid w:val="00E25884"/>
    <w:rsid w:val="00E25B55"/>
    <w:rsid w:val="00E31C2B"/>
    <w:rsid w:val="00E32010"/>
    <w:rsid w:val="00E5426A"/>
    <w:rsid w:val="00E54642"/>
    <w:rsid w:val="00E55230"/>
    <w:rsid w:val="00E708FC"/>
    <w:rsid w:val="00E80CBE"/>
    <w:rsid w:val="00E83555"/>
    <w:rsid w:val="00E837DD"/>
    <w:rsid w:val="00E838C5"/>
    <w:rsid w:val="00E962E3"/>
    <w:rsid w:val="00EA29D8"/>
    <w:rsid w:val="00EA3DD8"/>
    <w:rsid w:val="00EB6C79"/>
    <w:rsid w:val="00EC37E9"/>
    <w:rsid w:val="00EC49DF"/>
    <w:rsid w:val="00EE5159"/>
    <w:rsid w:val="00F038D8"/>
    <w:rsid w:val="00F06995"/>
    <w:rsid w:val="00F13623"/>
    <w:rsid w:val="00F4097E"/>
    <w:rsid w:val="00F44D1D"/>
    <w:rsid w:val="00F6495C"/>
    <w:rsid w:val="00F771EA"/>
    <w:rsid w:val="00F81A6C"/>
    <w:rsid w:val="00F84B6D"/>
    <w:rsid w:val="00F85905"/>
    <w:rsid w:val="00F90D8A"/>
    <w:rsid w:val="00F957E8"/>
    <w:rsid w:val="00FA311A"/>
    <w:rsid w:val="00FA4BC5"/>
    <w:rsid w:val="00FA5FDA"/>
    <w:rsid w:val="00FB6AB3"/>
    <w:rsid w:val="00FC3750"/>
    <w:rsid w:val="00FD1419"/>
    <w:rsid w:val="00FD5856"/>
    <w:rsid w:val="00FD79E4"/>
    <w:rsid w:val="00FE2894"/>
    <w:rsid w:val="00FF591C"/>
    <w:rsid w:val="00FF5E7C"/>
    <w:rsid w:val="00FF6C6D"/>
    <w:rsid w:val="00FF7C2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687854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96615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39608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1858/353aa" TargetMode="Externa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evo.co.il/case/611358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case/571633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evo.co.il/case/1805898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nevo.co.il/law/71858"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1492A" w:rsidP="0021492A">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1492A"/>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492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1492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1492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1649</Words>
  <Characters>8247</Characters>
  <Application>Microsoft Office Word</Application>
  <DocSecurity>0</DocSecurity>
  <Lines>68</Lines>
  <Paragraphs>19</Paragraphs>
  <ScaleCrop>false</ScaleCrop>
  <Company>Microsoft Corporation</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חנה מרים לומפ</cp:lastModifiedBy>
  <cp:revision>281</cp:revision>
  <dcterms:created xsi:type="dcterms:W3CDTF">2012-08-06T05:16:00Z</dcterms:created>
  <dcterms:modified xsi:type="dcterms:W3CDTF">2018-04-11T14:31:00Z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