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BB7EFC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BB7EFC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BB7EFC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4200E3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הראל חברה לביטוח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BB7EFC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טליה יונתן-דגן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BB7EFC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BB7EFC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4200E3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אינטופ סטודיו (2013)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BB7EFC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לבקשת הצדדים ניתן תוקף של פסק דין להסכם הפשרה.</w:t>
      </w:r>
    </w:p>
    <w:p w:rsidR="00BB7EFC" w:rsidRDefault="00BB7EFC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צו העיקול שהוטל על הנתבעת מבוטל.</w:t>
      </w:r>
    </w:p>
    <w:p w:rsidRPr="00621052" w:rsidR="00BB7EFC" w:rsidRDefault="00BB7EFC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המזכירות תבדוק החזר אגרה לב"כ התובעת בהתאם לתקנות.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BB7EFC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200E3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ae9d6f5a2f0443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EFC" w:rsidRDefault="00BB7EF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200E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200E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EFC" w:rsidRDefault="00BB7E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EFC" w:rsidRDefault="00BB7EF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B7E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4200E3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26591-03-18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EFC" w:rsidRDefault="00BB7E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94D30"/>
    <w:rsid w:val="001067E3"/>
    <w:rsid w:val="0014234E"/>
    <w:rsid w:val="001439B0"/>
    <w:rsid w:val="001C4003"/>
    <w:rsid w:val="0025187E"/>
    <w:rsid w:val="0032390E"/>
    <w:rsid w:val="004121E7"/>
    <w:rsid w:val="004200E3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BB7EFC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E408810"/>
  <w15:docId w15:val="{AA080016-4DFA-4AFC-BFD4-A348C472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ae9d6f5a2f0443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