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אושרית הובר היימן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D7B65" w:rsidP="00384B96" w:rsidRDefault="00384B9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063C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דומיקאר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384B96" w:rsidRDefault="005063C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 w:rsidR="00384B96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063C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אחים פריג'ים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2D7B65" w:rsidRDefault="002D7B6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D7B65" w:rsidRDefault="002D7B65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384B96" w:rsidP="009A51C2" w:rsidRDefault="00384B96">
      <w:pPr>
        <w:spacing w:line="360" w:lineRule="auto"/>
        <w:jc w:val="both"/>
        <w:rPr>
          <w:rtl/>
        </w:rPr>
      </w:pPr>
    </w:p>
    <w:p w:rsidR="00384B96" w:rsidP="009A51C2" w:rsidRDefault="00384B96">
      <w:pPr>
        <w:spacing w:line="360" w:lineRule="auto"/>
        <w:jc w:val="both"/>
      </w:pPr>
      <w:r>
        <w:rPr>
          <w:rFonts w:hint="cs"/>
          <w:rtl/>
        </w:rPr>
        <w:t>הצדדים הסמיכו אותי לפסוק בתיק זה מכוח סעיף 79א לחוק בתי המשפט [נוסח משולב], התשמ"ד – 1984.</w:t>
      </w:r>
    </w:p>
    <w:p w:rsidR="00384B96" w:rsidP="009A51C2" w:rsidRDefault="00384B96">
      <w:pPr>
        <w:spacing w:line="360" w:lineRule="auto"/>
        <w:jc w:val="both"/>
      </w:pPr>
    </w:p>
    <w:p w:rsidR="00384B96" w:rsidP="009A51C2" w:rsidRDefault="00384B9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ממכלול העדויות והראיות שהובאו בפני, לאחר שעיינתי בכתבי טענות הצדדים ובתמונות הנזק ושמעתי העדים מטעם הצדדים, אני קובעת כי יש לדחות את התביעה. </w:t>
      </w:r>
    </w:p>
    <w:p w:rsidR="00384B96" w:rsidP="009A51C2" w:rsidRDefault="00384B96">
      <w:pPr>
        <w:spacing w:line="360" w:lineRule="auto"/>
        <w:jc w:val="both"/>
        <w:rPr>
          <w:rtl/>
        </w:rPr>
      </w:pPr>
    </w:p>
    <w:p w:rsidR="00384B96" w:rsidP="00384B96" w:rsidRDefault="00384B96">
      <w:pPr>
        <w:spacing w:line="360" w:lineRule="auto"/>
        <w:jc w:val="both"/>
        <w:rPr>
          <w:rtl/>
        </w:rPr>
      </w:pPr>
      <w:r>
        <w:rPr>
          <w:rFonts w:hint="cs"/>
          <w:rtl/>
        </w:rPr>
        <w:t>אין צו להוצאות.</w:t>
      </w:r>
    </w:p>
    <w:p w:rsidR="00384B96" w:rsidP="009A51C2" w:rsidRDefault="00384B96">
      <w:pPr>
        <w:spacing w:line="360" w:lineRule="auto"/>
        <w:jc w:val="both"/>
        <w:rPr>
          <w:rtl/>
        </w:rPr>
      </w:pPr>
    </w:p>
    <w:p w:rsidR="00384B96" w:rsidP="009A51C2" w:rsidRDefault="00384B9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מתשלום יתרת האגרה. </w:t>
      </w:r>
    </w:p>
    <w:p w:rsidR="00384B96" w:rsidP="009A51C2" w:rsidRDefault="00384B96">
      <w:pPr>
        <w:spacing w:line="360" w:lineRule="auto"/>
        <w:jc w:val="both"/>
        <w:rPr>
          <w:rtl/>
        </w:rPr>
      </w:pPr>
    </w:p>
    <w:p w:rsidR="00384B96" w:rsidP="009A51C2" w:rsidRDefault="00384B9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תוך 45 יום לבית משפט המחוזי מרכז – לוד. </w:t>
      </w:r>
    </w:p>
    <w:p w:rsidR="00384B96" w:rsidRDefault="00384B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84B96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384B96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384B96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384B96">
        <w:rPr>
          <w:rFonts w:ascii="Arial" w:hAnsi="Arial"/>
          <w:b/>
          <w:bCs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5063CB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9824" cy="792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e13caba05d04e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82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063C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063C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063C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063C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20650-01-17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דומיקאר בע"מ נ' אחים פריג'ים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D7B65"/>
    <w:rsid w:val="00381D3A"/>
    <w:rsid w:val="003823DA"/>
    <w:rsid w:val="00384B96"/>
    <w:rsid w:val="0043595F"/>
    <w:rsid w:val="0047645A"/>
    <w:rsid w:val="004D49A3"/>
    <w:rsid w:val="004E6E3C"/>
    <w:rsid w:val="005063CB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42AE8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3e13caba05d04e0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2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אושרית הובר היימן</cp:lastModifiedBy>
  <cp:revision>39</cp:revision>
  <dcterms:created xsi:type="dcterms:W3CDTF">2012-08-05T21:29:00Z</dcterms:created>
  <dcterms:modified xsi:type="dcterms:W3CDTF">2018-04-12T14:00:00Z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